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5A4A" w:rsidRDefault="00FA5A4A" w:rsidP="00FA5A4A">
      <w:pPr>
        <w:ind w:firstLine="0"/>
        <w:jc w:val="center"/>
        <w:rPr>
          <w:rFonts w:cs="Arial"/>
          <w:sz w:val="40"/>
          <w:szCs w:val="40"/>
        </w:rPr>
      </w:pPr>
    </w:p>
    <w:p w:rsidR="00FA5A4A" w:rsidRDefault="00FA5A4A" w:rsidP="00FA5A4A">
      <w:pPr>
        <w:ind w:firstLine="0"/>
        <w:jc w:val="center"/>
        <w:rPr>
          <w:rFonts w:cs="Arial"/>
          <w:sz w:val="40"/>
          <w:szCs w:val="40"/>
        </w:rPr>
      </w:pPr>
    </w:p>
    <w:p w:rsidR="00FA5A4A" w:rsidRDefault="00FA5A4A" w:rsidP="00FA5A4A">
      <w:pPr>
        <w:ind w:firstLine="0"/>
        <w:jc w:val="center"/>
        <w:rPr>
          <w:rFonts w:cs="Arial"/>
          <w:sz w:val="40"/>
          <w:szCs w:val="40"/>
        </w:rPr>
      </w:pPr>
    </w:p>
    <w:p w:rsidR="00FA5A4A" w:rsidRPr="003B3536" w:rsidRDefault="00FA5A4A" w:rsidP="00FA5A4A">
      <w:pPr>
        <w:ind w:firstLine="0"/>
        <w:jc w:val="center"/>
        <w:rPr>
          <w:rFonts w:cs="Arial"/>
          <w:sz w:val="24"/>
        </w:rPr>
      </w:pPr>
      <w:r w:rsidRPr="003B3536">
        <w:rPr>
          <w:rFonts w:cs="Arial"/>
          <w:sz w:val="24"/>
        </w:rPr>
        <w:t xml:space="preserve">Siefkes — </w:t>
      </w:r>
      <w:r w:rsidR="003F74FD">
        <w:rPr>
          <w:rFonts w:cs="Arial"/>
          <w:sz w:val="24"/>
        </w:rPr>
        <w:t xml:space="preserve">Sprache, Glaube und </w:t>
      </w:r>
      <w:r w:rsidR="00532D1A">
        <w:rPr>
          <w:rFonts w:cs="Arial"/>
          <w:sz w:val="24"/>
        </w:rPr>
        <w:t>Macht</w:t>
      </w:r>
    </w:p>
    <w:p w:rsidR="00FA5A4A" w:rsidRDefault="00FA5A4A" w:rsidP="00FA5A4A">
      <w:pPr>
        <w:tabs>
          <w:tab w:val="clear" w:pos="397"/>
          <w:tab w:val="clear" w:pos="567"/>
          <w:tab w:val="clear" w:pos="851"/>
          <w:tab w:val="clear" w:pos="1134"/>
          <w:tab w:val="clear" w:pos="1418"/>
        </w:tabs>
        <w:ind w:firstLine="0"/>
        <w:jc w:val="left"/>
        <w:rPr>
          <w:rFonts w:cs="Arial"/>
          <w:sz w:val="40"/>
          <w:szCs w:val="40"/>
        </w:rPr>
      </w:pPr>
      <w:r>
        <w:rPr>
          <w:rFonts w:cs="Arial"/>
          <w:sz w:val="40"/>
          <w:szCs w:val="40"/>
        </w:rPr>
        <w:br w:type="page"/>
      </w:r>
    </w:p>
    <w:p w:rsidR="00FA5A4A" w:rsidRDefault="00FA5A4A" w:rsidP="00FA5A4A">
      <w:pPr>
        <w:tabs>
          <w:tab w:val="clear" w:pos="397"/>
          <w:tab w:val="clear" w:pos="567"/>
          <w:tab w:val="clear" w:pos="851"/>
          <w:tab w:val="clear" w:pos="1134"/>
          <w:tab w:val="clear" w:pos="1418"/>
        </w:tabs>
        <w:ind w:firstLine="0"/>
        <w:jc w:val="left"/>
        <w:rPr>
          <w:rFonts w:cs="Arial"/>
          <w:sz w:val="40"/>
          <w:szCs w:val="40"/>
        </w:rPr>
      </w:pPr>
      <w:r>
        <w:rPr>
          <w:rFonts w:cs="Arial"/>
          <w:sz w:val="40"/>
          <w:szCs w:val="40"/>
        </w:rPr>
        <w:lastRenderedPageBreak/>
        <w:br w:type="page"/>
      </w:r>
    </w:p>
    <w:p w:rsidR="005D7637" w:rsidRDefault="005D7637" w:rsidP="005D7637">
      <w:pPr>
        <w:ind w:firstLine="0"/>
        <w:jc w:val="center"/>
        <w:rPr>
          <w:rFonts w:cs="Arial"/>
          <w:sz w:val="40"/>
          <w:szCs w:val="40"/>
        </w:rPr>
      </w:pPr>
    </w:p>
    <w:p w:rsidR="005D7637" w:rsidRDefault="005D7637" w:rsidP="005D7637">
      <w:pPr>
        <w:ind w:firstLine="0"/>
        <w:jc w:val="center"/>
        <w:rPr>
          <w:rFonts w:cs="Arial"/>
          <w:sz w:val="40"/>
          <w:szCs w:val="40"/>
        </w:rPr>
      </w:pPr>
    </w:p>
    <w:p w:rsidR="005D7637" w:rsidRDefault="005D7637" w:rsidP="005D7637">
      <w:pPr>
        <w:ind w:firstLine="0"/>
        <w:jc w:val="center"/>
        <w:rPr>
          <w:rFonts w:cs="Arial"/>
          <w:sz w:val="40"/>
          <w:szCs w:val="40"/>
        </w:rPr>
      </w:pPr>
    </w:p>
    <w:p w:rsidR="005D7637" w:rsidRPr="00FA5A4A" w:rsidRDefault="005D7637" w:rsidP="005D7637">
      <w:pPr>
        <w:ind w:firstLine="0"/>
        <w:jc w:val="center"/>
        <w:rPr>
          <w:rFonts w:cs="Arial"/>
          <w:sz w:val="28"/>
          <w:szCs w:val="28"/>
        </w:rPr>
      </w:pPr>
      <w:r w:rsidRPr="00FA5A4A">
        <w:rPr>
          <w:rFonts w:cs="Arial"/>
          <w:sz w:val="28"/>
          <w:szCs w:val="28"/>
        </w:rPr>
        <w:t>Martin Siefkes</w:t>
      </w:r>
    </w:p>
    <w:p w:rsidR="005D7637" w:rsidRDefault="005D7637" w:rsidP="005D7637">
      <w:pPr>
        <w:ind w:firstLine="0"/>
        <w:jc w:val="center"/>
        <w:rPr>
          <w:rFonts w:cs="Arial"/>
          <w:sz w:val="40"/>
          <w:szCs w:val="40"/>
        </w:rPr>
      </w:pPr>
    </w:p>
    <w:p w:rsidR="005D7637" w:rsidRPr="008E4274" w:rsidRDefault="005D7637" w:rsidP="005D7637">
      <w:pPr>
        <w:ind w:firstLine="0"/>
        <w:jc w:val="center"/>
        <w:rPr>
          <w:rFonts w:cs="Arial"/>
        </w:rPr>
      </w:pPr>
    </w:p>
    <w:p w:rsidR="005D7637" w:rsidRPr="00B10FF7" w:rsidRDefault="003F74FD" w:rsidP="005D7637">
      <w:pPr>
        <w:ind w:firstLine="0"/>
        <w:jc w:val="center"/>
        <w:rPr>
          <w:rFonts w:cs="Arial"/>
          <w:sz w:val="48"/>
          <w:szCs w:val="48"/>
        </w:rPr>
      </w:pPr>
      <w:r>
        <w:rPr>
          <w:rFonts w:cs="Arial"/>
          <w:sz w:val="48"/>
          <w:szCs w:val="48"/>
        </w:rPr>
        <w:t xml:space="preserve">Sprache, Glaube und </w:t>
      </w:r>
      <w:r w:rsidR="00532D1A">
        <w:rPr>
          <w:rFonts w:cs="Arial"/>
          <w:sz w:val="48"/>
          <w:szCs w:val="48"/>
        </w:rPr>
        <w:t>Macht</w:t>
      </w:r>
    </w:p>
    <w:p w:rsidR="005D7637" w:rsidRDefault="005D7637" w:rsidP="005D7637">
      <w:pPr>
        <w:ind w:firstLine="0"/>
        <w:jc w:val="center"/>
        <w:rPr>
          <w:rFonts w:cs="Arial"/>
          <w:sz w:val="28"/>
          <w:szCs w:val="28"/>
        </w:rPr>
      </w:pPr>
    </w:p>
    <w:p w:rsidR="002C093D" w:rsidRPr="00FA5A4A" w:rsidRDefault="005D7637" w:rsidP="005D7637">
      <w:pPr>
        <w:ind w:firstLine="0"/>
        <w:jc w:val="center"/>
        <w:rPr>
          <w:sz w:val="28"/>
          <w:szCs w:val="28"/>
        </w:rPr>
      </w:pPr>
      <w:r w:rsidRPr="00FA5A4A">
        <w:rPr>
          <w:sz w:val="28"/>
          <w:szCs w:val="28"/>
        </w:rPr>
        <w:t>Die Aufzeichnungen des Johannes Spiecker</w:t>
      </w:r>
      <w:r w:rsidRPr="00FA5A4A">
        <w:rPr>
          <w:sz w:val="28"/>
          <w:szCs w:val="28"/>
        </w:rPr>
        <w:br/>
        <w:t xml:space="preserve">in Deutsch-Südwestafrika </w:t>
      </w:r>
      <w:r w:rsidR="00612617">
        <w:rPr>
          <w:sz w:val="28"/>
          <w:szCs w:val="28"/>
        </w:rPr>
        <w:t>zur Zeit des Herero-Nama-Aufstands</w:t>
      </w:r>
      <w:r w:rsidR="009B77F5" w:rsidRPr="00FA5A4A">
        <w:rPr>
          <w:sz w:val="28"/>
          <w:szCs w:val="28"/>
        </w:rPr>
        <w:br w:type="page"/>
      </w:r>
    </w:p>
    <w:p w:rsidR="00EF2B5D" w:rsidRPr="0029309E" w:rsidRDefault="00EF2B5D" w:rsidP="00EF2B5D">
      <w:pPr>
        <w:pStyle w:val="Text"/>
        <w:ind w:firstLine="0"/>
        <w:jc w:val="center"/>
        <w:rPr>
          <w:sz w:val="18"/>
          <w:szCs w:val="18"/>
        </w:rPr>
      </w:pPr>
      <w:r w:rsidRPr="0029309E">
        <w:rPr>
          <w:sz w:val="18"/>
          <w:szCs w:val="18"/>
        </w:rPr>
        <w:lastRenderedPageBreak/>
        <w:t xml:space="preserve">Dieses Buch ist als </w:t>
      </w:r>
      <w:r>
        <w:rPr>
          <w:sz w:val="18"/>
          <w:szCs w:val="18"/>
        </w:rPr>
        <w:t xml:space="preserve">Printversion </w:t>
      </w:r>
      <w:r w:rsidRPr="0029309E">
        <w:rPr>
          <w:sz w:val="18"/>
          <w:szCs w:val="18"/>
        </w:rPr>
        <w:t>beim Verlag Königshausen &amp; Neumann erhältlich</w:t>
      </w:r>
    </w:p>
    <w:p w:rsidR="00EF2B5D" w:rsidRDefault="00EF2B5D" w:rsidP="00EF2B5D">
      <w:pPr>
        <w:pStyle w:val="Text"/>
        <w:ind w:firstLine="0"/>
        <w:jc w:val="center"/>
        <w:rPr>
          <w:rFonts w:eastAsia="Times New Roman" w:cs="OriginalGaramondBT-Roman"/>
          <w:sz w:val="18"/>
          <w:szCs w:val="18"/>
        </w:rPr>
      </w:pPr>
    </w:p>
    <w:p w:rsidR="00EF2B5D" w:rsidRPr="0029309E" w:rsidRDefault="00EF2B5D" w:rsidP="00EF2B5D">
      <w:pPr>
        <w:pStyle w:val="Text"/>
        <w:ind w:firstLine="0"/>
        <w:jc w:val="center"/>
        <w:rPr>
          <w:sz w:val="18"/>
          <w:szCs w:val="18"/>
        </w:rPr>
      </w:pPr>
      <w:r w:rsidRPr="0029309E">
        <w:rPr>
          <w:rFonts w:eastAsia="Times New Roman" w:cs="OriginalGaramondBT-Roman"/>
          <w:sz w:val="18"/>
          <w:szCs w:val="18"/>
        </w:rPr>
        <w:t>www.koenigshausen-neumann.de</w:t>
      </w:r>
    </w:p>
    <w:p w:rsidR="00EF2B5D" w:rsidRPr="0029309E" w:rsidRDefault="00EF2B5D" w:rsidP="00EF2B5D">
      <w:pPr>
        <w:pStyle w:val="Text"/>
        <w:ind w:firstLine="0"/>
        <w:jc w:val="center"/>
        <w:rPr>
          <w:sz w:val="18"/>
          <w:szCs w:val="18"/>
        </w:rPr>
      </w:pPr>
    </w:p>
    <w:p w:rsidR="00EF2B5D" w:rsidRDefault="00EF2B5D" w:rsidP="00EF2B5D">
      <w:pPr>
        <w:tabs>
          <w:tab w:val="clear" w:pos="567"/>
          <w:tab w:val="clear" w:pos="851"/>
          <w:tab w:val="clear" w:pos="1134"/>
          <w:tab w:val="clear" w:pos="1418"/>
        </w:tabs>
        <w:ind w:firstLine="0"/>
        <w:jc w:val="left"/>
      </w:pPr>
    </w:p>
    <w:p w:rsidR="002C093D" w:rsidRDefault="00365CB7" w:rsidP="00365CB7">
      <w:pPr>
        <w:tabs>
          <w:tab w:val="clear" w:pos="567"/>
          <w:tab w:val="clear" w:pos="851"/>
          <w:tab w:val="clear" w:pos="1134"/>
          <w:tab w:val="clear" w:pos="1418"/>
        </w:tabs>
        <w:ind w:firstLine="0"/>
        <w:jc w:val="center"/>
      </w:pPr>
      <w:r>
        <w:rPr>
          <w:sz w:val="18"/>
          <w:szCs w:val="18"/>
        </w:rPr>
        <w:t>Weitere Informationen zum Verfasser unter www.siefkes.de</w:t>
      </w:r>
    </w:p>
    <w:p w:rsidR="002C093D" w:rsidRDefault="002C093D" w:rsidP="00616C82">
      <w:pPr>
        <w:tabs>
          <w:tab w:val="clear" w:pos="567"/>
          <w:tab w:val="clear" w:pos="851"/>
          <w:tab w:val="clear" w:pos="1134"/>
          <w:tab w:val="clear" w:pos="1418"/>
        </w:tabs>
        <w:ind w:firstLine="0"/>
        <w:jc w:val="left"/>
      </w:pPr>
    </w:p>
    <w:p w:rsidR="002F0FCD" w:rsidRDefault="002F0FC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2C093D" w:rsidRDefault="002C093D" w:rsidP="00616C82">
      <w:pPr>
        <w:tabs>
          <w:tab w:val="clear" w:pos="567"/>
          <w:tab w:val="clear" w:pos="851"/>
          <w:tab w:val="clear" w:pos="1134"/>
          <w:tab w:val="clear" w:pos="1418"/>
        </w:tabs>
        <w:ind w:firstLine="0"/>
        <w:jc w:val="left"/>
      </w:pPr>
    </w:p>
    <w:p w:rsidR="00B3358B" w:rsidRDefault="00B3358B" w:rsidP="00616C82">
      <w:pPr>
        <w:tabs>
          <w:tab w:val="clear" w:pos="567"/>
          <w:tab w:val="clear" w:pos="851"/>
          <w:tab w:val="clear" w:pos="1134"/>
          <w:tab w:val="clear" w:pos="1418"/>
        </w:tabs>
        <w:ind w:firstLine="0"/>
        <w:jc w:val="left"/>
      </w:pPr>
    </w:p>
    <w:p w:rsidR="00B3358B" w:rsidRDefault="00B3358B" w:rsidP="00616C82">
      <w:pPr>
        <w:tabs>
          <w:tab w:val="clear" w:pos="567"/>
          <w:tab w:val="clear" w:pos="851"/>
          <w:tab w:val="clear" w:pos="1134"/>
          <w:tab w:val="clear" w:pos="1418"/>
        </w:tabs>
        <w:ind w:firstLine="0"/>
        <w:jc w:val="left"/>
      </w:pPr>
    </w:p>
    <w:p w:rsidR="00B3358B" w:rsidRDefault="00B3358B" w:rsidP="00616C82">
      <w:pPr>
        <w:tabs>
          <w:tab w:val="clear" w:pos="567"/>
          <w:tab w:val="clear" w:pos="851"/>
          <w:tab w:val="clear" w:pos="1134"/>
          <w:tab w:val="clear" w:pos="1418"/>
        </w:tabs>
        <w:ind w:firstLine="0"/>
        <w:jc w:val="left"/>
      </w:pPr>
    </w:p>
    <w:p w:rsidR="00B3358B" w:rsidRDefault="00B3358B" w:rsidP="00616C82">
      <w:pPr>
        <w:tabs>
          <w:tab w:val="clear" w:pos="567"/>
          <w:tab w:val="clear" w:pos="851"/>
          <w:tab w:val="clear" w:pos="1134"/>
          <w:tab w:val="clear" w:pos="1418"/>
        </w:tabs>
        <w:ind w:firstLine="0"/>
        <w:jc w:val="left"/>
      </w:pPr>
    </w:p>
    <w:p w:rsidR="00B3358B" w:rsidRDefault="00B3358B" w:rsidP="00616C82">
      <w:pPr>
        <w:tabs>
          <w:tab w:val="clear" w:pos="567"/>
          <w:tab w:val="clear" w:pos="851"/>
          <w:tab w:val="clear" w:pos="1134"/>
          <w:tab w:val="clear" w:pos="1418"/>
        </w:tabs>
        <w:ind w:firstLine="0"/>
        <w:jc w:val="left"/>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E2543C" w:rsidRDefault="00E2543C"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7D6C07" w:rsidRDefault="007D6C07" w:rsidP="007D6C07">
      <w:pPr>
        <w:pStyle w:val="Text"/>
        <w:ind w:firstLine="0"/>
        <w:rPr>
          <w:sz w:val="18"/>
          <w:szCs w:val="18"/>
        </w:rPr>
      </w:pPr>
    </w:p>
    <w:p w:rsidR="000D58A4" w:rsidRDefault="000D58A4" w:rsidP="007D6C07">
      <w:pPr>
        <w:pStyle w:val="Text"/>
        <w:ind w:firstLine="0"/>
        <w:rPr>
          <w:sz w:val="18"/>
          <w:szCs w:val="18"/>
        </w:rPr>
      </w:pPr>
    </w:p>
    <w:p w:rsidR="000D58A4" w:rsidRDefault="000D58A4" w:rsidP="007D6C07">
      <w:pPr>
        <w:pStyle w:val="Text"/>
        <w:ind w:firstLine="0"/>
        <w:rPr>
          <w:sz w:val="18"/>
          <w:szCs w:val="18"/>
        </w:rPr>
      </w:pPr>
    </w:p>
    <w:p w:rsidR="000D58A4" w:rsidRDefault="000D58A4" w:rsidP="007D6C07">
      <w:pPr>
        <w:pStyle w:val="Text"/>
        <w:ind w:firstLine="0"/>
        <w:rPr>
          <w:sz w:val="18"/>
          <w:szCs w:val="18"/>
        </w:rPr>
      </w:pPr>
    </w:p>
    <w:p w:rsidR="00CF6655" w:rsidRDefault="00CF6655" w:rsidP="007D6C07">
      <w:pPr>
        <w:pStyle w:val="Text"/>
        <w:ind w:firstLine="0"/>
        <w:rPr>
          <w:sz w:val="18"/>
          <w:szCs w:val="18"/>
        </w:rPr>
      </w:pPr>
    </w:p>
    <w:p w:rsidR="0097683A" w:rsidRDefault="0097683A" w:rsidP="007D6C07">
      <w:pPr>
        <w:pStyle w:val="Text"/>
        <w:ind w:firstLine="0"/>
        <w:rPr>
          <w:sz w:val="18"/>
          <w:szCs w:val="18"/>
        </w:rPr>
      </w:pPr>
    </w:p>
    <w:p w:rsidR="0097683A" w:rsidRDefault="0097683A" w:rsidP="007D6C07">
      <w:pPr>
        <w:pStyle w:val="Text"/>
        <w:ind w:firstLine="0"/>
        <w:rPr>
          <w:sz w:val="18"/>
          <w:szCs w:val="18"/>
        </w:rPr>
      </w:pPr>
    </w:p>
    <w:p w:rsidR="00754E9C" w:rsidRDefault="00754E9C" w:rsidP="00754E9C">
      <w:pPr>
        <w:pStyle w:val="Text"/>
        <w:ind w:firstLine="0"/>
        <w:rPr>
          <w:sz w:val="18"/>
          <w:szCs w:val="18"/>
        </w:rPr>
      </w:pPr>
    </w:p>
    <w:p w:rsidR="00754E9C" w:rsidRPr="00CF6655" w:rsidRDefault="00754E9C" w:rsidP="00754E9C">
      <w:pPr>
        <w:pStyle w:val="Text"/>
        <w:ind w:firstLine="0"/>
        <w:rPr>
          <w:sz w:val="18"/>
          <w:szCs w:val="18"/>
        </w:rPr>
      </w:pPr>
      <w:r w:rsidRPr="00CF6655">
        <w:rPr>
          <w:sz w:val="18"/>
          <w:szCs w:val="18"/>
        </w:rPr>
        <w:t>© 2006</w:t>
      </w:r>
      <w:r>
        <w:rPr>
          <w:sz w:val="18"/>
          <w:szCs w:val="18"/>
        </w:rPr>
        <w:t>–2012</w:t>
      </w:r>
      <w:r w:rsidRPr="00CF6655">
        <w:rPr>
          <w:sz w:val="18"/>
          <w:szCs w:val="18"/>
        </w:rPr>
        <w:t xml:space="preserve"> Martin Siefkes</w:t>
      </w:r>
    </w:p>
    <w:p w:rsidR="00754E9C" w:rsidRPr="00CF6655" w:rsidRDefault="00754E9C" w:rsidP="00754E9C">
      <w:pPr>
        <w:pStyle w:val="Text"/>
        <w:ind w:firstLine="0"/>
        <w:rPr>
          <w:sz w:val="18"/>
          <w:szCs w:val="18"/>
        </w:rPr>
      </w:pPr>
    </w:p>
    <w:p w:rsidR="00754E9C" w:rsidRPr="00656BAB" w:rsidRDefault="00754E9C" w:rsidP="00754E9C">
      <w:pPr>
        <w:ind w:firstLine="0"/>
        <w:rPr>
          <w:sz w:val="18"/>
          <w:szCs w:val="18"/>
        </w:rPr>
      </w:pPr>
      <w:r w:rsidRPr="00656BAB">
        <w:rPr>
          <w:sz w:val="18"/>
          <w:szCs w:val="18"/>
        </w:rPr>
        <w:t>Dieses Werk wird unter den Bedingungen der „Creative Commons Namensnennung-Weitergabe unter gleichen Bedingungen Deutschland“-Lizenz (abgekürzt „CC BY-SA“) in der</w:t>
      </w:r>
      <w:r>
        <w:rPr>
          <w:sz w:val="18"/>
          <w:szCs w:val="18"/>
        </w:rPr>
        <w:t xml:space="preserve"> Version 3.0 veröffentlicht. Der</w:t>
      </w:r>
      <w:r w:rsidRPr="00656BAB">
        <w:rPr>
          <w:sz w:val="18"/>
          <w:szCs w:val="18"/>
        </w:rPr>
        <w:t xml:space="preserve"> Text der Lizenz </w:t>
      </w:r>
      <w:r>
        <w:rPr>
          <w:sz w:val="18"/>
          <w:szCs w:val="18"/>
        </w:rPr>
        <w:t xml:space="preserve">ist </w:t>
      </w:r>
      <w:r w:rsidRPr="00656BAB">
        <w:rPr>
          <w:sz w:val="18"/>
          <w:szCs w:val="18"/>
        </w:rPr>
        <w:t xml:space="preserve">unter der </w:t>
      </w:r>
      <w:r>
        <w:rPr>
          <w:sz w:val="18"/>
          <w:szCs w:val="18"/>
        </w:rPr>
        <w:t xml:space="preserve">Internetadresse </w:t>
      </w:r>
      <w:r w:rsidRPr="00656BAB">
        <w:rPr>
          <w:sz w:val="18"/>
          <w:szCs w:val="18"/>
        </w:rPr>
        <w:t>http://creativecommons.org/licenses/by-sa/3.0/de</w:t>
      </w:r>
      <w:r w:rsidRPr="008650ED">
        <w:rPr>
          <w:sz w:val="18"/>
          <w:szCs w:val="18"/>
        </w:rPr>
        <w:t xml:space="preserve"> </w:t>
      </w:r>
      <w:r>
        <w:rPr>
          <w:sz w:val="18"/>
          <w:szCs w:val="18"/>
        </w:rPr>
        <w:t>erhältlich</w:t>
      </w:r>
      <w:r w:rsidRPr="00656BAB">
        <w:rPr>
          <w:sz w:val="18"/>
          <w:szCs w:val="18"/>
        </w:rPr>
        <w:t>.</w:t>
      </w:r>
    </w:p>
    <w:p w:rsidR="00CF6655" w:rsidRPr="00CF6655" w:rsidRDefault="00CF6655" w:rsidP="007D6C07">
      <w:pPr>
        <w:pStyle w:val="Text"/>
        <w:ind w:firstLine="0"/>
        <w:rPr>
          <w:sz w:val="18"/>
          <w:szCs w:val="18"/>
        </w:rPr>
      </w:pPr>
    </w:p>
    <w:p w:rsidR="009B77F5" w:rsidRDefault="009B77F5" w:rsidP="00616C82">
      <w:pPr>
        <w:tabs>
          <w:tab w:val="clear" w:pos="567"/>
          <w:tab w:val="clear" w:pos="851"/>
          <w:tab w:val="clear" w:pos="1134"/>
          <w:tab w:val="clear" w:pos="1418"/>
        </w:tabs>
        <w:ind w:firstLine="0"/>
        <w:jc w:val="left"/>
      </w:pPr>
    </w:p>
    <w:p w:rsidR="008B1FB5" w:rsidRDefault="008B1FB5" w:rsidP="00857BF9">
      <w:pPr>
        <w:pStyle w:val="Text"/>
        <w:ind w:left="454" w:hanging="454"/>
      </w:pPr>
    </w:p>
    <w:p w:rsidR="00365CB7" w:rsidRDefault="00365CB7" w:rsidP="00857BF9">
      <w:pPr>
        <w:pStyle w:val="Text"/>
        <w:ind w:left="454" w:hanging="454"/>
      </w:pPr>
    </w:p>
    <w:p w:rsidR="008B1FB5" w:rsidRDefault="008B1FB5" w:rsidP="00857BF9">
      <w:pPr>
        <w:pStyle w:val="Text"/>
        <w:ind w:left="454" w:hanging="454"/>
      </w:pPr>
    </w:p>
    <w:p w:rsidR="00365CB7" w:rsidRDefault="00365CB7" w:rsidP="00857BF9">
      <w:pPr>
        <w:pStyle w:val="Text"/>
        <w:ind w:left="454" w:hanging="454"/>
      </w:pPr>
    </w:p>
    <w:p w:rsidR="00365CB7" w:rsidRDefault="00365CB7" w:rsidP="00857BF9">
      <w:pPr>
        <w:pStyle w:val="Text"/>
        <w:ind w:left="454" w:hanging="454"/>
      </w:pPr>
    </w:p>
    <w:p w:rsidR="00EA5EDA" w:rsidRDefault="00EA5EDA" w:rsidP="00857BF9">
      <w:pPr>
        <w:pStyle w:val="Text"/>
        <w:ind w:left="454" w:hanging="454"/>
      </w:pPr>
    </w:p>
    <w:p w:rsidR="006534E7" w:rsidRDefault="006534E7" w:rsidP="000B67C5">
      <w:pPr>
        <w:pStyle w:val="Text"/>
        <w:ind w:firstLine="0"/>
        <w:jc w:val="center"/>
        <w:rPr>
          <w:i/>
        </w:rPr>
      </w:pPr>
      <w:r w:rsidRPr="006534E7">
        <w:rPr>
          <w:i/>
        </w:rPr>
        <w:t>Für</w:t>
      </w:r>
    </w:p>
    <w:p w:rsidR="006534E7" w:rsidRDefault="006534E7" w:rsidP="000B67C5">
      <w:pPr>
        <w:pStyle w:val="Text"/>
        <w:ind w:firstLine="0"/>
        <w:jc w:val="center"/>
        <w:rPr>
          <w:i/>
        </w:rPr>
      </w:pPr>
    </w:p>
    <w:p w:rsidR="008B1FB5" w:rsidRDefault="00CF6655" w:rsidP="000B67C5">
      <w:pPr>
        <w:pStyle w:val="Text"/>
        <w:ind w:firstLine="0"/>
        <w:jc w:val="center"/>
      </w:pPr>
      <w:r>
        <w:t>Frauke Siefkes</w:t>
      </w:r>
      <w:r w:rsidR="00363C1C">
        <w:fldChar w:fldCharType="begin"/>
      </w:r>
      <w:r w:rsidR="003566B0">
        <w:instrText xml:space="preserve"> XE "</w:instrText>
      </w:r>
      <w:r w:rsidR="003566B0" w:rsidRPr="00112107">
        <w:instrText>Siefkes, Dr. Frauke</w:instrText>
      </w:r>
      <w:r w:rsidR="003566B0">
        <w:instrText xml:space="preserve">" </w:instrText>
      </w:r>
      <w:r w:rsidR="00363C1C">
        <w:fldChar w:fldCharType="end"/>
      </w:r>
    </w:p>
    <w:p w:rsidR="00CF6655" w:rsidRDefault="00CF6655" w:rsidP="000B67C5">
      <w:pPr>
        <w:pStyle w:val="Text"/>
        <w:ind w:firstLine="0"/>
        <w:jc w:val="center"/>
      </w:pPr>
    </w:p>
    <w:p w:rsidR="00CF6655" w:rsidRPr="00CF6655" w:rsidRDefault="00CF6655" w:rsidP="000B67C5">
      <w:pPr>
        <w:pStyle w:val="Text"/>
        <w:ind w:firstLine="0"/>
        <w:jc w:val="center"/>
        <w:rPr>
          <w:i/>
        </w:rPr>
      </w:pPr>
      <w:r w:rsidRPr="00CF6655">
        <w:rPr>
          <w:i/>
        </w:rPr>
        <w:t>die mi</w:t>
      </w:r>
      <w:r w:rsidR="0097683A">
        <w:rPr>
          <w:i/>
        </w:rPr>
        <w:t xml:space="preserve">ch auf das </w:t>
      </w:r>
      <w:r w:rsidRPr="00CF6655">
        <w:rPr>
          <w:i/>
        </w:rPr>
        <w:t xml:space="preserve">Tagebuch </w:t>
      </w:r>
      <w:r w:rsidR="0097683A">
        <w:rPr>
          <w:i/>
        </w:rPr>
        <w:t>aufmerksam machte</w:t>
      </w:r>
    </w:p>
    <w:p w:rsidR="00F73466" w:rsidRPr="00130B8D" w:rsidRDefault="007924FE" w:rsidP="00CF6655">
      <w:pPr>
        <w:tabs>
          <w:tab w:val="clear" w:pos="397"/>
          <w:tab w:val="clear" w:pos="567"/>
          <w:tab w:val="clear" w:pos="851"/>
          <w:tab w:val="clear" w:pos="1134"/>
          <w:tab w:val="clear" w:pos="1418"/>
        </w:tabs>
        <w:ind w:firstLine="0"/>
        <w:jc w:val="center"/>
        <w:sectPr w:rsidR="00F73466" w:rsidRPr="00130B8D" w:rsidSect="00C146F0">
          <w:type w:val="continuous"/>
          <w:pgSz w:w="8789" w:h="13325" w:code="9"/>
          <w:pgMar w:top="1134" w:right="851" w:bottom="1418" w:left="1134" w:header="567" w:footer="680" w:gutter="0"/>
          <w:cols w:space="720"/>
          <w:titlePg/>
          <w:docGrid w:linePitch="360"/>
        </w:sectPr>
      </w:pPr>
      <w:r>
        <w:br w:type="page"/>
      </w:r>
    </w:p>
    <w:sdt>
      <w:sdtPr>
        <w:rPr>
          <w:rFonts w:ascii="Times New Roman" w:eastAsia="Lucida Sans Unicode" w:hAnsi="Times New Roman" w:cs="Tahoma"/>
          <w:color w:val="auto"/>
          <w:sz w:val="24"/>
          <w:szCs w:val="24"/>
        </w:rPr>
        <w:id w:val="6418116"/>
        <w:docPartObj>
          <w:docPartGallery w:val="Table of Contents"/>
          <w:docPartUnique/>
        </w:docPartObj>
      </w:sdtPr>
      <w:sdtEndPr>
        <w:rPr>
          <w:rFonts w:ascii="OrigGarmnd BT" w:hAnsi="OrigGarmnd BT"/>
          <w:sz w:val="22"/>
        </w:rPr>
      </w:sdtEndPr>
      <w:sdtContent>
        <w:bookmarkStart w:id="0" w:name="_Toc289939191" w:displacedByCustomXml="prev"/>
        <w:bookmarkStart w:id="1" w:name="_Toc289421040" w:displacedByCustomXml="prev"/>
        <w:bookmarkStart w:id="2" w:name="_Toc289929729" w:displacedByCustomXml="prev"/>
        <w:p w:rsidR="00211F44" w:rsidRDefault="00211F44" w:rsidP="00B55B23">
          <w:pPr>
            <w:pStyle w:val="TitelfrInhaltsverzeichnis"/>
          </w:pPr>
          <w:r>
            <w:t>Inhalt</w:t>
          </w:r>
          <w:bookmarkEnd w:id="2"/>
          <w:bookmarkEnd w:id="1"/>
          <w:bookmarkEnd w:id="0"/>
        </w:p>
        <w:p w:rsidR="005A6F7F" w:rsidRDefault="00363C1C">
          <w:pPr>
            <w:pStyle w:val="Verzeichnis1"/>
            <w:rPr>
              <w:rFonts w:asciiTheme="minorHAnsi" w:eastAsiaTheme="minorEastAsia" w:hAnsiTheme="minorHAnsi" w:cstheme="minorBidi"/>
              <w:noProof/>
              <w:szCs w:val="22"/>
            </w:rPr>
          </w:pPr>
          <w:r>
            <w:fldChar w:fldCharType="begin"/>
          </w:r>
          <w:r w:rsidR="00B55B23">
            <w:instrText xml:space="preserve"> TOC \o "2-3" \h \z \t "Überschrift 1,1,Titel,1,Titel ohne Nummer,1,Titel 4,4,Titel 6,6,Titel 5,5" </w:instrText>
          </w:r>
          <w:r>
            <w:fldChar w:fldCharType="separate"/>
          </w:r>
          <w:hyperlink w:anchor="_Toc327387947" w:history="1">
            <w:r w:rsidR="005A6F7F" w:rsidRPr="00AD4DDC">
              <w:rPr>
                <w:rStyle w:val="Hyperlink"/>
                <w:noProof/>
              </w:rPr>
              <w:t>Einleitung</w:t>
            </w:r>
            <w:r w:rsidR="005A6F7F">
              <w:rPr>
                <w:noProof/>
                <w:webHidden/>
              </w:rPr>
              <w:tab/>
            </w:r>
            <w:r>
              <w:rPr>
                <w:noProof/>
                <w:webHidden/>
              </w:rPr>
              <w:fldChar w:fldCharType="begin"/>
            </w:r>
            <w:r w:rsidR="005A6F7F">
              <w:rPr>
                <w:noProof/>
                <w:webHidden/>
              </w:rPr>
              <w:instrText xml:space="preserve"> PAGEREF _Toc327387947 \h </w:instrText>
            </w:r>
            <w:r>
              <w:rPr>
                <w:noProof/>
                <w:webHidden/>
              </w:rPr>
            </w:r>
            <w:r>
              <w:rPr>
                <w:noProof/>
                <w:webHidden/>
              </w:rPr>
              <w:fldChar w:fldCharType="separate"/>
            </w:r>
            <w:r w:rsidR="00216538">
              <w:rPr>
                <w:noProof/>
                <w:webHidden/>
              </w:rPr>
              <w:t>11</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7948" w:history="1">
            <w:r w:rsidR="005A6F7F" w:rsidRPr="00AD4DDC">
              <w:rPr>
                <w:rStyle w:val="Hyperlink"/>
                <w:noProof/>
              </w:rPr>
              <w:t>Kapitel 1: Die Reise</w:t>
            </w:r>
            <w:r w:rsidR="005A6F7F">
              <w:rPr>
                <w:noProof/>
                <w:webHidden/>
              </w:rPr>
              <w:tab/>
            </w:r>
            <w:r>
              <w:rPr>
                <w:noProof/>
                <w:webHidden/>
              </w:rPr>
              <w:fldChar w:fldCharType="begin"/>
            </w:r>
            <w:r w:rsidR="005A6F7F">
              <w:rPr>
                <w:noProof/>
                <w:webHidden/>
              </w:rPr>
              <w:instrText xml:space="preserve"> PAGEREF _Toc327387948 \h </w:instrText>
            </w:r>
            <w:r>
              <w:rPr>
                <w:noProof/>
                <w:webHidden/>
              </w:rPr>
            </w:r>
            <w:r>
              <w:rPr>
                <w:noProof/>
                <w:webHidden/>
              </w:rPr>
              <w:fldChar w:fldCharType="separate"/>
            </w:r>
            <w:r w:rsidR="00216538">
              <w:rPr>
                <w:noProof/>
                <w:webHidden/>
              </w:rPr>
              <w:t>14</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49" w:history="1">
            <w:r w:rsidR="005A6F7F" w:rsidRPr="00AD4DDC">
              <w:rPr>
                <w:rStyle w:val="Hyperlink"/>
                <w:noProof/>
              </w:rPr>
              <w:t>1.1</w:t>
            </w:r>
            <w:r w:rsidR="005A6F7F">
              <w:rPr>
                <w:rFonts w:asciiTheme="minorHAnsi" w:eastAsiaTheme="minorEastAsia" w:hAnsiTheme="minorHAnsi" w:cstheme="minorBidi"/>
                <w:noProof/>
                <w:sz w:val="22"/>
                <w:szCs w:val="22"/>
              </w:rPr>
              <w:tab/>
            </w:r>
            <w:r w:rsidR="005A6F7F" w:rsidRPr="00AD4DDC">
              <w:rPr>
                <w:rStyle w:val="Hyperlink"/>
                <w:noProof/>
              </w:rPr>
              <w:t>Als Missionsinspektor in Afrika</w:t>
            </w:r>
            <w:r w:rsidR="005A6F7F">
              <w:rPr>
                <w:noProof/>
                <w:webHidden/>
              </w:rPr>
              <w:tab/>
            </w:r>
            <w:r>
              <w:rPr>
                <w:noProof/>
                <w:webHidden/>
              </w:rPr>
              <w:fldChar w:fldCharType="begin"/>
            </w:r>
            <w:r w:rsidR="005A6F7F">
              <w:rPr>
                <w:noProof/>
                <w:webHidden/>
              </w:rPr>
              <w:instrText xml:space="preserve"> PAGEREF _Toc327387949 \h </w:instrText>
            </w:r>
            <w:r>
              <w:rPr>
                <w:noProof/>
                <w:webHidden/>
              </w:rPr>
            </w:r>
            <w:r>
              <w:rPr>
                <w:noProof/>
                <w:webHidden/>
              </w:rPr>
              <w:fldChar w:fldCharType="separate"/>
            </w:r>
            <w:r w:rsidR="00216538">
              <w:rPr>
                <w:noProof/>
                <w:webHidden/>
              </w:rPr>
              <w:t>14</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0" w:history="1">
            <w:r w:rsidR="005A6F7F" w:rsidRPr="00AD4DDC">
              <w:rPr>
                <w:rStyle w:val="Hyperlink"/>
                <w:noProof/>
              </w:rPr>
              <w:t>1.1.1</w:t>
            </w:r>
            <w:r w:rsidR="005A6F7F">
              <w:rPr>
                <w:rFonts w:asciiTheme="minorHAnsi" w:eastAsiaTheme="minorEastAsia" w:hAnsiTheme="minorHAnsi" w:cstheme="minorBidi"/>
                <w:noProof/>
                <w:sz w:val="22"/>
                <w:szCs w:val="22"/>
              </w:rPr>
              <w:tab/>
            </w:r>
            <w:r w:rsidR="005A6F7F" w:rsidRPr="00AD4DDC">
              <w:rPr>
                <w:rStyle w:val="Hyperlink"/>
                <w:noProof/>
              </w:rPr>
              <w:t>Zwei Brüder im Dienste der Mission</w:t>
            </w:r>
            <w:r w:rsidR="005A6F7F">
              <w:rPr>
                <w:noProof/>
                <w:webHidden/>
              </w:rPr>
              <w:tab/>
            </w:r>
            <w:r>
              <w:rPr>
                <w:noProof/>
                <w:webHidden/>
              </w:rPr>
              <w:fldChar w:fldCharType="begin"/>
            </w:r>
            <w:r w:rsidR="005A6F7F">
              <w:rPr>
                <w:noProof/>
                <w:webHidden/>
              </w:rPr>
              <w:instrText xml:space="preserve"> PAGEREF _Toc327387950 \h </w:instrText>
            </w:r>
            <w:r>
              <w:rPr>
                <w:noProof/>
                <w:webHidden/>
              </w:rPr>
            </w:r>
            <w:r>
              <w:rPr>
                <w:noProof/>
                <w:webHidden/>
              </w:rPr>
              <w:fldChar w:fldCharType="separate"/>
            </w:r>
            <w:r w:rsidR="00216538">
              <w:rPr>
                <w:noProof/>
                <w:webHidden/>
              </w:rPr>
              <w:t>14</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1" w:history="1">
            <w:r w:rsidR="005A6F7F" w:rsidRPr="00AD4DDC">
              <w:rPr>
                <w:rStyle w:val="Hyperlink"/>
                <w:noProof/>
              </w:rPr>
              <w:t>1.1.2</w:t>
            </w:r>
            <w:r w:rsidR="005A6F7F">
              <w:rPr>
                <w:rFonts w:asciiTheme="minorHAnsi" w:eastAsiaTheme="minorEastAsia" w:hAnsiTheme="minorHAnsi" w:cstheme="minorBidi"/>
                <w:noProof/>
                <w:sz w:val="22"/>
                <w:szCs w:val="22"/>
              </w:rPr>
              <w:tab/>
            </w:r>
            <w:r w:rsidR="005A6F7F" w:rsidRPr="00AD4DDC">
              <w:rPr>
                <w:rStyle w:val="Hyperlink"/>
                <w:noProof/>
              </w:rPr>
              <w:t>Das Tagebuch</w:t>
            </w:r>
            <w:r w:rsidR="005A6F7F">
              <w:rPr>
                <w:noProof/>
                <w:webHidden/>
              </w:rPr>
              <w:tab/>
            </w:r>
            <w:r>
              <w:rPr>
                <w:noProof/>
                <w:webHidden/>
              </w:rPr>
              <w:fldChar w:fldCharType="begin"/>
            </w:r>
            <w:r w:rsidR="005A6F7F">
              <w:rPr>
                <w:noProof/>
                <w:webHidden/>
              </w:rPr>
              <w:instrText xml:space="preserve"> PAGEREF _Toc327387951 \h </w:instrText>
            </w:r>
            <w:r>
              <w:rPr>
                <w:noProof/>
                <w:webHidden/>
              </w:rPr>
            </w:r>
            <w:r>
              <w:rPr>
                <w:noProof/>
                <w:webHidden/>
              </w:rPr>
              <w:fldChar w:fldCharType="separate"/>
            </w:r>
            <w:r w:rsidR="00216538">
              <w:rPr>
                <w:noProof/>
                <w:webHidden/>
              </w:rPr>
              <w:t>17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2" w:history="1">
            <w:r w:rsidR="005A6F7F" w:rsidRPr="00AD4DDC">
              <w:rPr>
                <w:rStyle w:val="Hyperlink"/>
                <w:noProof/>
              </w:rPr>
              <w:t>1.1.3</w:t>
            </w:r>
            <w:r w:rsidR="005A6F7F">
              <w:rPr>
                <w:rFonts w:asciiTheme="minorHAnsi" w:eastAsiaTheme="minorEastAsia" w:hAnsiTheme="minorHAnsi" w:cstheme="minorBidi"/>
                <w:noProof/>
                <w:sz w:val="22"/>
                <w:szCs w:val="22"/>
              </w:rPr>
              <w:tab/>
            </w:r>
            <w:r w:rsidR="005A6F7F" w:rsidRPr="00AD4DDC">
              <w:rPr>
                <w:rStyle w:val="Hyperlink"/>
                <w:noProof/>
              </w:rPr>
              <w:t>Reiseroute</w:t>
            </w:r>
            <w:r w:rsidR="005A6F7F">
              <w:rPr>
                <w:noProof/>
                <w:webHidden/>
              </w:rPr>
              <w:tab/>
            </w:r>
            <w:r>
              <w:rPr>
                <w:noProof/>
                <w:webHidden/>
              </w:rPr>
              <w:fldChar w:fldCharType="begin"/>
            </w:r>
            <w:r w:rsidR="005A6F7F">
              <w:rPr>
                <w:noProof/>
                <w:webHidden/>
              </w:rPr>
              <w:instrText xml:space="preserve"> PAGEREF _Toc327387952 \h </w:instrText>
            </w:r>
            <w:r>
              <w:rPr>
                <w:noProof/>
                <w:webHidden/>
              </w:rPr>
            </w:r>
            <w:r>
              <w:rPr>
                <w:noProof/>
                <w:webHidden/>
              </w:rPr>
              <w:fldChar w:fldCharType="separate"/>
            </w:r>
            <w:r w:rsidR="00216538">
              <w:rPr>
                <w:noProof/>
                <w:webHidden/>
              </w:rPr>
              <w:t>19</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53" w:history="1">
            <w:r w:rsidR="005A6F7F" w:rsidRPr="00AD4DDC">
              <w:rPr>
                <w:rStyle w:val="Hyperlink"/>
                <w:noProof/>
              </w:rPr>
              <w:t>1.2</w:t>
            </w:r>
            <w:r w:rsidR="005A6F7F">
              <w:rPr>
                <w:rFonts w:asciiTheme="minorHAnsi" w:eastAsiaTheme="minorEastAsia" w:hAnsiTheme="minorHAnsi" w:cstheme="minorBidi"/>
                <w:noProof/>
                <w:sz w:val="22"/>
                <w:szCs w:val="22"/>
              </w:rPr>
              <w:tab/>
            </w:r>
            <w:r w:rsidR="005A6F7F" w:rsidRPr="00AD4DDC">
              <w:rPr>
                <w:rStyle w:val="Hyperlink"/>
                <w:noProof/>
              </w:rPr>
              <w:t>Leben auf dem „pad“</w:t>
            </w:r>
            <w:r w:rsidR="005A6F7F">
              <w:rPr>
                <w:noProof/>
                <w:webHidden/>
              </w:rPr>
              <w:tab/>
            </w:r>
            <w:r>
              <w:rPr>
                <w:noProof/>
                <w:webHidden/>
              </w:rPr>
              <w:fldChar w:fldCharType="begin"/>
            </w:r>
            <w:r w:rsidR="005A6F7F">
              <w:rPr>
                <w:noProof/>
                <w:webHidden/>
              </w:rPr>
              <w:instrText xml:space="preserve"> PAGEREF _Toc327387953 \h </w:instrText>
            </w:r>
            <w:r>
              <w:rPr>
                <w:noProof/>
                <w:webHidden/>
              </w:rPr>
            </w:r>
            <w:r>
              <w:rPr>
                <w:noProof/>
                <w:webHidden/>
              </w:rPr>
              <w:fldChar w:fldCharType="separate"/>
            </w:r>
            <w:r w:rsidR="00216538">
              <w:rPr>
                <w:noProof/>
                <w:webHidden/>
              </w:rPr>
              <w:t>25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4" w:history="1">
            <w:r w:rsidR="005A6F7F" w:rsidRPr="00AD4DDC">
              <w:rPr>
                <w:rStyle w:val="Hyperlink"/>
                <w:noProof/>
              </w:rPr>
              <w:t>1.2.1</w:t>
            </w:r>
            <w:r w:rsidR="005A6F7F">
              <w:rPr>
                <w:rFonts w:asciiTheme="minorHAnsi" w:eastAsiaTheme="minorEastAsia" w:hAnsiTheme="minorHAnsi" w:cstheme="minorBidi"/>
                <w:noProof/>
                <w:sz w:val="22"/>
                <w:szCs w:val="22"/>
              </w:rPr>
              <w:tab/>
            </w:r>
            <w:r w:rsidR="005A6F7F" w:rsidRPr="00AD4DDC">
              <w:rPr>
                <w:rStyle w:val="Hyperlink"/>
                <w:noProof/>
              </w:rPr>
              <w:t>Schöne und lästige Seiten des Reisens in Afrika</w:t>
            </w:r>
            <w:r w:rsidR="005A6F7F">
              <w:rPr>
                <w:noProof/>
                <w:webHidden/>
              </w:rPr>
              <w:tab/>
            </w:r>
            <w:r>
              <w:rPr>
                <w:noProof/>
                <w:webHidden/>
              </w:rPr>
              <w:fldChar w:fldCharType="begin"/>
            </w:r>
            <w:r w:rsidR="005A6F7F">
              <w:rPr>
                <w:noProof/>
                <w:webHidden/>
              </w:rPr>
              <w:instrText xml:space="preserve"> PAGEREF _Toc327387954 \h </w:instrText>
            </w:r>
            <w:r>
              <w:rPr>
                <w:noProof/>
                <w:webHidden/>
              </w:rPr>
            </w:r>
            <w:r>
              <w:rPr>
                <w:noProof/>
                <w:webHidden/>
              </w:rPr>
              <w:fldChar w:fldCharType="separate"/>
            </w:r>
            <w:r w:rsidR="00216538">
              <w:rPr>
                <w:noProof/>
                <w:webHidden/>
              </w:rPr>
              <w:t>25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5" w:history="1">
            <w:r w:rsidR="005A6F7F" w:rsidRPr="00AD4DDC">
              <w:rPr>
                <w:rStyle w:val="Hyperlink"/>
                <w:noProof/>
              </w:rPr>
              <w:t>1.2.2</w:t>
            </w:r>
            <w:r w:rsidR="005A6F7F">
              <w:rPr>
                <w:rFonts w:asciiTheme="minorHAnsi" w:eastAsiaTheme="minorEastAsia" w:hAnsiTheme="minorHAnsi" w:cstheme="minorBidi"/>
                <w:noProof/>
                <w:sz w:val="22"/>
                <w:szCs w:val="22"/>
              </w:rPr>
              <w:tab/>
            </w:r>
            <w:r w:rsidR="005A6F7F" w:rsidRPr="00AD4DDC">
              <w:rPr>
                <w:rStyle w:val="Hyperlink"/>
                <w:noProof/>
              </w:rPr>
              <w:t>Gesundheitsgefahren</w:t>
            </w:r>
            <w:r w:rsidR="005A6F7F">
              <w:rPr>
                <w:noProof/>
                <w:webHidden/>
              </w:rPr>
              <w:tab/>
            </w:r>
            <w:r>
              <w:rPr>
                <w:noProof/>
                <w:webHidden/>
              </w:rPr>
              <w:fldChar w:fldCharType="begin"/>
            </w:r>
            <w:r w:rsidR="005A6F7F">
              <w:rPr>
                <w:noProof/>
                <w:webHidden/>
              </w:rPr>
              <w:instrText xml:space="preserve"> PAGEREF _Toc327387955 \h </w:instrText>
            </w:r>
            <w:r>
              <w:rPr>
                <w:noProof/>
                <w:webHidden/>
              </w:rPr>
            </w:r>
            <w:r>
              <w:rPr>
                <w:noProof/>
                <w:webHidden/>
              </w:rPr>
              <w:fldChar w:fldCharType="separate"/>
            </w:r>
            <w:r w:rsidR="00216538">
              <w:rPr>
                <w:noProof/>
                <w:webHidden/>
              </w:rPr>
              <w:t>26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56" w:history="1">
            <w:r w:rsidR="005A6F7F" w:rsidRPr="00AD4DDC">
              <w:rPr>
                <w:rStyle w:val="Hyperlink"/>
                <w:noProof/>
              </w:rPr>
              <w:t>1.2.2.1</w:t>
            </w:r>
            <w:r w:rsidR="005A6F7F">
              <w:rPr>
                <w:rFonts w:asciiTheme="minorHAnsi" w:eastAsiaTheme="minorEastAsia" w:hAnsiTheme="minorHAnsi" w:cstheme="minorBidi"/>
                <w:noProof/>
                <w:sz w:val="22"/>
                <w:szCs w:val="22"/>
              </w:rPr>
              <w:tab/>
            </w:r>
            <w:r w:rsidR="005A6F7F" w:rsidRPr="00AD4DDC">
              <w:rPr>
                <w:rStyle w:val="Hyperlink"/>
                <w:noProof/>
              </w:rPr>
              <w:t>Die Krankheit in Okombahe</w:t>
            </w:r>
            <w:r w:rsidR="005A6F7F">
              <w:rPr>
                <w:noProof/>
                <w:webHidden/>
              </w:rPr>
              <w:tab/>
            </w:r>
            <w:r>
              <w:rPr>
                <w:noProof/>
                <w:webHidden/>
              </w:rPr>
              <w:fldChar w:fldCharType="begin"/>
            </w:r>
            <w:r w:rsidR="005A6F7F">
              <w:rPr>
                <w:noProof/>
                <w:webHidden/>
              </w:rPr>
              <w:instrText xml:space="preserve"> PAGEREF _Toc327387956 \h </w:instrText>
            </w:r>
            <w:r>
              <w:rPr>
                <w:noProof/>
                <w:webHidden/>
              </w:rPr>
            </w:r>
            <w:r>
              <w:rPr>
                <w:noProof/>
                <w:webHidden/>
              </w:rPr>
              <w:fldChar w:fldCharType="separate"/>
            </w:r>
            <w:r w:rsidR="00216538">
              <w:rPr>
                <w:noProof/>
                <w:webHidden/>
              </w:rPr>
              <w:t>26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57" w:history="1">
            <w:r w:rsidR="005A6F7F" w:rsidRPr="00AD4DDC">
              <w:rPr>
                <w:rStyle w:val="Hyperlink"/>
                <w:noProof/>
              </w:rPr>
              <w:t>1.2.2.2</w:t>
            </w:r>
            <w:r w:rsidR="005A6F7F">
              <w:rPr>
                <w:rFonts w:asciiTheme="minorHAnsi" w:eastAsiaTheme="minorEastAsia" w:hAnsiTheme="minorHAnsi" w:cstheme="minorBidi"/>
                <w:noProof/>
                <w:sz w:val="22"/>
                <w:szCs w:val="22"/>
              </w:rPr>
              <w:tab/>
            </w:r>
            <w:r w:rsidR="005A6F7F" w:rsidRPr="00AD4DDC">
              <w:rPr>
                <w:rStyle w:val="Hyperlink"/>
                <w:noProof/>
              </w:rPr>
              <w:t>Wasserqualität und andere Gefahren</w:t>
            </w:r>
            <w:r w:rsidR="005A6F7F">
              <w:rPr>
                <w:noProof/>
                <w:webHidden/>
              </w:rPr>
              <w:tab/>
            </w:r>
            <w:r>
              <w:rPr>
                <w:noProof/>
                <w:webHidden/>
              </w:rPr>
              <w:fldChar w:fldCharType="begin"/>
            </w:r>
            <w:r w:rsidR="005A6F7F">
              <w:rPr>
                <w:noProof/>
                <w:webHidden/>
              </w:rPr>
              <w:instrText xml:space="preserve"> PAGEREF _Toc327387957 \h </w:instrText>
            </w:r>
            <w:r>
              <w:rPr>
                <w:noProof/>
                <w:webHidden/>
              </w:rPr>
            </w:r>
            <w:r>
              <w:rPr>
                <w:noProof/>
                <w:webHidden/>
              </w:rPr>
              <w:fldChar w:fldCharType="separate"/>
            </w:r>
            <w:r w:rsidR="00216538">
              <w:rPr>
                <w:noProof/>
                <w:webHidden/>
              </w:rPr>
              <w:t>27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8" w:history="1">
            <w:r w:rsidR="005A6F7F" w:rsidRPr="00AD4DDC">
              <w:rPr>
                <w:rStyle w:val="Hyperlink"/>
                <w:noProof/>
              </w:rPr>
              <w:t>1.2.3</w:t>
            </w:r>
            <w:r w:rsidR="005A6F7F">
              <w:rPr>
                <w:rFonts w:asciiTheme="minorHAnsi" w:eastAsiaTheme="minorEastAsia" w:hAnsiTheme="minorHAnsi" w:cstheme="minorBidi"/>
                <w:noProof/>
                <w:sz w:val="22"/>
                <w:szCs w:val="22"/>
              </w:rPr>
              <w:tab/>
            </w:r>
            <w:r w:rsidR="005A6F7F" w:rsidRPr="00AD4DDC">
              <w:rPr>
                <w:rStyle w:val="Hyperlink"/>
                <w:noProof/>
              </w:rPr>
              <w:t>Reisen mit der Bahn</w:t>
            </w:r>
            <w:r w:rsidR="005A6F7F">
              <w:rPr>
                <w:noProof/>
                <w:webHidden/>
              </w:rPr>
              <w:tab/>
            </w:r>
            <w:r>
              <w:rPr>
                <w:noProof/>
                <w:webHidden/>
              </w:rPr>
              <w:fldChar w:fldCharType="begin"/>
            </w:r>
            <w:r w:rsidR="005A6F7F">
              <w:rPr>
                <w:noProof/>
                <w:webHidden/>
              </w:rPr>
              <w:instrText xml:space="preserve"> PAGEREF _Toc327387958 \h </w:instrText>
            </w:r>
            <w:r>
              <w:rPr>
                <w:noProof/>
                <w:webHidden/>
              </w:rPr>
            </w:r>
            <w:r>
              <w:rPr>
                <w:noProof/>
                <w:webHidden/>
              </w:rPr>
              <w:fldChar w:fldCharType="separate"/>
            </w:r>
            <w:r w:rsidR="00216538">
              <w:rPr>
                <w:noProof/>
                <w:webHidden/>
              </w:rPr>
              <w:t>30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59" w:history="1">
            <w:r w:rsidR="005A6F7F" w:rsidRPr="00AD4DDC">
              <w:rPr>
                <w:rStyle w:val="Hyperlink"/>
                <w:noProof/>
              </w:rPr>
              <w:t>1.2.4</w:t>
            </w:r>
            <w:r w:rsidR="005A6F7F">
              <w:rPr>
                <w:rFonts w:asciiTheme="minorHAnsi" w:eastAsiaTheme="minorEastAsia" w:hAnsiTheme="minorHAnsi" w:cstheme="minorBidi"/>
                <w:noProof/>
                <w:sz w:val="22"/>
                <w:szCs w:val="22"/>
              </w:rPr>
              <w:tab/>
            </w:r>
            <w:r w:rsidR="005A6F7F" w:rsidRPr="00AD4DDC">
              <w:rPr>
                <w:rStyle w:val="Hyperlink"/>
                <w:noProof/>
              </w:rPr>
              <w:t>Reisen mit dem Ochsenwagen</w:t>
            </w:r>
            <w:r w:rsidR="005A6F7F">
              <w:rPr>
                <w:noProof/>
                <w:webHidden/>
              </w:rPr>
              <w:tab/>
            </w:r>
            <w:r>
              <w:rPr>
                <w:noProof/>
                <w:webHidden/>
              </w:rPr>
              <w:fldChar w:fldCharType="begin"/>
            </w:r>
            <w:r w:rsidR="005A6F7F">
              <w:rPr>
                <w:noProof/>
                <w:webHidden/>
              </w:rPr>
              <w:instrText xml:space="preserve"> PAGEREF _Toc327387959 \h </w:instrText>
            </w:r>
            <w:r>
              <w:rPr>
                <w:noProof/>
                <w:webHidden/>
              </w:rPr>
            </w:r>
            <w:r>
              <w:rPr>
                <w:noProof/>
                <w:webHidden/>
              </w:rPr>
              <w:fldChar w:fldCharType="separate"/>
            </w:r>
            <w:r w:rsidR="00216538">
              <w:rPr>
                <w:noProof/>
                <w:webHidden/>
              </w:rPr>
              <w:t>32</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60" w:history="1">
            <w:r w:rsidR="005A6F7F" w:rsidRPr="00AD4DDC">
              <w:rPr>
                <w:rStyle w:val="Hyperlink"/>
                <w:noProof/>
              </w:rPr>
              <w:t>1.3</w:t>
            </w:r>
            <w:r w:rsidR="005A6F7F">
              <w:rPr>
                <w:rFonts w:asciiTheme="minorHAnsi" w:eastAsiaTheme="minorEastAsia" w:hAnsiTheme="minorHAnsi" w:cstheme="minorBidi"/>
                <w:noProof/>
                <w:sz w:val="22"/>
                <w:szCs w:val="22"/>
              </w:rPr>
              <w:tab/>
            </w:r>
            <w:r w:rsidR="005A6F7F" w:rsidRPr="00AD4DDC">
              <w:rPr>
                <w:rStyle w:val="Hyperlink"/>
                <w:noProof/>
              </w:rPr>
              <w:t>Reisen und Schreiben</w:t>
            </w:r>
            <w:r w:rsidR="005A6F7F">
              <w:rPr>
                <w:noProof/>
                <w:webHidden/>
              </w:rPr>
              <w:tab/>
            </w:r>
            <w:r>
              <w:rPr>
                <w:noProof/>
                <w:webHidden/>
              </w:rPr>
              <w:fldChar w:fldCharType="begin"/>
            </w:r>
            <w:r w:rsidR="005A6F7F">
              <w:rPr>
                <w:noProof/>
                <w:webHidden/>
              </w:rPr>
              <w:instrText xml:space="preserve"> PAGEREF _Toc327387960 \h </w:instrText>
            </w:r>
            <w:r>
              <w:rPr>
                <w:noProof/>
                <w:webHidden/>
              </w:rPr>
            </w:r>
            <w:r>
              <w:rPr>
                <w:noProof/>
                <w:webHidden/>
              </w:rPr>
              <w:fldChar w:fldCharType="separate"/>
            </w:r>
            <w:r w:rsidR="00216538">
              <w:rPr>
                <w:noProof/>
                <w:webHidden/>
              </w:rPr>
              <w:t>36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1" w:history="1">
            <w:r w:rsidR="005A6F7F" w:rsidRPr="00AD4DDC">
              <w:rPr>
                <w:rStyle w:val="Hyperlink"/>
                <w:noProof/>
              </w:rPr>
              <w:t>1.3.1</w:t>
            </w:r>
            <w:r w:rsidR="005A6F7F">
              <w:rPr>
                <w:rFonts w:asciiTheme="minorHAnsi" w:eastAsiaTheme="minorEastAsia" w:hAnsiTheme="minorHAnsi" w:cstheme="minorBidi"/>
                <w:noProof/>
                <w:sz w:val="22"/>
                <w:szCs w:val="22"/>
              </w:rPr>
              <w:tab/>
            </w:r>
            <w:r w:rsidR="005A6F7F" w:rsidRPr="00AD4DDC">
              <w:rPr>
                <w:rStyle w:val="Hyperlink"/>
                <w:noProof/>
              </w:rPr>
              <w:t>Der Reisebericht: Merkmale</w:t>
            </w:r>
            <w:r w:rsidR="005A6F7F">
              <w:rPr>
                <w:noProof/>
                <w:webHidden/>
              </w:rPr>
              <w:tab/>
            </w:r>
            <w:r>
              <w:rPr>
                <w:noProof/>
                <w:webHidden/>
              </w:rPr>
              <w:fldChar w:fldCharType="begin"/>
            </w:r>
            <w:r w:rsidR="005A6F7F">
              <w:rPr>
                <w:noProof/>
                <w:webHidden/>
              </w:rPr>
              <w:instrText xml:space="preserve"> PAGEREF _Toc327387961 \h </w:instrText>
            </w:r>
            <w:r>
              <w:rPr>
                <w:noProof/>
                <w:webHidden/>
              </w:rPr>
            </w:r>
            <w:r>
              <w:rPr>
                <w:noProof/>
                <w:webHidden/>
              </w:rPr>
              <w:fldChar w:fldCharType="separate"/>
            </w:r>
            <w:r w:rsidR="00216538">
              <w:rPr>
                <w:noProof/>
                <w:webHidden/>
              </w:rPr>
              <w:t>36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2" w:history="1">
            <w:r w:rsidR="005A6F7F" w:rsidRPr="00AD4DDC">
              <w:rPr>
                <w:rStyle w:val="Hyperlink"/>
                <w:noProof/>
              </w:rPr>
              <w:t>1.3.2</w:t>
            </w:r>
            <w:r w:rsidR="005A6F7F">
              <w:rPr>
                <w:rFonts w:asciiTheme="minorHAnsi" w:eastAsiaTheme="minorEastAsia" w:hAnsiTheme="minorHAnsi" w:cstheme="minorBidi"/>
                <w:noProof/>
                <w:sz w:val="22"/>
                <w:szCs w:val="22"/>
              </w:rPr>
              <w:tab/>
            </w:r>
            <w:r w:rsidR="005A6F7F" w:rsidRPr="00AD4DDC">
              <w:rPr>
                <w:rStyle w:val="Hyperlink"/>
                <w:noProof/>
              </w:rPr>
              <w:t>Beschreibungen</w:t>
            </w:r>
            <w:r w:rsidR="005A6F7F">
              <w:rPr>
                <w:noProof/>
                <w:webHidden/>
              </w:rPr>
              <w:tab/>
            </w:r>
            <w:r>
              <w:rPr>
                <w:noProof/>
                <w:webHidden/>
              </w:rPr>
              <w:fldChar w:fldCharType="begin"/>
            </w:r>
            <w:r w:rsidR="005A6F7F">
              <w:rPr>
                <w:noProof/>
                <w:webHidden/>
              </w:rPr>
              <w:instrText xml:space="preserve"> PAGEREF _Toc327387962 \h </w:instrText>
            </w:r>
            <w:r>
              <w:rPr>
                <w:noProof/>
                <w:webHidden/>
              </w:rPr>
            </w:r>
            <w:r>
              <w:rPr>
                <w:noProof/>
                <w:webHidden/>
              </w:rPr>
              <w:fldChar w:fldCharType="separate"/>
            </w:r>
            <w:r w:rsidR="00216538">
              <w:rPr>
                <w:noProof/>
                <w:webHidden/>
              </w:rPr>
              <w:t>39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3" w:history="1">
            <w:r w:rsidR="005A6F7F" w:rsidRPr="00AD4DDC">
              <w:rPr>
                <w:rStyle w:val="Hyperlink"/>
                <w:noProof/>
              </w:rPr>
              <w:t>1.3.3</w:t>
            </w:r>
            <w:r w:rsidR="005A6F7F">
              <w:rPr>
                <w:rFonts w:asciiTheme="minorHAnsi" w:eastAsiaTheme="minorEastAsia" w:hAnsiTheme="minorHAnsi" w:cstheme="minorBidi"/>
                <w:noProof/>
                <w:sz w:val="22"/>
                <w:szCs w:val="22"/>
              </w:rPr>
              <w:tab/>
            </w:r>
            <w:r w:rsidR="005A6F7F" w:rsidRPr="00AD4DDC">
              <w:rPr>
                <w:rStyle w:val="Hyperlink"/>
                <w:noProof/>
              </w:rPr>
              <w:t>Spieckers Bericht als Reisetagebuch</w:t>
            </w:r>
            <w:r w:rsidR="005A6F7F">
              <w:rPr>
                <w:noProof/>
                <w:webHidden/>
              </w:rPr>
              <w:tab/>
            </w:r>
            <w:r>
              <w:rPr>
                <w:noProof/>
                <w:webHidden/>
              </w:rPr>
              <w:fldChar w:fldCharType="begin"/>
            </w:r>
            <w:r w:rsidR="005A6F7F">
              <w:rPr>
                <w:noProof/>
                <w:webHidden/>
              </w:rPr>
              <w:instrText xml:space="preserve"> PAGEREF _Toc327387963 \h </w:instrText>
            </w:r>
            <w:r>
              <w:rPr>
                <w:noProof/>
                <w:webHidden/>
              </w:rPr>
            </w:r>
            <w:r>
              <w:rPr>
                <w:noProof/>
                <w:webHidden/>
              </w:rPr>
              <w:fldChar w:fldCharType="separate"/>
            </w:r>
            <w:r w:rsidR="00216538">
              <w:rPr>
                <w:noProof/>
                <w:webHidden/>
              </w:rPr>
              <w:t>40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4" w:history="1">
            <w:r w:rsidR="005A6F7F" w:rsidRPr="00AD4DDC">
              <w:rPr>
                <w:rStyle w:val="Hyperlink"/>
                <w:noProof/>
              </w:rPr>
              <w:t>1.3.4</w:t>
            </w:r>
            <w:r w:rsidR="005A6F7F">
              <w:rPr>
                <w:rFonts w:asciiTheme="minorHAnsi" w:eastAsiaTheme="minorEastAsia" w:hAnsiTheme="minorHAnsi" w:cstheme="minorBidi"/>
                <w:noProof/>
                <w:sz w:val="22"/>
                <w:szCs w:val="22"/>
              </w:rPr>
              <w:tab/>
            </w:r>
            <w:r w:rsidR="005A6F7F" w:rsidRPr="00AD4DDC">
              <w:rPr>
                <w:rStyle w:val="Hyperlink"/>
                <w:noProof/>
              </w:rPr>
              <w:t>Die Erzählstruktur</w:t>
            </w:r>
            <w:r w:rsidR="005A6F7F">
              <w:rPr>
                <w:noProof/>
                <w:webHidden/>
              </w:rPr>
              <w:tab/>
            </w:r>
            <w:r>
              <w:rPr>
                <w:noProof/>
                <w:webHidden/>
              </w:rPr>
              <w:fldChar w:fldCharType="begin"/>
            </w:r>
            <w:r w:rsidR="005A6F7F">
              <w:rPr>
                <w:noProof/>
                <w:webHidden/>
              </w:rPr>
              <w:instrText xml:space="preserve"> PAGEREF _Toc327387964 \h </w:instrText>
            </w:r>
            <w:r>
              <w:rPr>
                <w:noProof/>
                <w:webHidden/>
              </w:rPr>
            </w:r>
            <w:r>
              <w:rPr>
                <w:noProof/>
                <w:webHidden/>
              </w:rPr>
              <w:fldChar w:fldCharType="separate"/>
            </w:r>
            <w:r w:rsidR="00216538">
              <w:rPr>
                <w:noProof/>
                <w:webHidden/>
              </w:rPr>
              <w:t>41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5" w:history="1">
            <w:r w:rsidR="005A6F7F" w:rsidRPr="00AD4DDC">
              <w:rPr>
                <w:rStyle w:val="Hyperlink"/>
                <w:noProof/>
              </w:rPr>
              <w:t>1.3.5</w:t>
            </w:r>
            <w:r w:rsidR="005A6F7F">
              <w:rPr>
                <w:rFonts w:asciiTheme="minorHAnsi" w:eastAsiaTheme="minorEastAsia" w:hAnsiTheme="minorHAnsi" w:cstheme="minorBidi"/>
                <w:noProof/>
                <w:sz w:val="22"/>
                <w:szCs w:val="22"/>
              </w:rPr>
              <w:tab/>
            </w:r>
            <w:r w:rsidR="005A6F7F" w:rsidRPr="00AD4DDC">
              <w:rPr>
                <w:rStyle w:val="Hyperlink"/>
                <w:noProof/>
              </w:rPr>
              <w:t>Leseweisen des Reiseberichts</w:t>
            </w:r>
            <w:r w:rsidR="005A6F7F">
              <w:rPr>
                <w:noProof/>
                <w:webHidden/>
              </w:rPr>
              <w:tab/>
            </w:r>
            <w:r>
              <w:rPr>
                <w:noProof/>
                <w:webHidden/>
              </w:rPr>
              <w:fldChar w:fldCharType="begin"/>
            </w:r>
            <w:r w:rsidR="005A6F7F">
              <w:rPr>
                <w:noProof/>
                <w:webHidden/>
              </w:rPr>
              <w:instrText xml:space="preserve"> PAGEREF _Toc327387965 \h </w:instrText>
            </w:r>
            <w:r>
              <w:rPr>
                <w:noProof/>
                <w:webHidden/>
              </w:rPr>
            </w:r>
            <w:r>
              <w:rPr>
                <w:noProof/>
                <w:webHidden/>
              </w:rPr>
              <w:fldChar w:fldCharType="separate"/>
            </w:r>
            <w:r w:rsidR="00216538">
              <w:rPr>
                <w:noProof/>
                <w:webHidden/>
              </w:rPr>
              <w:t>42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6" w:history="1">
            <w:r w:rsidR="005A6F7F" w:rsidRPr="00AD4DDC">
              <w:rPr>
                <w:rStyle w:val="Hyperlink"/>
                <w:noProof/>
              </w:rPr>
              <w:t>1.3.6</w:t>
            </w:r>
            <w:r w:rsidR="005A6F7F">
              <w:rPr>
                <w:rFonts w:asciiTheme="minorHAnsi" w:eastAsiaTheme="minorEastAsia" w:hAnsiTheme="minorHAnsi" w:cstheme="minorBidi"/>
                <w:noProof/>
                <w:sz w:val="22"/>
                <w:szCs w:val="22"/>
              </w:rPr>
              <w:tab/>
            </w:r>
            <w:r w:rsidR="005A6F7F" w:rsidRPr="00AD4DDC">
              <w:rPr>
                <w:rStyle w:val="Hyperlink"/>
                <w:noProof/>
              </w:rPr>
              <w:t>Spieckers Bericht als Tagebuch</w:t>
            </w:r>
            <w:r w:rsidR="005A6F7F">
              <w:rPr>
                <w:noProof/>
                <w:webHidden/>
              </w:rPr>
              <w:tab/>
            </w:r>
            <w:r>
              <w:rPr>
                <w:noProof/>
                <w:webHidden/>
              </w:rPr>
              <w:fldChar w:fldCharType="begin"/>
            </w:r>
            <w:r w:rsidR="005A6F7F">
              <w:rPr>
                <w:noProof/>
                <w:webHidden/>
              </w:rPr>
              <w:instrText xml:space="preserve"> PAGEREF _Toc327387966 \h </w:instrText>
            </w:r>
            <w:r>
              <w:rPr>
                <w:noProof/>
                <w:webHidden/>
              </w:rPr>
            </w:r>
            <w:r>
              <w:rPr>
                <w:noProof/>
                <w:webHidden/>
              </w:rPr>
              <w:fldChar w:fldCharType="separate"/>
            </w:r>
            <w:r w:rsidR="00216538">
              <w:rPr>
                <w:noProof/>
                <w:webHidden/>
              </w:rPr>
              <w:t>43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7" w:history="1">
            <w:r w:rsidR="005A6F7F" w:rsidRPr="00AD4DDC">
              <w:rPr>
                <w:rStyle w:val="Hyperlink"/>
                <w:noProof/>
              </w:rPr>
              <w:t>1.3.7</w:t>
            </w:r>
            <w:r w:rsidR="005A6F7F">
              <w:rPr>
                <w:rFonts w:asciiTheme="minorHAnsi" w:eastAsiaTheme="minorEastAsia" w:hAnsiTheme="minorHAnsi" w:cstheme="minorBidi"/>
                <w:noProof/>
                <w:sz w:val="22"/>
                <w:szCs w:val="22"/>
              </w:rPr>
              <w:tab/>
            </w:r>
            <w:r w:rsidR="005A6F7F" w:rsidRPr="00AD4DDC">
              <w:rPr>
                <w:rStyle w:val="Hyperlink"/>
                <w:noProof/>
              </w:rPr>
              <w:t>… und Zeitdokument</w:t>
            </w:r>
            <w:r w:rsidR="005A6F7F">
              <w:rPr>
                <w:noProof/>
                <w:webHidden/>
              </w:rPr>
              <w:tab/>
            </w:r>
            <w:r>
              <w:rPr>
                <w:noProof/>
                <w:webHidden/>
              </w:rPr>
              <w:fldChar w:fldCharType="begin"/>
            </w:r>
            <w:r w:rsidR="005A6F7F">
              <w:rPr>
                <w:noProof/>
                <w:webHidden/>
              </w:rPr>
              <w:instrText xml:space="preserve"> PAGEREF _Toc327387967 \h </w:instrText>
            </w:r>
            <w:r>
              <w:rPr>
                <w:noProof/>
                <w:webHidden/>
              </w:rPr>
            </w:r>
            <w:r>
              <w:rPr>
                <w:noProof/>
                <w:webHidden/>
              </w:rPr>
              <w:fldChar w:fldCharType="separate"/>
            </w:r>
            <w:r w:rsidR="00216538">
              <w:rPr>
                <w:noProof/>
                <w:webHidden/>
              </w:rPr>
              <w:t>44</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68" w:history="1">
            <w:r w:rsidR="005A6F7F" w:rsidRPr="00AD4DDC">
              <w:rPr>
                <w:rStyle w:val="Hyperlink"/>
                <w:noProof/>
              </w:rPr>
              <w:t>1.4</w:t>
            </w:r>
            <w:r w:rsidR="005A6F7F">
              <w:rPr>
                <w:rFonts w:asciiTheme="minorHAnsi" w:eastAsiaTheme="minorEastAsia" w:hAnsiTheme="minorHAnsi" w:cstheme="minorBidi"/>
                <w:noProof/>
                <w:sz w:val="22"/>
                <w:szCs w:val="22"/>
              </w:rPr>
              <w:tab/>
            </w:r>
            <w:r w:rsidR="005A6F7F" w:rsidRPr="00AD4DDC">
              <w:rPr>
                <w:rStyle w:val="Hyperlink"/>
                <w:noProof/>
              </w:rPr>
              <w:t>Postkolonialismus als Methode</w:t>
            </w:r>
            <w:r w:rsidR="005A6F7F">
              <w:rPr>
                <w:noProof/>
                <w:webHidden/>
              </w:rPr>
              <w:tab/>
            </w:r>
            <w:r>
              <w:rPr>
                <w:noProof/>
                <w:webHidden/>
              </w:rPr>
              <w:fldChar w:fldCharType="begin"/>
            </w:r>
            <w:r w:rsidR="005A6F7F">
              <w:rPr>
                <w:noProof/>
                <w:webHidden/>
              </w:rPr>
              <w:instrText xml:space="preserve"> PAGEREF _Toc327387968 \h </w:instrText>
            </w:r>
            <w:r>
              <w:rPr>
                <w:noProof/>
                <w:webHidden/>
              </w:rPr>
            </w:r>
            <w:r>
              <w:rPr>
                <w:noProof/>
                <w:webHidden/>
              </w:rPr>
              <w:fldChar w:fldCharType="separate"/>
            </w:r>
            <w:r w:rsidR="00216538">
              <w:rPr>
                <w:noProof/>
                <w:webHidden/>
              </w:rPr>
              <w:t>46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69" w:history="1">
            <w:r w:rsidR="005A6F7F" w:rsidRPr="00AD4DDC">
              <w:rPr>
                <w:rStyle w:val="Hyperlink"/>
                <w:noProof/>
              </w:rPr>
              <w:t>1.4.1</w:t>
            </w:r>
            <w:r w:rsidR="005A6F7F">
              <w:rPr>
                <w:rFonts w:asciiTheme="minorHAnsi" w:eastAsiaTheme="minorEastAsia" w:hAnsiTheme="minorHAnsi" w:cstheme="minorBidi"/>
                <w:noProof/>
                <w:sz w:val="22"/>
                <w:szCs w:val="22"/>
              </w:rPr>
              <w:tab/>
            </w:r>
            <w:r w:rsidR="005A6F7F" w:rsidRPr="00AD4DDC">
              <w:rPr>
                <w:rStyle w:val="Hyperlink"/>
                <w:noProof/>
              </w:rPr>
              <w:t>Edward Said, Homi K. Bhabha und der koloniale Diskurs</w:t>
            </w:r>
            <w:r w:rsidR="005A6F7F">
              <w:rPr>
                <w:noProof/>
                <w:webHidden/>
              </w:rPr>
              <w:tab/>
            </w:r>
            <w:r>
              <w:rPr>
                <w:noProof/>
                <w:webHidden/>
              </w:rPr>
              <w:fldChar w:fldCharType="begin"/>
            </w:r>
            <w:r w:rsidR="005A6F7F">
              <w:rPr>
                <w:noProof/>
                <w:webHidden/>
              </w:rPr>
              <w:instrText xml:space="preserve"> PAGEREF _Toc327387969 \h </w:instrText>
            </w:r>
            <w:r>
              <w:rPr>
                <w:noProof/>
                <w:webHidden/>
              </w:rPr>
            </w:r>
            <w:r>
              <w:rPr>
                <w:noProof/>
                <w:webHidden/>
              </w:rPr>
              <w:fldChar w:fldCharType="separate"/>
            </w:r>
            <w:r w:rsidR="00216538">
              <w:rPr>
                <w:noProof/>
                <w:webHidden/>
              </w:rPr>
              <w:t>46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70" w:history="1">
            <w:r w:rsidR="005A6F7F" w:rsidRPr="00AD4DDC">
              <w:rPr>
                <w:rStyle w:val="Hyperlink"/>
                <w:noProof/>
              </w:rPr>
              <w:t>1.4.2</w:t>
            </w:r>
            <w:r w:rsidR="005A6F7F">
              <w:rPr>
                <w:rFonts w:asciiTheme="minorHAnsi" w:eastAsiaTheme="minorEastAsia" w:hAnsiTheme="minorHAnsi" w:cstheme="minorBidi"/>
                <w:noProof/>
                <w:sz w:val="22"/>
                <w:szCs w:val="22"/>
              </w:rPr>
              <w:tab/>
            </w:r>
            <w:r w:rsidR="005A6F7F" w:rsidRPr="00AD4DDC">
              <w:rPr>
                <w:rStyle w:val="Hyperlink"/>
                <w:noProof/>
              </w:rPr>
              <w:t>Reiseberichte und Postkolonialismus</w:t>
            </w:r>
            <w:r w:rsidR="005A6F7F">
              <w:rPr>
                <w:noProof/>
                <w:webHidden/>
              </w:rPr>
              <w:tab/>
            </w:r>
            <w:r>
              <w:rPr>
                <w:noProof/>
                <w:webHidden/>
              </w:rPr>
              <w:fldChar w:fldCharType="begin"/>
            </w:r>
            <w:r w:rsidR="005A6F7F">
              <w:rPr>
                <w:noProof/>
                <w:webHidden/>
              </w:rPr>
              <w:instrText xml:space="preserve"> PAGEREF _Toc327387970 \h </w:instrText>
            </w:r>
            <w:r>
              <w:rPr>
                <w:noProof/>
                <w:webHidden/>
              </w:rPr>
            </w:r>
            <w:r>
              <w:rPr>
                <w:noProof/>
                <w:webHidden/>
              </w:rPr>
              <w:fldChar w:fldCharType="separate"/>
            </w:r>
            <w:r w:rsidR="00216538">
              <w:rPr>
                <w:noProof/>
                <w:webHidden/>
              </w:rPr>
              <w:t>49</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71" w:history="1">
            <w:r w:rsidR="005A6F7F" w:rsidRPr="00AD4DDC">
              <w:rPr>
                <w:rStyle w:val="Hyperlink"/>
                <w:noProof/>
              </w:rPr>
              <w:t>1.5</w:t>
            </w:r>
            <w:r w:rsidR="005A6F7F">
              <w:rPr>
                <w:rFonts w:asciiTheme="minorHAnsi" w:eastAsiaTheme="minorEastAsia" w:hAnsiTheme="minorHAnsi" w:cstheme="minorBidi"/>
                <w:noProof/>
                <w:sz w:val="22"/>
                <w:szCs w:val="22"/>
              </w:rPr>
              <w:tab/>
            </w:r>
            <w:r w:rsidR="005A6F7F" w:rsidRPr="00AD4DDC">
              <w:rPr>
                <w:rStyle w:val="Hyperlink"/>
                <w:noProof/>
              </w:rPr>
              <w:t>Der Blick auf das Land</w:t>
            </w:r>
            <w:r w:rsidR="005A6F7F">
              <w:rPr>
                <w:noProof/>
                <w:webHidden/>
              </w:rPr>
              <w:tab/>
            </w:r>
            <w:r>
              <w:rPr>
                <w:noProof/>
                <w:webHidden/>
              </w:rPr>
              <w:fldChar w:fldCharType="begin"/>
            </w:r>
            <w:r w:rsidR="005A6F7F">
              <w:rPr>
                <w:noProof/>
                <w:webHidden/>
              </w:rPr>
              <w:instrText xml:space="preserve"> PAGEREF _Toc327387971 \h </w:instrText>
            </w:r>
            <w:r>
              <w:rPr>
                <w:noProof/>
                <w:webHidden/>
              </w:rPr>
            </w:r>
            <w:r>
              <w:rPr>
                <w:noProof/>
                <w:webHidden/>
              </w:rPr>
              <w:fldChar w:fldCharType="separate"/>
            </w:r>
            <w:r w:rsidR="00216538">
              <w:rPr>
                <w:noProof/>
                <w:webHidden/>
              </w:rPr>
              <w:t>53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72" w:history="1">
            <w:r w:rsidR="005A6F7F" w:rsidRPr="00AD4DDC">
              <w:rPr>
                <w:rStyle w:val="Hyperlink"/>
                <w:noProof/>
              </w:rPr>
              <w:t>1.5.1</w:t>
            </w:r>
            <w:r w:rsidR="005A6F7F">
              <w:rPr>
                <w:rFonts w:asciiTheme="minorHAnsi" w:eastAsiaTheme="minorEastAsia" w:hAnsiTheme="minorHAnsi" w:cstheme="minorBidi"/>
                <w:noProof/>
                <w:sz w:val="22"/>
                <w:szCs w:val="22"/>
              </w:rPr>
              <w:tab/>
            </w:r>
            <w:r w:rsidR="005A6F7F" w:rsidRPr="00AD4DDC">
              <w:rPr>
                <w:rStyle w:val="Hyperlink"/>
                <w:noProof/>
              </w:rPr>
              <w:t>Vorüberlegung: Die (Nicht-)Begegnung mit dem ‚Anderen‘</w:t>
            </w:r>
            <w:r w:rsidR="005A6F7F">
              <w:rPr>
                <w:noProof/>
                <w:webHidden/>
              </w:rPr>
              <w:tab/>
            </w:r>
            <w:r>
              <w:rPr>
                <w:noProof/>
                <w:webHidden/>
              </w:rPr>
              <w:fldChar w:fldCharType="begin"/>
            </w:r>
            <w:r w:rsidR="005A6F7F">
              <w:rPr>
                <w:noProof/>
                <w:webHidden/>
              </w:rPr>
              <w:instrText xml:space="preserve"> PAGEREF _Toc327387972 \h </w:instrText>
            </w:r>
            <w:r>
              <w:rPr>
                <w:noProof/>
                <w:webHidden/>
              </w:rPr>
            </w:r>
            <w:r>
              <w:rPr>
                <w:noProof/>
                <w:webHidden/>
              </w:rPr>
              <w:fldChar w:fldCharType="separate"/>
            </w:r>
            <w:r w:rsidR="00216538">
              <w:rPr>
                <w:noProof/>
                <w:webHidden/>
              </w:rPr>
              <w:t>53</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3" w:history="1">
            <w:r w:rsidR="005A6F7F" w:rsidRPr="00AD4DDC">
              <w:rPr>
                <w:rStyle w:val="Hyperlink"/>
                <w:noProof/>
              </w:rPr>
              <w:t>1.5.1.1</w:t>
            </w:r>
            <w:r w:rsidR="005A6F7F">
              <w:rPr>
                <w:rFonts w:asciiTheme="minorHAnsi" w:eastAsiaTheme="minorEastAsia" w:hAnsiTheme="minorHAnsi" w:cstheme="minorBidi"/>
                <w:noProof/>
                <w:sz w:val="22"/>
                <w:szCs w:val="22"/>
              </w:rPr>
              <w:tab/>
            </w:r>
            <w:r w:rsidR="005A6F7F" w:rsidRPr="00AD4DDC">
              <w:rPr>
                <w:rStyle w:val="Hyperlink"/>
                <w:noProof/>
              </w:rPr>
              <w:t>Perspektiven, Positionen</w:t>
            </w:r>
            <w:r w:rsidR="005A6F7F">
              <w:rPr>
                <w:noProof/>
                <w:webHidden/>
              </w:rPr>
              <w:tab/>
            </w:r>
            <w:r>
              <w:rPr>
                <w:noProof/>
                <w:webHidden/>
              </w:rPr>
              <w:fldChar w:fldCharType="begin"/>
            </w:r>
            <w:r w:rsidR="005A6F7F">
              <w:rPr>
                <w:noProof/>
                <w:webHidden/>
              </w:rPr>
              <w:instrText xml:space="preserve"> PAGEREF _Toc327387973 \h </w:instrText>
            </w:r>
            <w:r>
              <w:rPr>
                <w:noProof/>
                <w:webHidden/>
              </w:rPr>
            </w:r>
            <w:r>
              <w:rPr>
                <w:noProof/>
                <w:webHidden/>
              </w:rPr>
              <w:fldChar w:fldCharType="separate"/>
            </w:r>
            <w:r w:rsidR="00216538">
              <w:rPr>
                <w:noProof/>
                <w:webHidden/>
              </w:rPr>
              <w:t>53</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4" w:history="1">
            <w:r w:rsidR="005A6F7F" w:rsidRPr="00AD4DDC">
              <w:rPr>
                <w:rStyle w:val="Hyperlink"/>
                <w:noProof/>
              </w:rPr>
              <w:t>1.5.1.2</w:t>
            </w:r>
            <w:r w:rsidR="005A6F7F">
              <w:rPr>
                <w:rFonts w:asciiTheme="minorHAnsi" w:eastAsiaTheme="minorEastAsia" w:hAnsiTheme="minorHAnsi" w:cstheme="minorBidi"/>
                <w:noProof/>
                <w:sz w:val="22"/>
                <w:szCs w:val="22"/>
              </w:rPr>
              <w:tab/>
            </w:r>
            <w:r w:rsidR="005A6F7F" w:rsidRPr="00AD4DDC">
              <w:rPr>
                <w:rStyle w:val="Hyperlink"/>
                <w:noProof/>
              </w:rPr>
              <w:t>Geographie: der vermessen(d)e Blick</w:t>
            </w:r>
            <w:r w:rsidR="005A6F7F">
              <w:rPr>
                <w:noProof/>
                <w:webHidden/>
              </w:rPr>
              <w:tab/>
            </w:r>
            <w:r>
              <w:rPr>
                <w:noProof/>
                <w:webHidden/>
              </w:rPr>
              <w:fldChar w:fldCharType="begin"/>
            </w:r>
            <w:r w:rsidR="005A6F7F">
              <w:rPr>
                <w:noProof/>
                <w:webHidden/>
              </w:rPr>
              <w:instrText xml:space="preserve"> PAGEREF _Toc327387974 \h </w:instrText>
            </w:r>
            <w:r>
              <w:rPr>
                <w:noProof/>
                <w:webHidden/>
              </w:rPr>
            </w:r>
            <w:r>
              <w:rPr>
                <w:noProof/>
                <w:webHidden/>
              </w:rPr>
              <w:fldChar w:fldCharType="separate"/>
            </w:r>
            <w:r w:rsidR="00216538">
              <w:rPr>
                <w:noProof/>
                <w:webHidden/>
              </w:rPr>
              <w:t>56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5" w:history="1">
            <w:r w:rsidR="005A6F7F" w:rsidRPr="00AD4DDC">
              <w:rPr>
                <w:rStyle w:val="Hyperlink"/>
                <w:noProof/>
              </w:rPr>
              <w:t>1.5.1.3</w:t>
            </w:r>
            <w:r w:rsidR="005A6F7F">
              <w:rPr>
                <w:rFonts w:asciiTheme="minorHAnsi" w:eastAsiaTheme="minorEastAsia" w:hAnsiTheme="minorHAnsi" w:cstheme="minorBidi"/>
                <w:noProof/>
                <w:sz w:val="22"/>
                <w:szCs w:val="22"/>
              </w:rPr>
              <w:tab/>
            </w:r>
            <w:r w:rsidR="005A6F7F" w:rsidRPr="00AD4DDC">
              <w:rPr>
                <w:rStyle w:val="Hyperlink"/>
                <w:noProof/>
              </w:rPr>
              <w:t>Sprachbarrieren</w:t>
            </w:r>
            <w:r w:rsidR="005A6F7F">
              <w:rPr>
                <w:noProof/>
                <w:webHidden/>
              </w:rPr>
              <w:tab/>
            </w:r>
            <w:r>
              <w:rPr>
                <w:noProof/>
                <w:webHidden/>
              </w:rPr>
              <w:fldChar w:fldCharType="begin"/>
            </w:r>
            <w:r w:rsidR="005A6F7F">
              <w:rPr>
                <w:noProof/>
                <w:webHidden/>
              </w:rPr>
              <w:instrText xml:space="preserve"> PAGEREF _Toc327387975 \h </w:instrText>
            </w:r>
            <w:r>
              <w:rPr>
                <w:noProof/>
                <w:webHidden/>
              </w:rPr>
            </w:r>
            <w:r>
              <w:rPr>
                <w:noProof/>
                <w:webHidden/>
              </w:rPr>
              <w:fldChar w:fldCharType="separate"/>
            </w:r>
            <w:r w:rsidR="00216538">
              <w:rPr>
                <w:noProof/>
                <w:webHidden/>
              </w:rPr>
              <w:t>57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76" w:history="1">
            <w:r w:rsidR="005A6F7F" w:rsidRPr="00AD4DDC">
              <w:rPr>
                <w:rStyle w:val="Hyperlink"/>
                <w:noProof/>
              </w:rPr>
              <w:t>1.5.2</w:t>
            </w:r>
            <w:r w:rsidR="005A6F7F">
              <w:rPr>
                <w:rFonts w:asciiTheme="minorHAnsi" w:eastAsiaTheme="minorEastAsia" w:hAnsiTheme="minorHAnsi" w:cstheme="minorBidi"/>
                <w:noProof/>
                <w:sz w:val="22"/>
                <w:szCs w:val="22"/>
              </w:rPr>
              <w:tab/>
            </w:r>
            <w:r w:rsidR="005A6F7F" w:rsidRPr="00AD4DDC">
              <w:rPr>
                <w:rStyle w:val="Hyperlink"/>
                <w:noProof/>
              </w:rPr>
              <w:t>Die Kultur</w:t>
            </w:r>
            <w:r w:rsidR="005A6F7F">
              <w:rPr>
                <w:noProof/>
                <w:webHidden/>
              </w:rPr>
              <w:tab/>
            </w:r>
            <w:r>
              <w:rPr>
                <w:noProof/>
                <w:webHidden/>
              </w:rPr>
              <w:fldChar w:fldCharType="begin"/>
            </w:r>
            <w:r w:rsidR="005A6F7F">
              <w:rPr>
                <w:noProof/>
                <w:webHidden/>
              </w:rPr>
              <w:instrText xml:space="preserve"> PAGEREF _Toc327387976 \h </w:instrText>
            </w:r>
            <w:r>
              <w:rPr>
                <w:noProof/>
                <w:webHidden/>
              </w:rPr>
            </w:r>
            <w:r>
              <w:rPr>
                <w:noProof/>
                <w:webHidden/>
              </w:rPr>
              <w:fldChar w:fldCharType="separate"/>
            </w:r>
            <w:r w:rsidR="00216538">
              <w:rPr>
                <w:noProof/>
                <w:webHidden/>
              </w:rPr>
              <w:t>58</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7" w:history="1">
            <w:r w:rsidR="005A6F7F" w:rsidRPr="00AD4DDC">
              <w:rPr>
                <w:rStyle w:val="Hyperlink"/>
                <w:noProof/>
              </w:rPr>
              <w:t>1.5.2.1</w:t>
            </w:r>
            <w:r w:rsidR="005A6F7F">
              <w:rPr>
                <w:rFonts w:asciiTheme="minorHAnsi" w:eastAsiaTheme="minorEastAsia" w:hAnsiTheme="minorHAnsi" w:cstheme="minorBidi"/>
                <w:noProof/>
                <w:sz w:val="22"/>
                <w:szCs w:val="22"/>
              </w:rPr>
              <w:tab/>
            </w:r>
            <w:r w:rsidR="005A6F7F" w:rsidRPr="00AD4DDC">
              <w:rPr>
                <w:rStyle w:val="Hyperlink"/>
                <w:noProof/>
              </w:rPr>
              <w:t>Lebensweise</w:t>
            </w:r>
            <w:r w:rsidR="005A6F7F">
              <w:rPr>
                <w:noProof/>
                <w:webHidden/>
              </w:rPr>
              <w:tab/>
            </w:r>
            <w:r>
              <w:rPr>
                <w:noProof/>
                <w:webHidden/>
              </w:rPr>
              <w:fldChar w:fldCharType="begin"/>
            </w:r>
            <w:r w:rsidR="005A6F7F">
              <w:rPr>
                <w:noProof/>
                <w:webHidden/>
              </w:rPr>
              <w:instrText xml:space="preserve"> PAGEREF _Toc327387977 \h </w:instrText>
            </w:r>
            <w:r>
              <w:rPr>
                <w:noProof/>
                <w:webHidden/>
              </w:rPr>
            </w:r>
            <w:r>
              <w:rPr>
                <w:noProof/>
                <w:webHidden/>
              </w:rPr>
              <w:fldChar w:fldCharType="separate"/>
            </w:r>
            <w:r w:rsidR="00216538">
              <w:rPr>
                <w:noProof/>
                <w:webHidden/>
              </w:rPr>
              <w:t>58</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8" w:history="1">
            <w:r w:rsidR="005A6F7F" w:rsidRPr="00AD4DDC">
              <w:rPr>
                <w:rStyle w:val="Hyperlink"/>
                <w:noProof/>
              </w:rPr>
              <w:t>1.5.2.2</w:t>
            </w:r>
            <w:r w:rsidR="005A6F7F">
              <w:rPr>
                <w:rFonts w:asciiTheme="minorHAnsi" w:eastAsiaTheme="minorEastAsia" w:hAnsiTheme="minorHAnsi" w:cstheme="minorBidi"/>
                <w:noProof/>
                <w:sz w:val="22"/>
                <w:szCs w:val="22"/>
              </w:rPr>
              <w:tab/>
            </w:r>
            <w:r w:rsidR="005A6F7F" w:rsidRPr="00AD4DDC">
              <w:rPr>
                <w:rStyle w:val="Hyperlink"/>
                <w:noProof/>
              </w:rPr>
              <w:t>Religion</w:t>
            </w:r>
            <w:r w:rsidR="005A6F7F">
              <w:rPr>
                <w:noProof/>
                <w:webHidden/>
              </w:rPr>
              <w:tab/>
            </w:r>
            <w:r>
              <w:rPr>
                <w:noProof/>
                <w:webHidden/>
              </w:rPr>
              <w:fldChar w:fldCharType="begin"/>
            </w:r>
            <w:r w:rsidR="005A6F7F">
              <w:rPr>
                <w:noProof/>
                <w:webHidden/>
              </w:rPr>
              <w:instrText xml:space="preserve"> PAGEREF _Toc327387978 \h </w:instrText>
            </w:r>
            <w:r>
              <w:rPr>
                <w:noProof/>
                <w:webHidden/>
              </w:rPr>
            </w:r>
            <w:r>
              <w:rPr>
                <w:noProof/>
                <w:webHidden/>
              </w:rPr>
              <w:fldChar w:fldCharType="separate"/>
            </w:r>
            <w:r w:rsidR="00216538">
              <w:rPr>
                <w:noProof/>
                <w:webHidden/>
              </w:rPr>
              <w:t>60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79" w:history="1">
            <w:r w:rsidR="005A6F7F" w:rsidRPr="00AD4DDC">
              <w:rPr>
                <w:rStyle w:val="Hyperlink"/>
                <w:noProof/>
              </w:rPr>
              <w:t>1.5.2.3</w:t>
            </w:r>
            <w:r w:rsidR="005A6F7F">
              <w:rPr>
                <w:rFonts w:asciiTheme="minorHAnsi" w:eastAsiaTheme="minorEastAsia" w:hAnsiTheme="minorHAnsi" w:cstheme="minorBidi"/>
                <w:noProof/>
                <w:sz w:val="22"/>
                <w:szCs w:val="22"/>
              </w:rPr>
              <w:tab/>
            </w:r>
            <w:r w:rsidR="005A6F7F" w:rsidRPr="00AD4DDC">
              <w:rPr>
                <w:rStyle w:val="Hyperlink"/>
                <w:noProof/>
              </w:rPr>
              <w:t>Werften und Pontoks: die Wohnverhältnisse</w:t>
            </w:r>
            <w:r w:rsidR="005A6F7F">
              <w:rPr>
                <w:noProof/>
                <w:webHidden/>
              </w:rPr>
              <w:tab/>
            </w:r>
            <w:r>
              <w:rPr>
                <w:noProof/>
                <w:webHidden/>
              </w:rPr>
              <w:fldChar w:fldCharType="begin"/>
            </w:r>
            <w:r w:rsidR="005A6F7F">
              <w:rPr>
                <w:noProof/>
                <w:webHidden/>
              </w:rPr>
              <w:instrText xml:space="preserve"> PAGEREF _Toc327387979 \h </w:instrText>
            </w:r>
            <w:r>
              <w:rPr>
                <w:noProof/>
                <w:webHidden/>
              </w:rPr>
            </w:r>
            <w:r>
              <w:rPr>
                <w:noProof/>
                <w:webHidden/>
              </w:rPr>
              <w:fldChar w:fldCharType="separate"/>
            </w:r>
            <w:r w:rsidR="00216538">
              <w:rPr>
                <w:noProof/>
                <w:webHidden/>
              </w:rPr>
              <w:t>62</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80" w:history="1">
            <w:r w:rsidR="005A6F7F" w:rsidRPr="00AD4DDC">
              <w:rPr>
                <w:rStyle w:val="Hyperlink"/>
                <w:noProof/>
              </w:rPr>
              <w:t>1.5.2.4</w:t>
            </w:r>
            <w:r w:rsidR="005A6F7F">
              <w:rPr>
                <w:rFonts w:asciiTheme="minorHAnsi" w:eastAsiaTheme="minorEastAsia" w:hAnsiTheme="minorHAnsi" w:cstheme="minorBidi"/>
                <w:noProof/>
                <w:sz w:val="22"/>
                <w:szCs w:val="22"/>
              </w:rPr>
              <w:tab/>
            </w:r>
            <w:r w:rsidR="005A6F7F" w:rsidRPr="00AD4DDC">
              <w:rPr>
                <w:rStyle w:val="Hyperlink"/>
                <w:noProof/>
              </w:rPr>
              <w:t>Die ursprünglichen Stämme des Ambolands</w:t>
            </w:r>
            <w:r w:rsidR="005A6F7F">
              <w:rPr>
                <w:noProof/>
                <w:webHidden/>
              </w:rPr>
              <w:tab/>
            </w:r>
            <w:r>
              <w:rPr>
                <w:noProof/>
                <w:webHidden/>
              </w:rPr>
              <w:fldChar w:fldCharType="begin"/>
            </w:r>
            <w:r w:rsidR="005A6F7F">
              <w:rPr>
                <w:noProof/>
                <w:webHidden/>
              </w:rPr>
              <w:instrText xml:space="preserve"> PAGEREF _Toc327387980 \h </w:instrText>
            </w:r>
            <w:r>
              <w:rPr>
                <w:noProof/>
                <w:webHidden/>
              </w:rPr>
            </w:r>
            <w:r>
              <w:rPr>
                <w:noProof/>
                <w:webHidden/>
              </w:rPr>
              <w:fldChar w:fldCharType="separate"/>
            </w:r>
            <w:r w:rsidR="00216538">
              <w:rPr>
                <w:noProof/>
                <w:webHidden/>
              </w:rPr>
              <w:t>63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81" w:history="1">
            <w:r w:rsidR="005A6F7F" w:rsidRPr="00AD4DDC">
              <w:rPr>
                <w:rStyle w:val="Hyperlink"/>
                <w:noProof/>
              </w:rPr>
              <w:t>1.5.3</w:t>
            </w:r>
            <w:r w:rsidR="005A6F7F">
              <w:rPr>
                <w:rFonts w:asciiTheme="minorHAnsi" w:eastAsiaTheme="minorEastAsia" w:hAnsiTheme="minorHAnsi" w:cstheme="minorBidi"/>
                <w:noProof/>
                <w:sz w:val="22"/>
                <w:szCs w:val="22"/>
              </w:rPr>
              <w:tab/>
            </w:r>
            <w:r w:rsidR="005A6F7F" w:rsidRPr="00AD4DDC">
              <w:rPr>
                <w:rStyle w:val="Hyperlink"/>
                <w:noProof/>
              </w:rPr>
              <w:t>Die Wirtschaft</w:t>
            </w:r>
            <w:r w:rsidR="005A6F7F">
              <w:rPr>
                <w:noProof/>
                <w:webHidden/>
              </w:rPr>
              <w:tab/>
            </w:r>
            <w:r>
              <w:rPr>
                <w:noProof/>
                <w:webHidden/>
              </w:rPr>
              <w:fldChar w:fldCharType="begin"/>
            </w:r>
            <w:r w:rsidR="005A6F7F">
              <w:rPr>
                <w:noProof/>
                <w:webHidden/>
              </w:rPr>
              <w:instrText xml:space="preserve"> PAGEREF _Toc327387981 \h </w:instrText>
            </w:r>
            <w:r>
              <w:rPr>
                <w:noProof/>
                <w:webHidden/>
              </w:rPr>
            </w:r>
            <w:r>
              <w:rPr>
                <w:noProof/>
                <w:webHidden/>
              </w:rPr>
              <w:fldChar w:fldCharType="separate"/>
            </w:r>
            <w:r w:rsidR="00216538">
              <w:rPr>
                <w:noProof/>
                <w:webHidden/>
              </w:rPr>
              <w:t>64</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82" w:history="1">
            <w:r w:rsidR="005A6F7F" w:rsidRPr="00AD4DDC">
              <w:rPr>
                <w:rStyle w:val="Hyperlink"/>
                <w:noProof/>
              </w:rPr>
              <w:t>1.5.3.1</w:t>
            </w:r>
            <w:r w:rsidR="005A6F7F">
              <w:rPr>
                <w:rFonts w:asciiTheme="minorHAnsi" w:eastAsiaTheme="minorEastAsia" w:hAnsiTheme="minorHAnsi" w:cstheme="minorBidi"/>
                <w:noProof/>
                <w:sz w:val="22"/>
                <w:szCs w:val="22"/>
              </w:rPr>
              <w:tab/>
            </w:r>
            <w:r w:rsidR="005A6F7F" w:rsidRPr="00AD4DDC">
              <w:rPr>
                <w:rStyle w:val="Hyperlink"/>
                <w:noProof/>
              </w:rPr>
              <w:t>Ungewöhnliche Währungen</w:t>
            </w:r>
            <w:r w:rsidR="005A6F7F">
              <w:rPr>
                <w:noProof/>
                <w:webHidden/>
              </w:rPr>
              <w:tab/>
            </w:r>
            <w:r>
              <w:rPr>
                <w:noProof/>
                <w:webHidden/>
              </w:rPr>
              <w:fldChar w:fldCharType="begin"/>
            </w:r>
            <w:r w:rsidR="005A6F7F">
              <w:rPr>
                <w:noProof/>
                <w:webHidden/>
              </w:rPr>
              <w:instrText xml:space="preserve"> PAGEREF _Toc327387982 \h </w:instrText>
            </w:r>
            <w:r>
              <w:rPr>
                <w:noProof/>
                <w:webHidden/>
              </w:rPr>
            </w:r>
            <w:r>
              <w:rPr>
                <w:noProof/>
                <w:webHidden/>
              </w:rPr>
              <w:fldChar w:fldCharType="separate"/>
            </w:r>
            <w:r w:rsidR="00216538">
              <w:rPr>
                <w:noProof/>
                <w:webHidden/>
              </w:rPr>
              <w:t>64</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83" w:history="1">
            <w:r w:rsidR="005A6F7F" w:rsidRPr="00AD4DDC">
              <w:rPr>
                <w:rStyle w:val="Hyperlink"/>
                <w:noProof/>
              </w:rPr>
              <w:t>1.5.3.2</w:t>
            </w:r>
            <w:r w:rsidR="005A6F7F">
              <w:rPr>
                <w:rFonts w:asciiTheme="minorHAnsi" w:eastAsiaTheme="minorEastAsia" w:hAnsiTheme="minorHAnsi" w:cstheme="minorBidi"/>
                <w:noProof/>
                <w:sz w:val="22"/>
                <w:szCs w:val="22"/>
              </w:rPr>
              <w:tab/>
            </w:r>
            <w:r w:rsidR="005A6F7F" w:rsidRPr="00AD4DDC">
              <w:rPr>
                <w:rStyle w:val="Hyperlink"/>
                <w:noProof/>
              </w:rPr>
              <w:t>Kommunismus gleich Schmarotzertum?</w:t>
            </w:r>
            <w:r w:rsidR="005A6F7F">
              <w:rPr>
                <w:noProof/>
                <w:webHidden/>
              </w:rPr>
              <w:tab/>
            </w:r>
            <w:r>
              <w:rPr>
                <w:noProof/>
                <w:webHidden/>
              </w:rPr>
              <w:fldChar w:fldCharType="begin"/>
            </w:r>
            <w:r w:rsidR="005A6F7F">
              <w:rPr>
                <w:noProof/>
                <w:webHidden/>
              </w:rPr>
              <w:instrText xml:space="preserve"> PAGEREF _Toc327387983 \h </w:instrText>
            </w:r>
            <w:r>
              <w:rPr>
                <w:noProof/>
                <w:webHidden/>
              </w:rPr>
            </w:r>
            <w:r>
              <w:rPr>
                <w:noProof/>
                <w:webHidden/>
              </w:rPr>
              <w:fldChar w:fldCharType="separate"/>
            </w:r>
            <w:r w:rsidR="00216538">
              <w:rPr>
                <w:noProof/>
                <w:webHidden/>
              </w:rPr>
              <w:t>65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84" w:history="1">
            <w:r w:rsidR="005A6F7F" w:rsidRPr="00AD4DDC">
              <w:rPr>
                <w:rStyle w:val="Hyperlink"/>
                <w:noProof/>
              </w:rPr>
              <w:t>1.5.4</w:t>
            </w:r>
            <w:r w:rsidR="005A6F7F">
              <w:rPr>
                <w:rFonts w:asciiTheme="minorHAnsi" w:eastAsiaTheme="minorEastAsia" w:hAnsiTheme="minorHAnsi" w:cstheme="minorBidi"/>
                <w:noProof/>
                <w:sz w:val="22"/>
                <w:szCs w:val="22"/>
              </w:rPr>
              <w:tab/>
            </w:r>
            <w:r w:rsidR="005A6F7F" w:rsidRPr="00AD4DDC">
              <w:rPr>
                <w:rStyle w:val="Hyperlink"/>
                <w:noProof/>
              </w:rPr>
              <w:t>Die Natur</w:t>
            </w:r>
            <w:r w:rsidR="005A6F7F">
              <w:rPr>
                <w:noProof/>
                <w:webHidden/>
              </w:rPr>
              <w:tab/>
            </w:r>
            <w:r>
              <w:rPr>
                <w:noProof/>
                <w:webHidden/>
              </w:rPr>
              <w:fldChar w:fldCharType="begin"/>
            </w:r>
            <w:r w:rsidR="005A6F7F">
              <w:rPr>
                <w:noProof/>
                <w:webHidden/>
              </w:rPr>
              <w:instrText xml:space="preserve"> PAGEREF _Toc327387984 \h </w:instrText>
            </w:r>
            <w:r>
              <w:rPr>
                <w:noProof/>
                <w:webHidden/>
              </w:rPr>
            </w:r>
            <w:r>
              <w:rPr>
                <w:noProof/>
                <w:webHidden/>
              </w:rPr>
              <w:fldChar w:fldCharType="separate"/>
            </w:r>
            <w:r w:rsidR="00216538">
              <w:rPr>
                <w:noProof/>
                <w:webHidden/>
              </w:rPr>
              <w:t>68</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85" w:history="1">
            <w:r w:rsidR="005A6F7F" w:rsidRPr="00AD4DDC">
              <w:rPr>
                <w:rStyle w:val="Hyperlink"/>
                <w:noProof/>
              </w:rPr>
              <w:t>1.5.4.1</w:t>
            </w:r>
            <w:r w:rsidR="005A6F7F">
              <w:rPr>
                <w:rFonts w:asciiTheme="minorHAnsi" w:eastAsiaTheme="minorEastAsia" w:hAnsiTheme="minorHAnsi" w:cstheme="minorBidi"/>
                <w:noProof/>
                <w:sz w:val="22"/>
                <w:szCs w:val="22"/>
              </w:rPr>
              <w:tab/>
            </w:r>
            <w:r w:rsidR="005A6F7F" w:rsidRPr="00AD4DDC">
              <w:rPr>
                <w:rStyle w:val="Hyperlink"/>
                <w:noProof/>
              </w:rPr>
              <w:t>Die Steppe (mittleres Südwestafrika)</w:t>
            </w:r>
            <w:r w:rsidR="005A6F7F">
              <w:rPr>
                <w:noProof/>
                <w:webHidden/>
              </w:rPr>
              <w:tab/>
            </w:r>
            <w:r>
              <w:rPr>
                <w:noProof/>
                <w:webHidden/>
              </w:rPr>
              <w:fldChar w:fldCharType="begin"/>
            </w:r>
            <w:r w:rsidR="005A6F7F">
              <w:rPr>
                <w:noProof/>
                <w:webHidden/>
              </w:rPr>
              <w:instrText xml:space="preserve"> PAGEREF _Toc327387985 \h </w:instrText>
            </w:r>
            <w:r>
              <w:rPr>
                <w:noProof/>
                <w:webHidden/>
              </w:rPr>
            </w:r>
            <w:r>
              <w:rPr>
                <w:noProof/>
                <w:webHidden/>
              </w:rPr>
              <w:fldChar w:fldCharType="separate"/>
            </w:r>
            <w:r w:rsidR="00216538">
              <w:rPr>
                <w:noProof/>
                <w:webHidden/>
              </w:rPr>
              <w:t>69</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86" w:history="1">
            <w:r w:rsidR="005A6F7F" w:rsidRPr="00AD4DDC">
              <w:rPr>
                <w:rStyle w:val="Hyperlink"/>
                <w:noProof/>
              </w:rPr>
              <w:t>1.5.4.2</w:t>
            </w:r>
            <w:r w:rsidR="005A6F7F">
              <w:rPr>
                <w:rFonts w:asciiTheme="minorHAnsi" w:eastAsiaTheme="minorEastAsia" w:hAnsiTheme="minorHAnsi" w:cstheme="minorBidi"/>
                <w:noProof/>
                <w:sz w:val="22"/>
                <w:szCs w:val="22"/>
              </w:rPr>
              <w:tab/>
            </w:r>
            <w:r w:rsidR="005A6F7F" w:rsidRPr="00AD4DDC">
              <w:rPr>
                <w:rStyle w:val="Hyperlink"/>
                <w:noProof/>
              </w:rPr>
              <w:t>Der Wald (Amboland)</w:t>
            </w:r>
            <w:r w:rsidR="005A6F7F">
              <w:rPr>
                <w:noProof/>
                <w:webHidden/>
              </w:rPr>
              <w:tab/>
            </w:r>
            <w:r>
              <w:rPr>
                <w:noProof/>
                <w:webHidden/>
              </w:rPr>
              <w:fldChar w:fldCharType="begin"/>
            </w:r>
            <w:r w:rsidR="005A6F7F">
              <w:rPr>
                <w:noProof/>
                <w:webHidden/>
              </w:rPr>
              <w:instrText xml:space="preserve"> PAGEREF _Toc327387986 \h </w:instrText>
            </w:r>
            <w:r>
              <w:rPr>
                <w:noProof/>
                <w:webHidden/>
              </w:rPr>
            </w:r>
            <w:r>
              <w:rPr>
                <w:noProof/>
                <w:webHidden/>
              </w:rPr>
              <w:fldChar w:fldCharType="separate"/>
            </w:r>
            <w:r w:rsidR="00216538">
              <w:rPr>
                <w:noProof/>
                <w:webHidden/>
              </w:rPr>
              <w:t>70</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7987" w:history="1">
            <w:r w:rsidR="005A6F7F" w:rsidRPr="00AD4DDC">
              <w:rPr>
                <w:rStyle w:val="Hyperlink"/>
                <w:noProof/>
              </w:rPr>
              <w:t>Kapitel 2: Die Mission</w:t>
            </w:r>
            <w:r w:rsidR="005A6F7F">
              <w:rPr>
                <w:noProof/>
                <w:webHidden/>
              </w:rPr>
              <w:tab/>
            </w:r>
            <w:r>
              <w:rPr>
                <w:noProof/>
                <w:webHidden/>
              </w:rPr>
              <w:fldChar w:fldCharType="begin"/>
            </w:r>
            <w:r w:rsidR="005A6F7F">
              <w:rPr>
                <w:noProof/>
                <w:webHidden/>
              </w:rPr>
              <w:instrText xml:space="preserve"> PAGEREF _Toc327387987 \h </w:instrText>
            </w:r>
            <w:r>
              <w:rPr>
                <w:noProof/>
                <w:webHidden/>
              </w:rPr>
            </w:r>
            <w:r>
              <w:rPr>
                <w:noProof/>
                <w:webHidden/>
              </w:rPr>
              <w:fldChar w:fldCharType="separate"/>
            </w:r>
            <w:r w:rsidR="00216538">
              <w:rPr>
                <w:noProof/>
                <w:webHidden/>
              </w:rPr>
              <w:t>72</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88" w:history="1">
            <w:r w:rsidR="005A6F7F" w:rsidRPr="00AD4DDC">
              <w:rPr>
                <w:rStyle w:val="Hyperlink"/>
                <w:noProof/>
              </w:rPr>
              <w:t>2.1</w:t>
            </w:r>
            <w:r w:rsidR="005A6F7F">
              <w:rPr>
                <w:rFonts w:asciiTheme="minorHAnsi" w:eastAsiaTheme="minorEastAsia" w:hAnsiTheme="minorHAnsi" w:cstheme="minorBidi"/>
                <w:noProof/>
                <w:sz w:val="22"/>
                <w:szCs w:val="22"/>
              </w:rPr>
              <w:tab/>
            </w:r>
            <w:r w:rsidR="005A6F7F" w:rsidRPr="00AD4DDC">
              <w:rPr>
                <w:rStyle w:val="Hyperlink"/>
                <w:noProof/>
              </w:rPr>
              <w:t>Aspekte des Alltags</w:t>
            </w:r>
            <w:r w:rsidR="005A6F7F">
              <w:rPr>
                <w:noProof/>
                <w:webHidden/>
              </w:rPr>
              <w:tab/>
            </w:r>
            <w:r>
              <w:rPr>
                <w:noProof/>
                <w:webHidden/>
              </w:rPr>
              <w:fldChar w:fldCharType="begin"/>
            </w:r>
            <w:r w:rsidR="005A6F7F">
              <w:rPr>
                <w:noProof/>
                <w:webHidden/>
              </w:rPr>
              <w:instrText xml:space="preserve"> PAGEREF _Toc327387988 \h </w:instrText>
            </w:r>
            <w:r>
              <w:rPr>
                <w:noProof/>
                <w:webHidden/>
              </w:rPr>
            </w:r>
            <w:r>
              <w:rPr>
                <w:noProof/>
                <w:webHidden/>
              </w:rPr>
              <w:fldChar w:fldCharType="separate"/>
            </w:r>
            <w:r w:rsidR="00216538">
              <w:rPr>
                <w:noProof/>
                <w:webHidden/>
              </w:rPr>
              <w:t>72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89" w:history="1">
            <w:r w:rsidR="005A6F7F" w:rsidRPr="00AD4DDC">
              <w:rPr>
                <w:rStyle w:val="Hyperlink"/>
                <w:noProof/>
              </w:rPr>
              <w:t>2.1.1</w:t>
            </w:r>
            <w:r w:rsidR="005A6F7F">
              <w:rPr>
                <w:rFonts w:asciiTheme="minorHAnsi" w:eastAsiaTheme="minorEastAsia" w:hAnsiTheme="minorHAnsi" w:cstheme="minorBidi"/>
                <w:noProof/>
                <w:sz w:val="22"/>
                <w:szCs w:val="22"/>
              </w:rPr>
              <w:tab/>
            </w:r>
            <w:r w:rsidR="005A6F7F" w:rsidRPr="00AD4DDC">
              <w:rPr>
                <w:rStyle w:val="Hyperlink"/>
                <w:noProof/>
              </w:rPr>
              <w:t>Leben auf den Stationen</w:t>
            </w:r>
            <w:r w:rsidR="005A6F7F">
              <w:rPr>
                <w:noProof/>
                <w:webHidden/>
              </w:rPr>
              <w:tab/>
            </w:r>
            <w:r>
              <w:rPr>
                <w:noProof/>
                <w:webHidden/>
              </w:rPr>
              <w:fldChar w:fldCharType="begin"/>
            </w:r>
            <w:r w:rsidR="005A6F7F">
              <w:rPr>
                <w:noProof/>
                <w:webHidden/>
              </w:rPr>
              <w:instrText xml:space="preserve"> PAGEREF _Toc327387989 \h </w:instrText>
            </w:r>
            <w:r>
              <w:rPr>
                <w:noProof/>
                <w:webHidden/>
              </w:rPr>
            </w:r>
            <w:r>
              <w:rPr>
                <w:noProof/>
                <w:webHidden/>
              </w:rPr>
              <w:fldChar w:fldCharType="separate"/>
            </w:r>
            <w:r w:rsidR="00216538">
              <w:rPr>
                <w:noProof/>
                <w:webHidden/>
              </w:rPr>
              <w:t>72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0" w:history="1">
            <w:r w:rsidR="005A6F7F" w:rsidRPr="00AD4DDC">
              <w:rPr>
                <w:rStyle w:val="Hyperlink"/>
                <w:noProof/>
              </w:rPr>
              <w:t>2.1.2</w:t>
            </w:r>
            <w:r w:rsidR="005A6F7F">
              <w:rPr>
                <w:rFonts w:asciiTheme="minorHAnsi" w:eastAsiaTheme="minorEastAsia" w:hAnsiTheme="minorHAnsi" w:cstheme="minorBidi"/>
                <w:noProof/>
                <w:sz w:val="22"/>
                <w:szCs w:val="22"/>
              </w:rPr>
              <w:tab/>
            </w:r>
            <w:r w:rsidR="005A6F7F" w:rsidRPr="00AD4DDC">
              <w:rPr>
                <w:rStyle w:val="Hyperlink"/>
                <w:noProof/>
              </w:rPr>
              <w:t>Gottesdienst</w:t>
            </w:r>
            <w:r w:rsidR="005A6F7F">
              <w:rPr>
                <w:noProof/>
                <w:webHidden/>
              </w:rPr>
              <w:tab/>
            </w:r>
            <w:r>
              <w:rPr>
                <w:noProof/>
                <w:webHidden/>
              </w:rPr>
              <w:fldChar w:fldCharType="begin"/>
            </w:r>
            <w:r w:rsidR="005A6F7F">
              <w:rPr>
                <w:noProof/>
                <w:webHidden/>
              </w:rPr>
              <w:instrText xml:space="preserve"> PAGEREF _Toc327387990 \h </w:instrText>
            </w:r>
            <w:r>
              <w:rPr>
                <w:noProof/>
                <w:webHidden/>
              </w:rPr>
            </w:r>
            <w:r>
              <w:rPr>
                <w:noProof/>
                <w:webHidden/>
              </w:rPr>
              <w:fldChar w:fldCharType="separate"/>
            </w:r>
            <w:r w:rsidR="00216538">
              <w:rPr>
                <w:noProof/>
                <w:webHidden/>
              </w:rPr>
              <w:t>75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91" w:history="1">
            <w:r w:rsidR="005A6F7F" w:rsidRPr="00AD4DDC">
              <w:rPr>
                <w:rStyle w:val="Hyperlink"/>
                <w:noProof/>
              </w:rPr>
              <w:t>2.1.2.1</w:t>
            </w:r>
            <w:r w:rsidR="005A6F7F">
              <w:rPr>
                <w:rFonts w:asciiTheme="minorHAnsi" w:eastAsiaTheme="minorEastAsia" w:hAnsiTheme="minorHAnsi" w:cstheme="minorBidi"/>
                <w:noProof/>
                <w:sz w:val="22"/>
                <w:szCs w:val="22"/>
              </w:rPr>
              <w:tab/>
            </w:r>
            <w:r w:rsidR="005A6F7F" w:rsidRPr="00AD4DDC">
              <w:rPr>
                <w:rStyle w:val="Hyperlink"/>
                <w:noProof/>
              </w:rPr>
              <w:t>Exkurs: Ein etwas anderer Missionsinspektor</w:t>
            </w:r>
            <w:r w:rsidR="005A6F7F">
              <w:rPr>
                <w:noProof/>
                <w:webHidden/>
              </w:rPr>
              <w:tab/>
            </w:r>
            <w:r>
              <w:rPr>
                <w:noProof/>
                <w:webHidden/>
              </w:rPr>
              <w:fldChar w:fldCharType="begin"/>
            </w:r>
            <w:r w:rsidR="005A6F7F">
              <w:rPr>
                <w:noProof/>
                <w:webHidden/>
              </w:rPr>
              <w:instrText xml:space="preserve"> PAGEREF _Toc327387991 \h </w:instrText>
            </w:r>
            <w:r>
              <w:rPr>
                <w:noProof/>
                <w:webHidden/>
              </w:rPr>
            </w:r>
            <w:r>
              <w:rPr>
                <w:noProof/>
                <w:webHidden/>
              </w:rPr>
              <w:fldChar w:fldCharType="separate"/>
            </w:r>
            <w:r w:rsidR="00216538">
              <w:rPr>
                <w:noProof/>
                <w:webHidden/>
              </w:rPr>
              <w:t>76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2" w:history="1">
            <w:r w:rsidR="005A6F7F" w:rsidRPr="00AD4DDC">
              <w:rPr>
                <w:rStyle w:val="Hyperlink"/>
                <w:noProof/>
              </w:rPr>
              <w:t>2.1.3</w:t>
            </w:r>
            <w:r w:rsidR="005A6F7F">
              <w:rPr>
                <w:rFonts w:asciiTheme="minorHAnsi" w:eastAsiaTheme="minorEastAsia" w:hAnsiTheme="minorHAnsi" w:cstheme="minorBidi"/>
                <w:noProof/>
                <w:sz w:val="22"/>
                <w:szCs w:val="22"/>
              </w:rPr>
              <w:tab/>
            </w:r>
            <w:r w:rsidR="005A6F7F" w:rsidRPr="00AD4DDC">
              <w:rPr>
                <w:rStyle w:val="Hyperlink"/>
                <w:noProof/>
              </w:rPr>
              <w:t>Die Gemeinden</w:t>
            </w:r>
            <w:r w:rsidR="005A6F7F">
              <w:rPr>
                <w:noProof/>
                <w:webHidden/>
              </w:rPr>
              <w:tab/>
            </w:r>
            <w:r>
              <w:rPr>
                <w:noProof/>
                <w:webHidden/>
              </w:rPr>
              <w:fldChar w:fldCharType="begin"/>
            </w:r>
            <w:r w:rsidR="005A6F7F">
              <w:rPr>
                <w:noProof/>
                <w:webHidden/>
              </w:rPr>
              <w:instrText xml:space="preserve"> PAGEREF _Toc327387992 \h </w:instrText>
            </w:r>
            <w:r>
              <w:rPr>
                <w:noProof/>
                <w:webHidden/>
              </w:rPr>
            </w:r>
            <w:r>
              <w:rPr>
                <w:noProof/>
                <w:webHidden/>
              </w:rPr>
              <w:fldChar w:fldCharType="separate"/>
            </w:r>
            <w:r w:rsidR="00216538">
              <w:rPr>
                <w:noProof/>
                <w:webHidden/>
              </w:rPr>
              <w:t>77</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93" w:history="1">
            <w:r w:rsidR="005A6F7F" w:rsidRPr="00AD4DDC">
              <w:rPr>
                <w:rStyle w:val="Hyperlink"/>
                <w:noProof/>
              </w:rPr>
              <w:t>2.1.3.1</w:t>
            </w:r>
            <w:r w:rsidR="005A6F7F">
              <w:rPr>
                <w:rFonts w:asciiTheme="minorHAnsi" w:eastAsiaTheme="minorEastAsia" w:hAnsiTheme="minorHAnsi" w:cstheme="minorBidi"/>
                <w:noProof/>
                <w:sz w:val="22"/>
                <w:szCs w:val="22"/>
              </w:rPr>
              <w:tab/>
            </w:r>
            <w:r w:rsidR="005A6F7F" w:rsidRPr="00AD4DDC">
              <w:rPr>
                <w:rStyle w:val="Hyperlink"/>
                <w:noProof/>
              </w:rPr>
              <w:t>Exkurs: Die Sonderstellung von Rehoboth</w:t>
            </w:r>
            <w:r w:rsidR="005A6F7F">
              <w:rPr>
                <w:noProof/>
                <w:webHidden/>
              </w:rPr>
              <w:tab/>
            </w:r>
            <w:r>
              <w:rPr>
                <w:noProof/>
                <w:webHidden/>
              </w:rPr>
              <w:fldChar w:fldCharType="begin"/>
            </w:r>
            <w:r w:rsidR="005A6F7F">
              <w:rPr>
                <w:noProof/>
                <w:webHidden/>
              </w:rPr>
              <w:instrText xml:space="preserve"> PAGEREF _Toc327387993 \h </w:instrText>
            </w:r>
            <w:r>
              <w:rPr>
                <w:noProof/>
                <w:webHidden/>
              </w:rPr>
            </w:r>
            <w:r>
              <w:rPr>
                <w:noProof/>
                <w:webHidden/>
              </w:rPr>
              <w:fldChar w:fldCharType="separate"/>
            </w:r>
            <w:r w:rsidR="00216538">
              <w:rPr>
                <w:noProof/>
                <w:webHidden/>
              </w:rPr>
              <w:t>78</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4" w:history="1">
            <w:r w:rsidR="005A6F7F" w:rsidRPr="00AD4DDC">
              <w:rPr>
                <w:rStyle w:val="Hyperlink"/>
                <w:noProof/>
              </w:rPr>
              <w:t>2.1.4</w:t>
            </w:r>
            <w:r w:rsidR="005A6F7F">
              <w:rPr>
                <w:rFonts w:asciiTheme="minorHAnsi" w:eastAsiaTheme="minorEastAsia" w:hAnsiTheme="minorHAnsi" w:cstheme="minorBidi"/>
                <w:noProof/>
                <w:sz w:val="22"/>
                <w:szCs w:val="22"/>
              </w:rPr>
              <w:tab/>
            </w:r>
            <w:r w:rsidR="005A6F7F" w:rsidRPr="00AD4DDC">
              <w:rPr>
                <w:rStyle w:val="Hyperlink"/>
                <w:noProof/>
              </w:rPr>
              <w:t>Bautätigkeit</w:t>
            </w:r>
            <w:r w:rsidR="005A6F7F">
              <w:rPr>
                <w:noProof/>
                <w:webHidden/>
              </w:rPr>
              <w:tab/>
            </w:r>
            <w:r>
              <w:rPr>
                <w:noProof/>
                <w:webHidden/>
              </w:rPr>
              <w:fldChar w:fldCharType="begin"/>
            </w:r>
            <w:r w:rsidR="005A6F7F">
              <w:rPr>
                <w:noProof/>
                <w:webHidden/>
              </w:rPr>
              <w:instrText xml:space="preserve"> PAGEREF _Toc327387994 \h </w:instrText>
            </w:r>
            <w:r>
              <w:rPr>
                <w:noProof/>
                <w:webHidden/>
              </w:rPr>
            </w:r>
            <w:r>
              <w:rPr>
                <w:noProof/>
                <w:webHidden/>
              </w:rPr>
              <w:fldChar w:fldCharType="separate"/>
            </w:r>
            <w:r w:rsidR="00216538">
              <w:rPr>
                <w:noProof/>
                <w:webHidden/>
              </w:rPr>
              <w:t>79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5" w:history="1">
            <w:r w:rsidR="005A6F7F" w:rsidRPr="00AD4DDC">
              <w:rPr>
                <w:rStyle w:val="Hyperlink"/>
                <w:noProof/>
              </w:rPr>
              <w:t>2.1.5</w:t>
            </w:r>
            <w:r w:rsidR="005A6F7F">
              <w:rPr>
                <w:rFonts w:asciiTheme="minorHAnsi" w:eastAsiaTheme="minorEastAsia" w:hAnsiTheme="minorHAnsi" w:cstheme="minorBidi"/>
                <w:noProof/>
                <w:sz w:val="22"/>
                <w:szCs w:val="22"/>
              </w:rPr>
              <w:tab/>
            </w:r>
            <w:r w:rsidR="005A6F7F" w:rsidRPr="00AD4DDC">
              <w:rPr>
                <w:rStyle w:val="Hyperlink"/>
                <w:noProof/>
              </w:rPr>
              <w:t>Krankenpflege</w:t>
            </w:r>
            <w:r w:rsidR="005A6F7F">
              <w:rPr>
                <w:noProof/>
                <w:webHidden/>
              </w:rPr>
              <w:tab/>
            </w:r>
            <w:r>
              <w:rPr>
                <w:noProof/>
                <w:webHidden/>
              </w:rPr>
              <w:fldChar w:fldCharType="begin"/>
            </w:r>
            <w:r w:rsidR="005A6F7F">
              <w:rPr>
                <w:noProof/>
                <w:webHidden/>
              </w:rPr>
              <w:instrText xml:space="preserve"> PAGEREF _Toc327387995 \h </w:instrText>
            </w:r>
            <w:r>
              <w:rPr>
                <w:noProof/>
                <w:webHidden/>
              </w:rPr>
            </w:r>
            <w:r>
              <w:rPr>
                <w:noProof/>
                <w:webHidden/>
              </w:rPr>
              <w:fldChar w:fldCharType="separate"/>
            </w:r>
            <w:r w:rsidR="00216538">
              <w:rPr>
                <w:noProof/>
                <w:webHidden/>
              </w:rPr>
              <w:t>80</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7996" w:history="1">
            <w:r w:rsidR="005A6F7F" w:rsidRPr="00AD4DDC">
              <w:rPr>
                <w:rStyle w:val="Hyperlink"/>
                <w:noProof/>
              </w:rPr>
              <w:t>2.2</w:t>
            </w:r>
            <w:r w:rsidR="005A6F7F">
              <w:rPr>
                <w:rFonts w:asciiTheme="minorHAnsi" w:eastAsiaTheme="minorEastAsia" w:hAnsiTheme="minorHAnsi" w:cstheme="minorBidi"/>
                <w:noProof/>
                <w:sz w:val="22"/>
                <w:szCs w:val="22"/>
              </w:rPr>
              <w:tab/>
            </w:r>
            <w:r w:rsidR="005A6F7F" w:rsidRPr="00AD4DDC">
              <w:rPr>
                <w:rStyle w:val="Hyperlink"/>
                <w:noProof/>
              </w:rPr>
              <w:t>Die Macht des Glaubens</w:t>
            </w:r>
            <w:r w:rsidR="005A6F7F">
              <w:rPr>
                <w:noProof/>
                <w:webHidden/>
              </w:rPr>
              <w:tab/>
            </w:r>
            <w:r>
              <w:rPr>
                <w:noProof/>
                <w:webHidden/>
              </w:rPr>
              <w:fldChar w:fldCharType="begin"/>
            </w:r>
            <w:r w:rsidR="005A6F7F">
              <w:rPr>
                <w:noProof/>
                <w:webHidden/>
              </w:rPr>
              <w:instrText xml:space="preserve"> PAGEREF _Toc327387996 \h </w:instrText>
            </w:r>
            <w:r>
              <w:rPr>
                <w:noProof/>
                <w:webHidden/>
              </w:rPr>
            </w:r>
            <w:r>
              <w:rPr>
                <w:noProof/>
                <w:webHidden/>
              </w:rPr>
              <w:fldChar w:fldCharType="separate"/>
            </w:r>
            <w:r w:rsidR="00216538">
              <w:rPr>
                <w:noProof/>
                <w:webHidden/>
              </w:rPr>
              <w:t>81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7" w:history="1">
            <w:r w:rsidR="005A6F7F" w:rsidRPr="00AD4DDC">
              <w:rPr>
                <w:rStyle w:val="Hyperlink"/>
                <w:noProof/>
              </w:rPr>
              <w:t>2.2.1</w:t>
            </w:r>
            <w:r w:rsidR="005A6F7F">
              <w:rPr>
                <w:rFonts w:asciiTheme="minorHAnsi" w:eastAsiaTheme="minorEastAsia" w:hAnsiTheme="minorHAnsi" w:cstheme="minorBidi"/>
                <w:noProof/>
                <w:sz w:val="22"/>
                <w:szCs w:val="22"/>
              </w:rPr>
              <w:tab/>
            </w:r>
            <w:r w:rsidR="005A6F7F" w:rsidRPr="00AD4DDC">
              <w:rPr>
                <w:rStyle w:val="Hyperlink"/>
                <w:noProof/>
              </w:rPr>
              <w:t>Vorüberlegung: Der christliche Dünkel</w:t>
            </w:r>
            <w:r w:rsidR="005A6F7F">
              <w:rPr>
                <w:noProof/>
                <w:webHidden/>
              </w:rPr>
              <w:tab/>
            </w:r>
            <w:r>
              <w:rPr>
                <w:noProof/>
                <w:webHidden/>
              </w:rPr>
              <w:fldChar w:fldCharType="begin"/>
            </w:r>
            <w:r w:rsidR="005A6F7F">
              <w:rPr>
                <w:noProof/>
                <w:webHidden/>
              </w:rPr>
              <w:instrText xml:space="preserve"> PAGEREF _Toc327387997 \h </w:instrText>
            </w:r>
            <w:r>
              <w:rPr>
                <w:noProof/>
                <w:webHidden/>
              </w:rPr>
            </w:r>
            <w:r>
              <w:rPr>
                <w:noProof/>
                <w:webHidden/>
              </w:rPr>
              <w:fldChar w:fldCharType="separate"/>
            </w:r>
            <w:r w:rsidR="00216538">
              <w:rPr>
                <w:noProof/>
                <w:webHidden/>
              </w:rPr>
              <w:t>82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7998" w:history="1">
            <w:r w:rsidR="005A6F7F" w:rsidRPr="00AD4DDC">
              <w:rPr>
                <w:rStyle w:val="Hyperlink"/>
                <w:noProof/>
              </w:rPr>
              <w:t>2.2.2</w:t>
            </w:r>
            <w:r w:rsidR="005A6F7F">
              <w:rPr>
                <w:rFonts w:asciiTheme="minorHAnsi" w:eastAsiaTheme="minorEastAsia" w:hAnsiTheme="minorHAnsi" w:cstheme="minorBidi"/>
                <w:noProof/>
                <w:sz w:val="22"/>
                <w:szCs w:val="22"/>
              </w:rPr>
              <w:tab/>
            </w:r>
            <w:r w:rsidR="005A6F7F" w:rsidRPr="00AD4DDC">
              <w:rPr>
                <w:rStyle w:val="Hyperlink"/>
                <w:noProof/>
              </w:rPr>
              <w:t>Kontrolle und Norm</w:t>
            </w:r>
            <w:r w:rsidR="005A6F7F">
              <w:rPr>
                <w:noProof/>
                <w:webHidden/>
              </w:rPr>
              <w:tab/>
            </w:r>
            <w:r>
              <w:rPr>
                <w:noProof/>
                <w:webHidden/>
              </w:rPr>
              <w:fldChar w:fldCharType="begin"/>
            </w:r>
            <w:r w:rsidR="005A6F7F">
              <w:rPr>
                <w:noProof/>
                <w:webHidden/>
              </w:rPr>
              <w:instrText xml:space="preserve"> PAGEREF _Toc327387998 \h </w:instrText>
            </w:r>
            <w:r>
              <w:rPr>
                <w:noProof/>
                <w:webHidden/>
              </w:rPr>
            </w:r>
            <w:r>
              <w:rPr>
                <w:noProof/>
                <w:webHidden/>
              </w:rPr>
              <w:fldChar w:fldCharType="separate"/>
            </w:r>
            <w:r w:rsidR="00216538">
              <w:rPr>
                <w:noProof/>
                <w:webHidden/>
              </w:rPr>
              <w:t>84</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7999" w:history="1">
            <w:r w:rsidR="005A6F7F" w:rsidRPr="00AD4DDC">
              <w:rPr>
                <w:rStyle w:val="Hyperlink"/>
                <w:noProof/>
              </w:rPr>
              <w:t>2.2.2.1</w:t>
            </w:r>
            <w:r w:rsidR="005A6F7F">
              <w:rPr>
                <w:rFonts w:asciiTheme="minorHAnsi" w:eastAsiaTheme="minorEastAsia" w:hAnsiTheme="minorHAnsi" w:cstheme="minorBidi"/>
                <w:noProof/>
                <w:sz w:val="22"/>
                <w:szCs w:val="22"/>
              </w:rPr>
              <w:tab/>
            </w:r>
            <w:r w:rsidR="005A6F7F" w:rsidRPr="00AD4DDC">
              <w:rPr>
                <w:rStyle w:val="Hyperlink"/>
                <w:noProof/>
              </w:rPr>
              <w:t>Kirchenzucht</w:t>
            </w:r>
            <w:r w:rsidR="005A6F7F">
              <w:rPr>
                <w:noProof/>
                <w:webHidden/>
              </w:rPr>
              <w:tab/>
            </w:r>
            <w:r>
              <w:rPr>
                <w:noProof/>
                <w:webHidden/>
              </w:rPr>
              <w:fldChar w:fldCharType="begin"/>
            </w:r>
            <w:r w:rsidR="005A6F7F">
              <w:rPr>
                <w:noProof/>
                <w:webHidden/>
              </w:rPr>
              <w:instrText xml:space="preserve"> PAGEREF _Toc327387999 \h </w:instrText>
            </w:r>
            <w:r>
              <w:rPr>
                <w:noProof/>
                <w:webHidden/>
              </w:rPr>
            </w:r>
            <w:r>
              <w:rPr>
                <w:noProof/>
                <w:webHidden/>
              </w:rPr>
              <w:fldChar w:fldCharType="separate"/>
            </w:r>
            <w:r w:rsidR="00216538">
              <w:rPr>
                <w:noProof/>
                <w:webHidden/>
              </w:rPr>
              <w:t>84</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0" w:history="1">
            <w:r w:rsidR="005A6F7F" w:rsidRPr="00AD4DDC">
              <w:rPr>
                <w:rStyle w:val="Hyperlink"/>
                <w:noProof/>
              </w:rPr>
              <w:t>2.2.2.2</w:t>
            </w:r>
            <w:r w:rsidR="005A6F7F">
              <w:rPr>
                <w:rFonts w:asciiTheme="minorHAnsi" w:eastAsiaTheme="minorEastAsia" w:hAnsiTheme="minorHAnsi" w:cstheme="minorBidi"/>
                <w:noProof/>
                <w:sz w:val="22"/>
                <w:szCs w:val="22"/>
              </w:rPr>
              <w:tab/>
            </w:r>
            <w:r w:rsidR="005A6F7F" w:rsidRPr="00AD4DDC">
              <w:rPr>
                <w:rStyle w:val="Hyperlink"/>
                <w:noProof/>
              </w:rPr>
              <w:t>Kontrolle durch die Bibel</w:t>
            </w:r>
            <w:r w:rsidR="005A6F7F">
              <w:rPr>
                <w:noProof/>
                <w:webHidden/>
              </w:rPr>
              <w:tab/>
            </w:r>
            <w:r>
              <w:rPr>
                <w:noProof/>
                <w:webHidden/>
              </w:rPr>
              <w:fldChar w:fldCharType="begin"/>
            </w:r>
            <w:r w:rsidR="005A6F7F">
              <w:rPr>
                <w:noProof/>
                <w:webHidden/>
              </w:rPr>
              <w:instrText xml:space="preserve"> PAGEREF _Toc327388000 \h </w:instrText>
            </w:r>
            <w:r>
              <w:rPr>
                <w:noProof/>
                <w:webHidden/>
              </w:rPr>
            </w:r>
            <w:r>
              <w:rPr>
                <w:noProof/>
                <w:webHidden/>
              </w:rPr>
              <w:fldChar w:fldCharType="separate"/>
            </w:r>
            <w:r w:rsidR="00216538">
              <w:rPr>
                <w:noProof/>
                <w:webHidden/>
              </w:rPr>
              <w:t>85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1" w:history="1">
            <w:r w:rsidR="005A6F7F" w:rsidRPr="00AD4DDC">
              <w:rPr>
                <w:rStyle w:val="Hyperlink"/>
                <w:noProof/>
              </w:rPr>
              <w:t>2.2.2.3</w:t>
            </w:r>
            <w:r w:rsidR="005A6F7F">
              <w:rPr>
                <w:rFonts w:asciiTheme="minorHAnsi" w:eastAsiaTheme="minorEastAsia" w:hAnsiTheme="minorHAnsi" w:cstheme="minorBidi"/>
                <w:noProof/>
                <w:sz w:val="22"/>
                <w:szCs w:val="22"/>
              </w:rPr>
              <w:tab/>
            </w:r>
            <w:r w:rsidR="005A6F7F" w:rsidRPr="00AD4DDC">
              <w:rPr>
                <w:rStyle w:val="Hyperlink"/>
                <w:noProof/>
              </w:rPr>
              <w:t>Unter fremdem Namen</w:t>
            </w:r>
            <w:r w:rsidR="005A6F7F">
              <w:rPr>
                <w:noProof/>
                <w:webHidden/>
              </w:rPr>
              <w:tab/>
            </w:r>
            <w:r>
              <w:rPr>
                <w:noProof/>
                <w:webHidden/>
              </w:rPr>
              <w:fldChar w:fldCharType="begin"/>
            </w:r>
            <w:r w:rsidR="005A6F7F">
              <w:rPr>
                <w:noProof/>
                <w:webHidden/>
              </w:rPr>
              <w:instrText xml:space="preserve"> PAGEREF _Toc327388001 \h </w:instrText>
            </w:r>
            <w:r>
              <w:rPr>
                <w:noProof/>
                <w:webHidden/>
              </w:rPr>
            </w:r>
            <w:r>
              <w:rPr>
                <w:noProof/>
                <w:webHidden/>
              </w:rPr>
              <w:fldChar w:fldCharType="separate"/>
            </w:r>
            <w:r w:rsidR="00216538">
              <w:rPr>
                <w:noProof/>
                <w:webHidden/>
              </w:rPr>
              <w:t>86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02" w:history="1">
            <w:r w:rsidR="005A6F7F" w:rsidRPr="00AD4DDC">
              <w:rPr>
                <w:rStyle w:val="Hyperlink"/>
                <w:noProof/>
              </w:rPr>
              <w:t>2.2.3</w:t>
            </w:r>
            <w:r w:rsidR="005A6F7F">
              <w:rPr>
                <w:rFonts w:asciiTheme="minorHAnsi" w:eastAsiaTheme="minorEastAsia" w:hAnsiTheme="minorHAnsi" w:cstheme="minorBidi"/>
                <w:noProof/>
                <w:sz w:val="22"/>
                <w:szCs w:val="22"/>
              </w:rPr>
              <w:tab/>
            </w:r>
            <w:r w:rsidR="005A6F7F" w:rsidRPr="00AD4DDC">
              <w:rPr>
                <w:rStyle w:val="Hyperlink"/>
                <w:noProof/>
              </w:rPr>
              <w:t>Erziehung</w:t>
            </w:r>
            <w:r w:rsidR="005A6F7F">
              <w:rPr>
                <w:noProof/>
                <w:webHidden/>
              </w:rPr>
              <w:tab/>
            </w:r>
            <w:r>
              <w:rPr>
                <w:noProof/>
                <w:webHidden/>
              </w:rPr>
              <w:fldChar w:fldCharType="begin"/>
            </w:r>
            <w:r w:rsidR="005A6F7F">
              <w:rPr>
                <w:noProof/>
                <w:webHidden/>
              </w:rPr>
              <w:instrText xml:space="preserve"> PAGEREF _Toc327388002 \h </w:instrText>
            </w:r>
            <w:r>
              <w:rPr>
                <w:noProof/>
                <w:webHidden/>
              </w:rPr>
            </w:r>
            <w:r>
              <w:rPr>
                <w:noProof/>
                <w:webHidden/>
              </w:rPr>
              <w:fldChar w:fldCharType="separate"/>
            </w:r>
            <w:r w:rsidR="00216538">
              <w:rPr>
                <w:noProof/>
                <w:webHidden/>
              </w:rPr>
              <w:t>87</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3" w:history="1">
            <w:r w:rsidR="005A6F7F" w:rsidRPr="00AD4DDC">
              <w:rPr>
                <w:rStyle w:val="Hyperlink"/>
                <w:noProof/>
              </w:rPr>
              <w:t>2.2.3.1</w:t>
            </w:r>
            <w:r w:rsidR="005A6F7F">
              <w:rPr>
                <w:rFonts w:asciiTheme="minorHAnsi" w:eastAsiaTheme="minorEastAsia" w:hAnsiTheme="minorHAnsi" w:cstheme="minorBidi"/>
                <w:noProof/>
                <w:sz w:val="22"/>
                <w:szCs w:val="22"/>
              </w:rPr>
              <w:tab/>
            </w:r>
            <w:r w:rsidR="005A6F7F" w:rsidRPr="00AD4DDC">
              <w:rPr>
                <w:rStyle w:val="Hyperlink"/>
                <w:noProof/>
              </w:rPr>
              <w:t>Die Missionsschulen</w:t>
            </w:r>
            <w:r w:rsidR="005A6F7F">
              <w:rPr>
                <w:noProof/>
                <w:webHidden/>
              </w:rPr>
              <w:tab/>
            </w:r>
            <w:r>
              <w:rPr>
                <w:noProof/>
                <w:webHidden/>
              </w:rPr>
              <w:fldChar w:fldCharType="begin"/>
            </w:r>
            <w:r w:rsidR="005A6F7F">
              <w:rPr>
                <w:noProof/>
                <w:webHidden/>
              </w:rPr>
              <w:instrText xml:space="preserve"> PAGEREF _Toc327388003 \h </w:instrText>
            </w:r>
            <w:r>
              <w:rPr>
                <w:noProof/>
                <w:webHidden/>
              </w:rPr>
            </w:r>
            <w:r>
              <w:rPr>
                <w:noProof/>
                <w:webHidden/>
              </w:rPr>
              <w:fldChar w:fldCharType="separate"/>
            </w:r>
            <w:r w:rsidR="00216538">
              <w:rPr>
                <w:noProof/>
                <w:webHidden/>
              </w:rPr>
              <w:t>87</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4" w:history="1">
            <w:r w:rsidR="005A6F7F" w:rsidRPr="00AD4DDC">
              <w:rPr>
                <w:rStyle w:val="Hyperlink"/>
                <w:noProof/>
              </w:rPr>
              <w:t>2.2.3.2</w:t>
            </w:r>
            <w:r w:rsidR="005A6F7F">
              <w:rPr>
                <w:rFonts w:asciiTheme="minorHAnsi" w:eastAsiaTheme="minorEastAsia" w:hAnsiTheme="minorHAnsi" w:cstheme="minorBidi"/>
                <w:noProof/>
                <w:sz w:val="22"/>
                <w:szCs w:val="22"/>
              </w:rPr>
              <w:tab/>
            </w:r>
            <w:r w:rsidR="005A6F7F" w:rsidRPr="00AD4DDC">
              <w:rPr>
                <w:rStyle w:val="Hyperlink"/>
                <w:noProof/>
              </w:rPr>
              <w:t>Die Reform der Lehrerausbildung</w:t>
            </w:r>
            <w:r w:rsidR="005A6F7F">
              <w:rPr>
                <w:noProof/>
                <w:webHidden/>
              </w:rPr>
              <w:tab/>
            </w:r>
            <w:r>
              <w:rPr>
                <w:noProof/>
                <w:webHidden/>
              </w:rPr>
              <w:fldChar w:fldCharType="begin"/>
            </w:r>
            <w:r w:rsidR="005A6F7F">
              <w:rPr>
                <w:noProof/>
                <w:webHidden/>
              </w:rPr>
              <w:instrText xml:space="preserve"> PAGEREF _Toc327388004 \h </w:instrText>
            </w:r>
            <w:r>
              <w:rPr>
                <w:noProof/>
                <w:webHidden/>
              </w:rPr>
            </w:r>
            <w:r>
              <w:rPr>
                <w:noProof/>
                <w:webHidden/>
              </w:rPr>
              <w:fldChar w:fldCharType="separate"/>
            </w:r>
            <w:r w:rsidR="00216538">
              <w:rPr>
                <w:noProof/>
                <w:webHidden/>
              </w:rPr>
              <w:t>90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05" w:history="1">
            <w:r w:rsidR="005A6F7F" w:rsidRPr="00AD4DDC">
              <w:rPr>
                <w:rStyle w:val="Hyperlink"/>
                <w:noProof/>
              </w:rPr>
              <w:t>2.2.4</w:t>
            </w:r>
            <w:r w:rsidR="005A6F7F">
              <w:rPr>
                <w:rFonts w:asciiTheme="minorHAnsi" w:eastAsiaTheme="minorEastAsia" w:hAnsiTheme="minorHAnsi" w:cstheme="minorBidi"/>
                <w:noProof/>
                <w:sz w:val="22"/>
                <w:szCs w:val="22"/>
              </w:rPr>
              <w:tab/>
            </w:r>
            <w:r w:rsidR="005A6F7F" w:rsidRPr="00AD4DDC">
              <w:rPr>
                <w:rStyle w:val="Hyperlink"/>
                <w:noProof/>
              </w:rPr>
              <w:t>Mission und Ideologie</w:t>
            </w:r>
            <w:r w:rsidR="005A6F7F">
              <w:rPr>
                <w:noProof/>
                <w:webHidden/>
              </w:rPr>
              <w:tab/>
            </w:r>
            <w:r>
              <w:rPr>
                <w:noProof/>
                <w:webHidden/>
              </w:rPr>
              <w:fldChar w:fldCharType="begin"/>
            </w:r>
            <w:r w:rsidR="005A6F7F">
              <w:rPr>
                <w:noProof/>
                <w:webHidden/>
              </w:rPr>
              <w:instrText xml:space="preserve"> PAGEREF _Toc327388005 \h </w:instrText>
            </w:r>
            <w:r>
              <w:rPr>
                <w:noProof/>
                <w:webHidden/>
              </w:rPr>
            </w:r>
            <w:r>
              <w:rPr>
                <w:noProof/>
                <w:webHidden/>
              </w:rPr>
              <w:fldChar w:fldCharType="separate"/>
            </w:r>
            <w:r w:rsidR="00216538">
              <w:rPr>
                <w:noProof/>
                <w:webHidden/>
              </w:rPr>
              <w:t>91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6" w:history="1">
            <w:r w:rsidR="005A6F7F" w:rsidRPr="00AD4DDC">
              <w:rPr>
                <w:rStyle w:val="Hyperlink"/>
                <w:noProof/>
              </w:rPr>
              <w:t>2.2.4.1</w:t>
            </w:r>
            <w:r w:rsidR="005A6F7F">
              <w:rPr>
                <w:rFonts w:asciiTheme="minorHAnsi" w:eastAsiaTheme="minorEastAsia" w:hAnsiTheme="minorHAnsi" w:cstheme="minorBidi"/>
                <w:noProof/>
                <w:sz w:val="22"/>
                <w:szCs w:val="22"/>
              </w:rPr>
              <w:tab/>
            </w:r>
            <w:r w:rsidR="005A6F7F" w:rsidRPr="00AD4DDC">
              <w:rPr>
                <w:rStyle w:val="Hyperlink"/>
                <w:noProof/>
              </w:rPr>
              <w:t>Die Religion der Sesshaften</w:t>
            </w:r>
            <w:r w:rsidR="005A6F7F">
              <w:rPr>
                <w:noProof/>
                <w:webHidden/>
              </w:rPr>
              <w:tab/>
            </w:r>
            <w:r>
              <w:rPr>
                <w:noProof/>
                <w:webHidden/>
              </w:rPr>
              <w:fldChar w:fldCharType="begin"/>
            </w:r>
            <w:r w:rsidR="005A6F7F">
              <w:rPr>
                <w:noProof/>
                <w:webHidden/>
              </w:rPr>
              <w:instrText xml:space="preserve"> PAGEREF _Toc327388006 \h </w:instrText>
            </w:r>
            <w:r>
              <w:rPr>
                <w:noProof/>
                <w:webHidden/>
              </w:rPr>
            </w:r>
            <w:r>
              <w:rPr>
                <w:noProof/>
                <w:webHidden/>
              </w:rPr>
              <w:fldChar w:fldCharType="separate"/>
            </w:r>
            <w:r w:rsidR="00216538">
              <w:rPr>
                <w:noProof/>
                <w:webHidden/>
              </w:rPr>
              <w:t>91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7" w:history="1">
            <w:r w:rsidR="005A6F7F" w:rsidRPr="00AD4DDC">
              <w:rPr>
                <w:rStyle w:val="Hyperlink"/>
                <w:noProof/>
              </w:rPr>
              <w:t>2.2.4.2</w:t>
            </w:r>
            <w:r w:rsidR="005A6F7F">
              <w:rPr>
                <w:rFonts w:asciiTheme="minorHAnsi" w:eastAsiaTheme="minorEastAsia" w:hAnsiTheme="minorHAnsi" w:cstheme="minorBidi"/>
                <w:noProof/>
                <w:sz w:val="22"/>
                <w:szCs w:val="22"/>
              </w:rPr>
              <w:tab/>
            </w:r>
            <w:r w:rsidR="005A6F7F" w:rsidRPr="00AD4DDC">
              <w:rPr>
                <w:rStyle w:val="Hyperlink"/>
                <w:noProof/>
              </w:rPr>
              <w:t>Erziehung zur Arbeit</w:t>
            </w:r>
            <w:r w:rsidR="005A6F7F">
              <w:rPr>
                <w:noProof/>
                <w:webHidden/>
              </w:rPr>
              <w:tab/>
            </w:r>
            <w:r>
              <w:rPr>
                <w:noProof/>
                <w:webHidden/>
              </w:rPr>
              <w:fldChar w:fldCharType="begin"/>
            </w:r>
            <w:r w:rsidR="005A6F7F">
              <w:rPr>
                <w:noProof/>
                <w:webHidden/>
              </w:rPr>
              <w:instrText xml:space="preserve"> PAGEREF _Toc327388007 \h </w:instrText>
            </w:r>
            <w:r>
              <w:rPr>
                <w:noProof/>
                <w:webHidden/>
              </w:rPr>
            </w:r>
            <w:r>
              <w:rPr>
                <w:noProof/>
                <w:webHidden/>
              </w:rPr>
              <w:fldChar w:fldCharType="separate"/>
            </w:r>
            <w:r w:rsidR="00216538">
              <w:rPr>
                <w:noProof/>
                <w:webHidden/>
              </w:rPr>
              <w:t>92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08" w:history="1">
            <w:r w:rsidR="005A6F7F" w:rsidRPr="00AD4DDC">
              <w:rPr>
                <w:rStyle w:val="Hyperlink"/>
                <w:noProof/>
              </w:rPr>
              <w:t>2.2.5</w:t>
            </w:r>
            <w:r w:rsidR="005A6F7F">
              <w:rPr>
                <w:rFonts w:asciiTheme="minorHAnsi" w:eastAsiaTheme="minorEastAsia" w:hAnsiTheme="minorHAnsi" w:cstheme="minorBidi"/>
                <w:noProof/>
                <w:sz w:val="22"/>
                <w:szCs w:val="22"/>
              </w:rPr>
              <w:tab/>
            </w:r>
            <w:r w:rsidR="005A6F7F" w:rsidRPr="00AD4DDC">
              <w:rPr>
                <w:rStyle w:val="Hyperlink"/>
                <w:noProof/>
              </w:rPr>
              <w:t>Juristische Aspekte</w:t>
            </w:r>
            <w:r w:rsidR="005A6F7F">
              <w:rPr>
                <w:noProof/>
                <w:webHidden/>
              </w:rPr>
              <w:tab/>
            </w:r>
            <w:r>
              <w:rPr>
                <w:noProof/>
                <w:webHidden/>
              </w:rPr>
              <w:fldChar w:fldCharType="begin"/>
            </w:r>
            <w:r w:rsidR="005A6F7F">
              <w:rPr>
                <w:noProof/>
                <w:webHidden/>
              </w:rPr>
              <w:instrText xml:space="preserve"> PAGEREF _Toc327388008 \h </w:instrText>
            </w:r>
            <w:r>
              <w:rPr>
                <w:noProof/>
                <w:webHidden/>
              </w:rPr>
            </w:r>
            <w:r>
              <w:rPr>
                <w:noProof/>
                <w:webHidden/>
              </w:rPr>
              <w:fldChar w:fldCharType="separate"/>
            </w:r>
            <w:r w:rsidR="00216538">
              <w:rPr>
                <w:noProof/>
                <w:webHidden/>
              </w:rPr>
              <w:t>95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09" w:history="1">
            <w:r w:rsidR="005A6F7F" w:rsidRPr="00AD4DDC">
              <w:rPr>
                <w:rStyle w:val="Hyperlink"/>
                <w:noProof/>
              </w:rPr>
              <w:t>2.2.5.1</w:t>
            </w:r>
            <w:r w:rsidR="005A6F7F">
              <w:rPr>
                <w:rFonts w:asciiTheme="minorHAnsi" w:eastAsiaTheme="minorEastAsia" w:hAnsiTheme="minorHAnsi" w:cstheme="minorBidi"/>
                <w:noProof/>
                <w:sz w:val="22"/>
                <w:szCs w:val="22"/>
              </w:rPr>
              <w:tab/>
            </w:r>
            <w:r w:rsidR="005A6F7F" w:rsidRPr="00AD4DDC">
              <w:rPr>
                <w:rStyle w:val="Hyperlink"/>
                <w:noProof/>
              </w:rPr>
              <w:t>Vor Gericht</w:t>
            </w:r>
            <w:r w:rsidR="005A6F7F">
              <w:rPr>
                <w:noProof/>
                <w:webHidden/>
              </w:rPr>
              <w:tab/>
            </w:r>
            <w:r>
              <w:rPr>
                <w:noProof/>
                <w:webHidden/>
              </w:rPr>
              <w:fldChar w:fldCharType="begin"/>
            </w:r>
            <w:r w:rsidR="005A6F7F">
              <w:rPr>
                <w:noProof/>
                <w:webHidden/>
              </w:rPr>
              <w:instrText xml:space="preserve"> PAGEREF _Toc327388009 \h </w:instrText>
            </w:r>
            <w:r>
              <w:rPr>
                <w:noProof/>
                <w:webHidden/>
              </w:rPr>
            </w:r>
            <w:r>
              <w:rPr>
                <w:noProof/>
                <w:webHidden/>
              </w:rPr>
              <w:fldChar w:fldCharType="separate"/>
            </w:r>
            <w:r w:rsidR="00216538">
              <w:rPr>
                <w:noProof/>
                <w:webHidden/>
              </w:rPr>
              <w:t>95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10" w:history="1">
            <w:r w:rsidR="005A6F7F" w:rsidRPr="00AD4DDC">
              <w:rPr>
                <w:rStyle w:val="Hyperlink"/>
                <w:noProof/>
              </w:rPr>
              <w:t>2.2.5.2</w:t>
            </w:r>
            <w:r w:rsidR="005A6F7F">
              <w:rPr>
                <w:rFonts w:asciiTheme="minorHAnsi" w:eastAsiaTheme="minorEastAsia" w:hAnsiTheme="minorHAnsi" w:cstheme="minorBidi"/>
                <w:noProof/>
                <w:sz w:val="22"/>
                <w:szCs w:val="22"/>
              </w:rPr>
              <w:tab/>
            </w:r>
            <w:r w:rsidR="005A6F7F" w:rsidRPr="00AD4DDC">
              <w:rPr>
                <w:rStyle w:val="Hyperlink"/>
                <w:noProof/>
              </w:rPr>
              <w:t>Die gezinkte Waage</w:t>
            </w:r>
            <w:r w:rsidR="005A6F7F">
              <w:rPr>
                <w:noProof/>
                <w:webHidden/>
              </w:rPr>
              <w:tab/>
            </w:r>
            <w:r>
              <w:rPr>
                <w:noProof/>
                <w:webHidden/>
              </w:rPr>
              <w:fldChar w:fldCharType="begin"/>
            </w:r>
            <w:r w:rsidR="005A6F7F">
              <w:rPr>
                <w:noProof/>
                <w:webHidden/>
              </w:rPr>
              <w:instrText xml:space="preserve"> PAGEREF _Toc327388010 \h </w:instrText>
            </w:r>
            <w:r>
              <w:rPr>
                <w:noProof/>
                <w:webHidden/>
              </w:rPr>
            </w:r>
            <w:r>
              <w:rPr>
                <w:noProof/>
                <w:webHidden/>
              </w:rPr>
              <w:fldChar w:fldCharType="separate"/>
            </w:r>
            <w:r w:rsidR="00216538">
              <w:rPr>
                <w:noProof/>
                <w:webHidden/>
              </w:rPr>
              <w:t>96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11" w:history="1">
            <w:r w:rsidR="005A6F7F" w:rsidRPr="00AD4DDC">
              <w:rPr>
                <w:rStyle w:val="Hyperlink"/>
                <w:noProof/>
              </w:rPr>
              <w:t>2.2.5.3</w:t>
            </w:r>
            <w:r w:rsidR="005A6F7F">
              <w:rPr>
                <w:rFonts w:asciiTheme="minorHAnsi" w:eastAsiaTheme="minorEastAsia" w:hAnsiTheme="minorHAnsi" w:cstheme="minorBidi"/>
                <w:noProof/>
                <w:sz w:val="22"/>
                <w:szCs w:val="22"/>
              </w:rPr>
              <w:tab/>
            </w:r>
            <w:r w:rsidR="005A6F7F" w:rsidRPr="00AD4DDC">
              <w:rPr>
                <w:rStyle w:val="Hyperlink"/>
                <w:noProof/>
              </w:rPr>
              <w:t>Schlecht beraten</w:t>
            </w:r>
            <w:r w:rsidR="005A6F7F">
              <w:rPr>
                <w:noProof/>
                <w:webHidden/>
              </w:rPr>
              <w:tab/>
            </w:r>
            <w:r>
              <w:rPr>
                <w:noProof/>
                <w:webHidden/>
              </w:rPr>
              <w:fldChar w:fldCharType="begin"/>
            </w:r>
            <w:r w:rsidR="005A6F7F">
              <w:rPr>
                <w:noProof/>
                <w:webHidden/>
              </w:rPr>
              <w:instrText xml:space="preserve"> PAGEREF _Toc327388011 \h </w:instrText>
            </w:r>
            <w:r>
              <w:rPr>
                <w:noProof/>
                <w:webHidden/>
              </w:rPr>
            </w:r>
            <w:r>
              <w:rPr>
                <w:noProof/>
                <w:webHidden/>
              </w:rPr>
              <w:fldChar w:fldCharType="separate"/>
            </w:r>
            <w:r w:rsidR="00216538">
              <w:rPr>
                <w:noProof/>
                <w:webHidden/>
              </w:rPr>
              <w:t>98</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12" w:history="1">
            <w:r w:rsidR="005A6F7F" w:rsidRPr="00AD4DDC">
              <w:rPr>
                <w:rStyle w:val="Hyperlink"/>
                <w:noProof/>
              </w:rPr>
              <w:t>2.2.6</w:t>
            </w:r>
            <w:r w:rsidR="005A6F7F">
              <w:rPr>
                <w:rFonts w:asciiTheme="minorHAnsi" w:eastAsiaTheme="minorEastAsia" w:hAnsiTheme="minorHAnsi" w:cstheme="minorBidi"/>
                <w:noProof/>
                <w:sz w:val="22"/>
                <w:szCs w:val="22"/>
              </w:rPr>
              <w:tab/>
            </w:r>
            <w:r w:rsidR="005A6F7F" w:rsidRPr="00AD4DDC">
              <w:rPr>
                <w:rStyle w:val="Hyperlink"/>
                <w:noProof/>
              </w:rPr>
              <w:t>Die Mission als Vertrauensinstanz</w:t>
            </w:r>
            <w:r w:rsidR="005A6F7F">
              <w:rPr>
                <w:noProof/>
                <w:webHidden/>
              </w:rPr>
              <w:tab/>
            </w:r>
            <w:r>
              <w:rPr>
                <w:noProof/>
                <w:webHidden/>
              </w:rPr>
              <w:fldChar w:fldCharType="begin"/>
            </w:r>
            <w:r w:rsidR="005A6F7F">
              <w:rPr>
                <w:noProof/>
                <w:webHidden/>
              </w:rPr>
              <w:instrText xml:space="preserve"> PAGEREF _Toc327388012 \h </w:instrText>
            </w:r>
            <w:r>
              <w:rPr>
                <w:noProof/>
                <w:webHidden/>
              </w:rPr>
            </w:r>
            <w:r>
              <w:rPr>
                <w:noProof/>
                <w:webHidden/>
              </w:rPr>
              <w:fldChar w:fldCharType="separate"/>
            </w:r>
            <w:r w:rsidR="00216538">
              <w:rPr>
                <w:noProof/>
                <w:webHidden/>
              </w:rPr>
              <w:t>99</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13" w:history="1">
            <w:r w:rsidR="005A6F7F" w:rsidRPr="00AD4DDC">
              <w:rPr>
                <w:rStyle w:val="Hyperlink"/>
                <w:noProof/>
              </w:rPr>
              <w:t>2.3</w:t>
            </w:r>
            <w:r w:rsidR="005A6F7F">
              <w:rPr>
                <w:rFonts w:asciiTheme="minorHAnsi" w:eastAsiaTheme="minorEastAsia" w:hAnsiTheme="minorHAnsi" w:cstheme="minorBidi"/>
                <w:noProof/>
                <w:sz w:val="22"/>
                <w:szCs w:val="22"/>
              </w:rPr>
              <w:tab/>
            </w:r>
            <w:r w:rsidR="005A6F7F" w:rsidRPr="00AD4DDC">
              <w:rPr>
                <w:rStyle w:val="Hyperlink"/>
                <w:noProof/>
              </w:rPr>
              <w:t>Mission und Konflikt</w:t>
            </w:r>
            <w:r w:rsidR="005A6F7F">
              <w:rPr>
                <w:noProof/>
                <w:webHidden/>
              </w:rPr>
              <w:tab/>
            </w:r>
            <w:r>
              <w:rPr>
                <w:noProof/>
                <w:webHidden/>
              </w:rPr>
              <w:fldChar w:fldCharType="begin"/>
            </w:r>
            <w:r w:rsidR="005A6F7F">
              <w:rPr>
                <w:noProof/>
                <w:webHidden/>
              </w:rPr>
              <w:instrText xml:space="preserve"> PAGEREF _Toc327388013 \h </w:instrText>
            </w:r>
            <w:r>
              <w:rPr>
                <w:noProof/>
                <w:webHidden/>
              </w:rPr>
            </w:r>
            <w:r>
              <w:rPr>
                <w:noProof/>
                <w:webHidden/>
              </w:rPr>
              <w:fldChar w:fldCharType="separate"/>
            </w:r>
            <w:r w:rsidR="00216538">
              <w:rPr>
                <w:noProof/>
                <w:webHidden/>
              </w:rPr>
              <w:t>99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14" w:history="1">
            <w:r w:rsidR="005A6F7F" w:rsidRPr="00AD4DDC">
              <w:rPr>
                <w:rStyle w:val="Hyperlink"/>
                <w:noProof/>
              </w:rPr>
              <w:t>2.3.1</w:t>
            </w:r>
            <w:r w:rsidR="005A6F7F">
              <w:rPr>
                <w:rFonts w:asciiTheme="minorHAnsi" w:eastAsiaTheme="minorEastAsia" w:hAnsiTheme="minorHAnsi" w:cstheme="minorBidi"/>
                <w:noProof/>
                <w:sz w:val="22"/>
                <w:szCs w:val="22"/>
              </w:rPr>
              <w:tab/>
            </w:r>
            <w:r w:rsidR="005A6F7F" w:rsidRPr="00AD4DDC">
              <w:rPr>
                <w:rStyle w:val="Hyperlink"/>
                <w:noProof/>
              </w:rPr>
              <w:t>Vorüberlegung: Eine ‚Hierarchie der Abstoßung‘?</w:t>
            </w:r>
            <w:r w:rsidR="005A6F7F">
              <w:rPr>
                <w:noProof/>
                <w:webHidden/>
              </w:rPr>
              <w:tab/>
            </w:r>
            <w:r>
              <w:rPr>
                <w:noProof/>
                <w:webHidden/>
              </w:rPr>
              <w:fldChar w:fldCharType="begin"/>
            </w:r>
            <w:r w:rsidR="005A6F7F">
              <w:rPr>
                <w:noProof/>
                <w:webHidden/>
              </w:rPr>
              <w:instrText xml:space="preserve"> PAGEREF _Toc327388014 \h </w:instrText>
            </w:r>
            <w:r>
              <w:rPr>
                <w:noProof/>
                <w:webHidden/>
              </w:rPr>
            </w:r>
            <w:r>
              <w:rPr>
                <w:noProof/>
                <w:webHidden/>
              </w:rPr>
              <w:fldChar w:fldCharType="separate"/>
            </w:r>
            <w:r w:rsidR="00216538">
              <w:rPr>
                <w:noProof/>
                <w:webHidden/>
              </w:rPr>
              <w:t>99</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15" w:history="1">
            <w:r w:rsidR="005A6F7F" w:rsidRPr="00AD4DDC">
              <w:rPr>
                <w:rStyle w:val="Hyperlink"/>
                <w:noProof/>
              </w:rPr>
              <w:t>2.3.1.1</w:t>
            </w:r>
            <w:r w:rsidR="005A6F7F">
              <w:rPr>
                <w:rFonts w:asciiTheme="minorHAnsi" w:eastAsiaTheme="minorEastAsia" w:hAnsiTheme="minorHAnsi" w:cstheme="minorBidi"/>
                <w:noProof/>
                <w:sz w:val="22"/>
                <w:szCs w:val="22"/>
              </w:rPr>
              <w:tab/>
            </w:r>
            <w:r w:rsidR="005A6F7F" w:rsidRPr="00AD4DDC">
              <w:rPr>
                <w:rStyle w:val="Hyperlink"/>
                <w:noProof/>
              </w:rPr>
              <w:t>Grade der Distanz</w:t>
            </w:r>
            <w:r w:rsidR="005A6F7F">
              <w:rPr>
                <w:noProof/>
                <w:webHidden/>
              </w:rPr>
              <w:tab/>
            </w:r>
            <w:r>
              <w:rPr>
                <w:noProof/>
                <w:webHidden/>
              </w:rPr>
              <w:fldChar w:fldCharType="begin"/>
            </w:r>
            <w:r w:rsidR="005A6F7F">
              <w:rPr>
                <w:noProof/>
                <w:webHidden/>
              </w:rPr>
              <w:instrText xml:space="preserve"> PAGEREF _Toc327388015 \h </w:instrText>
            </w:r>
            <w:r>
              <w:rPr>
                <w:noProof/>
                <w:webHidden/>
              </w:rPr>
            </w:r>
            <w:r>
              <w:rPr>
                <w:noProof/>
                <w:webHidden/>
              </w:rPr>
              <w:fldChar w:fldCharType="separate"/>
            </w:r>
            <w:r w:rsidR="00216538">
              <w:rPr>
                <w:noProof/>
                <w:webHidden/>
              </w:rPr>
              <w:t>100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16" w:history="1">
            <w:r w:rsidR="005A6F7F" w:rsidRPr="00AD4DDC">
              <w:rPr>
                <w:rStyle w:val="Hyperlink"/>
                <w:noProof/>
              </w:rPr>
              <w:t>2.3.1.2</w:t>
            </w:r>
            <w:r w:rsidR="005A6F7F">
              <w:rPr>
                <w:rFonts w:asciiTheme="minorHAnsi" w:eastAsiaTheme="minorEastAsia" w:hAnsiTheme="minorHAnsi" w:cstheme="minorBidi"/>
                <w:noProof/>
                <w:sz w:val="22"/>
                <w:szCs w:val="22"/>
              </w:rPr>
              <w:tab/>
            </w:r>
            <w:r w:rsidR="005A6F7F" w:rsidRPr="00AD4DDC">
              <w:rPr>
                <w:rStyle w:val="Hyperlink"/>
                <w:noProof/>
              </w:rPr>
              <w:t>Ein Fall von „Othering“?</w:t>
            </w:r>
            <w:r w:rsidR="005A6F7F">
              <w:rPr>
                <w:noProof/>
                <w:webHidden/>
              </w:rPr>
              <w:tab/>
            </w:r>
            <w:r>
              <w:rPr>
                <w:noProof/>
                <w:webHidden/>
              </w:rPr>
              <w:fldChar w:fldCharType="begin"/>
            </w:r>
            <w:r w:rsidR="005A6F7F">
              <w:rPr>
                <w:noProof/>
                <w:webHidden/>
              </w:rPr>
              <w:instrText xml:space="preserve"> PAGEREF _Toc327388016 \h </w:instrText>
            </w:r>
            <w:r>
              <w:rPr>
                <w:noProof/>
                <w:webHidden/>
              </w:rPr>
            </w:r>
            <w:r>
              <w:rPr>
                <w:noProof/>
                <w:webHidden/>
              </w:rPr>
              <w:fldChar w:fldCharType="separate"/>
            </w:r>
            <w:r w:rsidR="00216538">
              <w:rPr>
                <w:noProof/>
                <w:webHidden/>
              </w:rPr>
              <w:t>100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17" w:history="1">
            <w:r w:rsidR="005A6F7F" w:rsidRPr="00AD4DDC">
              <w:rPr>
                <w:rStyle w:val="Hyperlink"/>
                <w:noProof/>
              </w:rPr>
              <w:t>2.3.1.3</w:t>
            </w:r>
            <w:r w:rsidR="005A6F7F">
              <w:rPr>
                <w:rFonts w:asciiTheme="minorHAnsi" w:eastAsiaTheme="minorEastAsia" w:hAnsiTheme="minorHAnsi" w:cstheme="minorBidi"/>
                <w:noProof/>
                <w:sz w:val="22"/>
                <w:szCs w:val="22"/>
              </w:rPr>
              <w:tab/>
            </w:r>
            <w:r w:rsidR="005A6F7F" w:rsidRPr="00AD4DDC">
              <w:rPr>
                <w:rStyle w:val="Hyperlink"/>
                <w:noProof/>
              </w:rPr>
              <w:t>Der selbstverständliche Feind</w:t>
            </w:r>
            <w:r w:rsidR="005A6F7F">
              <w:rPr>
                <w:noProof/>
                <w:webHidden/>
              </w:rPr>
              <w:tab/>
            </w:r>
            <w:r>
              <w:rPr>
                <w:noProof/>
                <w:webHidden/>
              </w:rPr>
              <w:fldChar w:fldCharType="begin"/>
            </w:r>
            <w:r w:rsidR="005A6F7F">
              <w:rPr>
                <w:noProof/>
                <w:webHidden/>
              </w:rPr>
              <w:instrText xml:space="preserve"> PAGEREF _Toc327388017 \h </w:instrText>
            </w:r>
            <w:r>
              <w:rPr>
                <w:noProof/>
                <w:webHidden/>
              </w:rPr>
            </w:r>
            <w:r>
              <w:rPr>
                <w:noProof/>
                <w:webHidden/>
              </w:rPr>
              <w:fldChar w:fldCharType="separate"/>
            </w:r>
            <w:r w:rsidR="00216538">
              <w:rPr>
                <w:noProof/>
                <w:webHidden/>
              </w:rPr>
              <w:t>103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18" w:history="1">
            <w:r w:rsidR="005A6F7F" w:rsidRPr="00AD4DDC">
              <w:rPr>
                <w:rStyle w:val="Hyperlink"/>
                <w:noProof/>
              </w:rPr>
              <w:t>2.3.2</w:t>
            </w:r>
            <w:r w:rsidR="005A6F7F">
              <w:rPr>
                <w:rFonts w:asciiTheme="minorHAnsi" w:eastAsiaTheme="minorEastAsia" w:hAnsiTheme="minorHAnsi" w:cstheme="minorBidi"/>
                <w:noProof/>
                <w:sz w:val="22"/>
                <w:szCs w:val="22"/>
              </w:rPr>
              <w:tab/>
            </w:r>
            <w:r w:rsidR="005A6F7F" w:rsidRPr="00AD4DDC">
              <w:rPr>
                <w:rStyle w:val="Hyperlink"/>
                <w:noProof/>
              </w:rPr>
              <w:t>Zwei Reiche</w:t>
            </w:r>
            <w:r w:rsidR="005A6F7F">
              <w:rPr>
                <w:noProof/>
                <w:webHidden/>
              </w:rPr>
              <w:tab/>
            </w:r>
            <w:r>
              <w:rPr>
                <w:noProof/>
                <w:webHidden/>
              </w:rPr>
              <w:fldChar w:fldCharType="begin"/>
            </w:r>
            <w:r w:rsidR="005A6F7F">
              <w:rPr>
                <w:noProof/>
                <w:webHidden/>
              </w:rPr>
              <w:instrText xml:space="preserve"> PAGEREF _Toc327388018 \h </w:instrText>
            </w:r>
            <w:r>
              <w:rPr>
                <w:noProof/>
                <w:webHidden/>
              </w:rPr>
            </w:r>
            <w:r>
              <w:rPr>
                <w:noProof/>
                <w:webHidden/>
              </w:rPr>
              <w:fldChar w:fldCharType="separate"/>
            </w:r>
            <w:r w:rsidR="00216538">
              <w:rPr>
                <w:noProof/>
                <w:webHidden/>
              </w:rPr>
              <w:t>103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19" w:history="1">
            <w:r w:rsidR="005A6F7F" w:rsidRPr="00AD4DDC">
              <w:rPr>
                <w:rStyle w:val="Hyperlink"/>
                <w:noProof/>
              </w:rPr>
              <w:t>2.3.3</w:t>
            </w:r>
            <w:r w:rsidR="005A6F7F">
              <w:rPr>
                <w:rFonts w:asciiTheme="minorHAnsi" w:eastAsiaTheme="minorEastAsia" w:hAnsiTheme="minorHAnsi" w:cstheme="minorBidi"/>
                <w:noProof/>
                <w:sz w:val="22"/>
                <w:szCs w:val="22"/>
              </w:rPr>
              <w:tab/>
            </w:r>
            <w:r w:rsidR="005A6F7F" w:rsidRPr="00AD4DDC">
              <w:rPr>
                <w:rStyle w:val="Hyperlink"/>
                <w:noProof/>
              </w:rPr>
              <w:t>Regierung und Siedler</w:t>
            </w:r>
            <w:r w:rsidR="005A6F7F">
              <w:rPr>
                <w:noProof/>
                <w:webHidden/>
              </w:rPr>
              <w:tab/>
            </w:r>
            <w:r>
              <w:rPr>
                <w:noProof/>
                <w:webHidden/>
              </w:rPr>
              <w:fldChar w:fldCharType="begin"/>
            </w:r>
            <w:r w:rsidR="005A6F7F">
              <w:rPr>
                <w:noProof/>
                <w:webHidden/>
              </w:rPr>
              <w:instrText xml:space="preserve"> PAGEREF _Toc327388019 \h </w:instrText>
            </w:r>
            <w:r>
              <w:rPr>
                <w:noProof/>
                <w:webHidden/>
              </w:rPr>
            </w:r>
            <w:r>
              <w:rPr>
                <w:noProof/>
                <w:webHidden/>
              </w:rPr>
              <w:fldChar w:fldCharType="separate"/>
            </w:r>
            <w:r w:rsidR="00216538">
              <w:rPr>
                <w:noProof/>
                <w:webHidden/>
              </w:rPr>
              <w:t>106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0" w:history="1">
            <w:r w:rsidR="005A6F7F" w:rsidRPr="00AD4DDC">
              <w:rPr>
                <w:rStyle w:val="Hyperlink"/>
                <w:noProof/>
              </w:rPr>
              <w:t>2.3.3.1</w:t>
            </w:r>
            <w:r w:rsidR="005A6F7F">
              <w:rPr>
                <w:rFonts w:asciiTheme="minorHAnsi" w:eastAsiaTheme="minorEastAsia" w:hAnsiTheme="minorHAnsi" w:cstheme="minorBidi"/>
                <w:noProof/>
                <w:sz w:val="22"/>
                <w:szCs w:val="22"/>
              </w:rPr>
              <w:tab/>
            </w:r>
            <w:r w:rsidR="005A6F7F" w:rsidRPr="00AD4DDC">
              <w:rPr>
                <w:rStyle w:val="Hyperlink"/>
                <w:noProof/>
              </w:rPr>
              <w:t>Presse, Bücher und die Öffentlichkeit</w:t>
            </w:r>
            <w:r w:rsidR="005A6F7F">
              <w:rPr>
                <w:noProof/>
                <w:webHidden/>
              </w:rPr>
              <w:tab/>
            </w:r>
            <w:r>
              <w:rPr>
                <w:noProof/>
                <w:webHidden/>
              </w:rPr>
              <w:fldChar w:fldCharType="begin"/>
            </w:r>
            <w:r w:rsidR="005A6F7F">
              <w:rPr>
                <w:noProof/>
                <w:webHidden/>
              </w:rPr>
              <w:instrText xml:space="preserve"> PAGEREF _Toc327388020 \h </w:instrText>
            </w:r>
            <w:r>
              <w:rPr>
                <w:noProof/>
                <w:webHidden/>
              </w:rPr>
            </w:r>
            <w:r>
              <w:rPr>
                <w:noProof/>
                <w:webHidden/>
              </w:rPr>
              <w:fldChar w:fldCharType="separate"/>
            </w:r>
            <w:r w:rsidR="00216538">
              <w:rPr>
                <w:noProof/>
                <w:webHidden/>
              </w:rPr>
              <w:t>106</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1" w:history="1">
            <w:r w:rsidR="005A6F7F" w:rsidRPr="00AD4DDC">
              <w:rPr>
                <w:rStyle w:val="Hyperlink"/>
                <w:noProof/>
              </w:rPr>
              <w:t>2.3.3.2</w:t>
            </w:r>
            <w:r w:rsidR="005A6F7F">
              <w:rPr>
                <w:rFonts w:asciiTheme="minorHAnsi" w:eastAsiaTheme="minorEastAsia" w:hAnsiTheme="minorHAnsi" w:cstheme="minorBidi"/>
                <w:noProof/>
                <w:sz w:val="22"/>
                <w:szCs w:val="22"/>
              </w:rPr>
              <w:tab/>
            </w:r>
            <w:r w:rsidR="005A6F7F" w:rsidRPr="00AD4DDC">
              <w:rPr>
                <w:rStyle w:val="Hyperlink"/>
                <w:noProof/>
              </w:rPr>
              <w:t>Der Streit ums Land: die Missionsfarmen</w:t>
            </w:r>
            <w:r w:rsidR="005A6F7F">
              <w:rPr>
                <w:noProof/>
                <w:webHidden/>
              </w:rPr>
              <w:tab/>
            </w:r>
            <w:r>
              <w:rPr>
                <w:noProof/>
                <w:webHidden/>
              </w:rPr>
              <w:fldChar w:fldCharType="begin"/>
            </w:r>
            <w:r w:rsidR="005A6F7F">
              <w:rPr>
                <w:noProof/>
                <w:webHidden/>
              </w:rPr>
              <w:instrText xml:space="preserve"> PAGEREF _Toc327388021 \h </w:instrText>
            </w:r>
            <w:r>
              <w:rPr>
                <w:noProof/>
                <w:webHidden/>
              </w:rPr>
            </w:r>
            <w:r>
              <w:rPr>
                <w:noProof/>
                <w:webHidden/>
              </w:rPr>
              <w:fldChar w:fldCharType="separate"/>
            </w:r>
            <w:r w:rsidR="00216538">
              <w:rPr>
                <w:noProof/>
                <w:webHidden/>
              </w:rPr>
              <w:t>107</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2" w:history="1">
            <w:r w:rsidR="005A6F7F" w:rsidRPr="00AD4DDC">
              <w:rPr>
                <w:rStyle w:val="Hyperlink"/>
                <w:noProof/>
              </w:rPr>
              <w:t>2.3.3.3</w:t>
            </w:r>
            <w:r w:rsidR="005A6F7F">
              <w:rPr>
                <w:rFonts w:asciiTheme="minorHAnsi" w:eastAsiaTheme="minorEastAsia" w:hAnsiTheme="minorHAnsi" w:cstheme="minorBidi"/>
                <w:noProof/>
                <w:sz w:val="22"/>
                <w:szCs w:val="22"/>
              </w:rPr>
              <w:tab/>
            </w:r>
            <w:r w:rsidR="005A6F7F" w:rsidRPr="00AD4DDC">
              <w:rPr>
                <w:rStyle w:val="Hyperlink"/>
                <w:noProof/>
              </w:rPr>
              <w:t>Die Frage der Tierhaltung</w:t>
            </w:r>
            <w:r w:rsidR="005A6F7F">
              <w:rPr>
                <w:noProof/>
                <w:webHidden/>
              </w:rPr>
              <w:tab/>
            </w:r>
            <w:r>
              <w:rPr>
                <w:noProof/>
                <w:webHidden/>
              </w:rPr>
              <w:fldChar w:fldCharType="begin"/>
            </w:r>
            <w:r w:rsidR="005A6F7F">
              <w:rPr>
                <w:noProof/>
                <w:webHidden/>
              </w:rPr>
              <w:instrText xml:space="preserve"> PAGEREF _Toc327388022 \h </w:instrText>
            </w:r>
            <w:r>
              <w:rPr>
                <w:noProof/>
                <w:webHidden/>
              </w:rPr>
            </w:r>
            <w:r>
              <w:rPr>
                <w:noProof/>
                <w:webHidden/>
              </w:rPr>
              <w:fldChar w:fldCharType="separate"/>
            </w:r>
            <w:r w:rsidR="00216538">
              <w:rPr>
                <w:noProof/>
                <w:webHidden/>
              </w:rPr>
              <w:t>109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23" w:history="1">
            <w:r w:rsidR="005A6F7F" w:rsidRPr="00AD4DDC">
              <w:rPr>
                <w:rStyle w:val="Hyperlink"/>
                <w:noProof/>
              </w:rPr>
              <w:t>2.3.4</w:t>
            </w:r>
            <w:r w:rsidR="005A6F7F">
              <w:rPr>
                <w:rFonts w:asciiTheme="minorHAnsi" w:eastAsiaTheme="minorEastAsia" w:hAnsiTheme="minorHAnsi" w:cstheme="minorBidi"/>
                <w:noProof/>
                <w:sz w:val="22"/>
                <w:szCs w:val="22"/>
              </w:rPr>
              <w:tab/>
            </w:r>
            <w:r w:rsidR="005A6F7F" w:rsidRPr="00AD4DDC">
              <w:rPr>
                <w:rStyle w:val="Hyperlink"/>
                <w:noProof/>
              </w:rPr>
              <w:t>Evangelische Kirche und andere evangelische Missionen</w:t>
            </w:r>
            <w:r w:rsidR="005A6F7F">
              <w:rPr>
                <w:noProof/>
                <w:webHidden/>
              </w:rPr>
              <w:tab/>
            </w:r>
            <w:r>
              <w:rPr>
                <w:noProof/>
                <w:webHidden/>
              </w:rPr>
              <w:fldChar w:fldCharType="begin"/>
            </w:r>
            <w:r w:rsidR="005A6F7F">
              <w:rPr>
                <w:noProof/>
                <w:webHidden/>
              </w:rPr>
              <w:instrText xml:space="preserve"> PAGEREF _Toc327388023 \h </w:instrText>
            </w:r>
            <w:r>
              <w:rPr>
                <w:noProof/>
                <w:webHidden/>
              </w:rPr>
            </w:r>
            <w:r>
              <w:rPr>
                <w:noProof/>
                <w:webHidden/>
              </w:rPr>
              <w:fldChar w:fldCharType="separate"/>
            </w:r>
            <w:r w:rsidR="00216538">
              <w:rPr>
                <w:noProof/>
                <w:webHidden/>
              </w:rPr>
              <w:t>110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4" w:history="1">
            <w:r w:rsidR="005A6F7F" w:rsidRPr="00AD4DDC">
              <w:rPr>
                <w:rStyle w:val="Hyperlink"/>
                <w:noProof/>
              </w:rPr>
              <w:t>2.3.4.1</w:t>
            </w:r>
            <w:r w:rsidR="005A6F7F">
              <w:rPr>
                <w:rFonts w:asciiTheme="minorHAnsi" w:eastAsiaTheme="minorEastAsia" w:hAnsiTheme="minorHAnsi" w:cstheme="minorBidi"/>
                <w:noProof/>
                <w:sz w:val="22"/>
                <w:szCs w:val="22"/>
              </w:rPr>
              <w:tab/>
            </w:r>
            <w:r w:rsidR="005A6F7F" w:rsidRPr="00AD4DDC">
              <w:rPr>
                <w:rStyle w:val="Hyperlink"/>
                <w:noProof/>
              </w:rPr>
              <w:t>Liberale Pastoren oder: Der Teufel ist noch im Spiel</w:t>
            </w:r>
            <w:r w:rsidR="005A6F7F">
              <w:rPr>
                <w:noProof/>
                <w:webHidden/>
              </w:rPr>
              <w:tab/>
            </w:r>
            <w:r>
              <w:rPr>
                <w:noProof/>
                <w:webHidden/>
              </w:rPr>
              <w:fldChar w:fldCharType="begin"/>
            </w:r>
            <w:r w:rsidR="005A6F7F">
              <w:rPr>
                <w:noProof/>
                <w:webHidden/>
              </w:rPr>
              <w:instrText xml:space="preserve"> PAGEREF _Toc327388024 \h </w:instrText>
            </w:r>
            <w:r>
              <w:rPr>
                <w:noProof/>
                <w:webHidden/>
              </w:rPr>
            </w:r>
            <w:r>
              <w:rPr>
                <w:noProof/>
                <w:webHidden/>
              </w:rPr>
              <w:fldChar w:fldCharType="separate"/>
            </w:r>
            <w:r w:rsidR="00216538">
              <w:rPr>
                <w:noProof/>
                <w:webHidden/>
              </w:rPr>
              <w:t>110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5" w:history="1">
            <w:r w:rsidR="005A6F7F" w:rsidRPr="00AD4DDC">
              <w:rPr>
                <w:rStyle w:val="Hyperlink"/>
                <w:noProof/>
              </w:rPr>
              <w:t>2.3.4.2</w:t>
            </w:r>
            <w:r w:rsidR="005A6F7F">
              <w:rPr>
                <w:rFonts w:asciiTheme="minorHAnsi" w:eastAsiaTheme="minorEastAsia" w:hAnsiTheme="minorHAnsi" w:cstheme="minorBidi"/>
                <w:noProof/>
                <w:sz w:val="22"/>
                <w:szCs w:val="22"/>
              </w:rPr>
              <w:tab/>
            </w:r>
            <w:r w:rsidR="005A6F7F" w:rsidRPr="00AD4DDC">
              <w:rPr>
                <w:rStyle w:val="Hyperlink"/>
                <w:noProof/>
              </w:rPr>
              <w:t>Die anderen evangelischen Missionsgesellschaften</w:t>
            </w:r>
            <w:r w:rsidR="005A6F7F">
              <w:rPr>
                <w:noProof/>
                <w:webHidden/>
              </w:rPr>
              <w:tab/>
            </w:r>
            <w:r>
              <w:rPr>
                <w:noProof/>
                <w:webHidden/>
              </w:rPr>
              <w:fldChar w:fldCharType="begin"/>
            </w:r>
            <w:r w:rsidR="005A6F7F">
              <w:rPr>
                <w:noProof/>
                <w:webHidden/>
              </w:rPr>
              <w:instrText xml:space="preserve"> PAGEREF _Toc327388025 \h </w:instrText>
            </w:r>
            <w:r>
              <w:rPr>
                <w:noProof/>
                <w:webHidden/>
              </w:rPr>
            </w:r>
            <w:r>
              <w:rPr>
                <w:noProof/>
                <w:webHidden/>
              </w:rPr>
              <w:fldChar w:fldCharType="separate"/>
            </w:r>
            <w:r w:rsidR="00216538">
              <w:rPr>
                <w:noProof/>
                <w:webHidden/>
              </w:rPr>
              <w:t>111</w:t>
            </w:r>
            <w:r>
              <w:rPr>
                <w:noProof/>
                <w:webHidden/>
              </w:rPr>
              <w:fldChar w:fldCharType="end"/>
            </w:r>
          </w:hyperlink>
        </w:p>
        <w:p w:rsidR="005A6F7F" w:rsidRDefault="00363C1C">
          <w:pPr>
            <w:pStyle w:val="Verzeichnis5"/>
            <w:rPr>
              <w:rFonts w:asciiTheme="minorHAnsi" w:eastAsiaTheme="minorEastAsia" w:hAnsiTheme="minorHAnsi" w:cstheme="minorBidi"/>
              <w:noProof/>
              <w:sz w:val="22"/>
              <w:szCs w:val="22"/>
            </w:rPr>
          </w:pPr>
          <w:hyperlink w:anchor="_Toc327388026" w:history="1">
            <w:r w:rsidR="005A6F7F" w:rsidRPr="00AD4DDC">
              <w:rPr>
                <w:rStyle w:val="Hyperlink"/>
                <w:noProof/>
              </w:rPr>
              <w:t>2.3.4.2.1</w:t>
            </w:r>
            <w:r w:rsidR="005A6F7F">
              <w:rPr>
                <w:rFonts w:asciiTheme="minorHAnsi" w:eastAsiaTheme="minorEastAsia" w:hAnsiTheme="minorHAnsi" w:cstheme="minorBidi"/>
                <w:noProof/>
                <w:sz w:val="22"/>
                <w:szCs w:val="22"/>
              </w:rPr>
              <w:tab/>
            </w:r>
            <w:r w:rsidR="005A6F7F" w:rsidRPr="00AD4DDC">
              <w:rPr>
                <w:rStyle w:val="Hyperlink"/>
                <w:noProof/>
              </w:rPr>
              <w:t>Die deutschen evangelischen Missionsgesellschaften</w:t>
            </w:r>
            <w:r w:rsidR="005A6F7F">
              <w:rPr>
                <w:noProof/>
                <w:webHidden/>
              </w:rPr>
              <w:tab/>
            </w:r>
            <w:r>
              <w:rPr>
                <w:noProof/>
                <w:webHidden/>
              </w:rPr>
              <w:fldChar w:fldCharType="begin"/>
            </w:r>
            <w:r w:rsidR="005A6F7F">
              <w:rPr>
                <w:noProof/>
                <w:webHidden/>
              </w:rPr>
              <w:instrText xml:space="preserve"> PAGEREF _Toc327388026 \h </w:instrText>
            </w:r>
            <w:r>
              <w:rPr>
                <w:noProof/>
                <w:webHidden/>
              </w:rPr>
            </w:r>
            <w:r>
              <w:rPr>
                <w:noProof/>
                <w:webHidden/>
              </w:rPr>
              <w:fldChar w:fldCharType="separate"/>
            </w:r>
            <w:r w:rsidR="00216538">
              <w:rPr>
                <w:noProof/>
                <w:webHidden/>
              </w:rPr>
              <w:t>111</w:t>
            </w:r>
            <w:r>
              <w:rPr>
                <w:noProof/>
                <w:webHidden/>
              </w:rPr>
              <w:fldChar w:fldCharType="end"/>
            </w:r>
          </w:hyperlink>
        </w:p>
        <w:p w:rsidR="005A6F7F" w:rsidRDefault="00363C1C">
          <w:pPr>
            <w:pStyle w:val="Verzeichnis5"/>
            <w:rPr>
              <w:rFonts w:asciiTheme="minorHAnsi" w:eastAsiaTheme="minorEastAsia" w:hAnsiTheme="minorHAnsi" w:cstheme="minorBidi"/>
              <w:noProof/>
              <w:sz w:val="22"/>
              <w:szCs w:val="22"/>
            </w:rPr>
          </w:pPr>
          <w:hyperlink w:anchor="_Toc327388027" w:history="1">
            <w:r w:rsidR="005A6F7F" w:rsidRPr="00AD4DDC">
              <w:rPr>
                <w:rStyle w:val="Hyperlink"/>
                <w:noProof/>
              </w:rPr>
              <w:t>2.3.4.2.2</w:t>
            </w:r>
            <w:r w:rsidR="005A6F7F">
              <w:rPr>
                <w:rFonts w:asciiTheme="minorHAnsi" w:eastAsiaTheme="minorEastAsia" w:hAnsiTheme="minorHAnsi" w:cstheme="minorBidi"/>
                <w:noProof/>
                <w:sz w:val="22"/>
                <w:szCs w:val="22"/>
              </w:rPr>
              <w:tab/>
            </w:r>
            <w:r w:rsidR="005A6F7F" w:rsidRPr="00AD4DDC">
              <w:rPr>
                <w:rStyle w:val="Hyperlink"/>
                <w:noProof/>
              </w:rPr>
              <w:t>Die Finnischen Brüder im Amboland</w:t>
            </w:r>
            <w:r w:rsidR="005A6F7F">
              <w:rPr>
                <w:noProof/>
                <w:webHidden/>
              </w:rPr>
              <w:tab/>
            </w:r>
            <w:r>
              <w:rPr>
                <w:noProof/>
                <w:webHidden/>
              </w:rPr>
              <w:fldChar w:fldCharType="begin"/>
            </w:r>
            <w:r w:rsidR="005A6F7F">
              <w:rPr>
                <w:noProof/>
                <w:webHidden/>
              </w:rPr>
              <w:instrText xml:space="preserve"> PAGEREF _Toc327388027 \h </w:instrText>
            </w:r>
            <w:r>
              <w:rPr>
                <w:noProof/>
                <w:webHidden/>
              </w:rPr>
            </w:r>
            <w:r>
              <w:rPr>
                <w:noProof/>
                <w:webHidden/>
              </w:rPr>
              <w:fldChar w:fldCharType="separate"/>
            </w:r>
            <w:r w:rsidR="00216538">
              <w:rPr>
                <w:noProof/>
                <w:webHidden/>
              </w:rPr>
              <w:t>112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28" w:history="1">
            <w:r w:rsidR="005A6F7F" w:rsidRPr="00AD4DDC">
              <w:rPr>
                <w:rStyle w:val="Hyperlink"/>
                <w:noProof/>
              </w:rPr>
              <w:t>2.3.5</w:t>
            </w:r>
            <w:r w:rsidR="005A6F7F">
              <w:rPr>
                <w:rFonts w:asciiTheme="minorHAnsi" w:eastAsiaTheme="minorEastAsia" w:hAnsiTheme="minorHAnsi" w:cstheme="minorBidi"/>
                <w:noProof/>
                <w:sz w:val="22"/>
                <w:szCs w:val="22"/>
              </w:rPr>
              <w:tab/>
            </w:r>
            <w:r w:rsidR="005A6F7F" w:rsidRPr="00AD4DDC">
              <w:rPr>
                <w:rStyle w:val="Hyperlink"/>
                <w:noProof/>
              </w:rPr>
              <w:t>Andere Konfessionen und Religionen</w:t>
            </w:r>
            <w:r w:rsidR="005A6F7F">
              <w:rPr>
                <w:noProof/>
                <w:webHidden/>
              </w:rPr>
              <w:tab/>
            </w:r>
            <w:r>
              <w:rPr>
                <w:noProof/>
                <w:webHidden/>
              </w:rPr>
              <w:fldChar w:fldCharType="begin"/>
            </w:r>
            <w:r w:rsidR="005A6F7F">
              <w:rPr>
                <w:noProof/>
                <w:webHidden/>
              </w:rPr>
              <w:instrText xml:space="preserve"> PAGEREF _Toc327388028 \h </w:instrText>
            </w:r>
            <w:r>
              <w:rPr>
                <w:noProof/>
                <w:webHidden/>
              </w:rPr>
            </w:r>
            <w:r>
              <w:rPr>
                <w:noProof/>
                <w:webHidden/>
              </w:rPr>
              <w:fldChar w:fldCharType="separate"/>
            </w:r>
            <w:r w:rsidR="00216538">
              <w:rPr>
                <w:noProof/>
                <w:webHidden/>
              </w:rPr>
              <w:t>113</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29" w:history="1">
            <w:r w:rsidR="005A6F7F" w:rsidRPr="00AD4DDC">
              <w:rPr>
                <w:rStyle w:val="Hyperlink"/>
                <w:noProof/>
              </w:rPr>
              <w:t>2.3.5.1</w:t>
            </w:r>
            <w:r w:rsidR="005A6F7F">
              <w:rPr>
                <w:rFonts w:asciiTheme="minorHAnsi" w:eastAsiaTheme="minorEastAsia" w:hAnsiTheme="minorHAnsi" w:cstheme="minorBidi"/>
                <w:noProof/>
                <w:sz w:val="22"/>
                <w:szCs w:val="22"/>
              </w:rPr>
              <w:tab/>
            </w:r>
            <w:r w:rsidR="005A6F7F" w:rsidRPr="00AD4DDC">
              <w:rPr>
                <w:rStyle w:val="Hyperlink"/>
                <w:noProof/>
              </w:rPr>
              <w:t>Katholiken</w:t>
            </w:r>
            <w:r w:rsidR="005A6F7F">
              <w:rPr>
                <w:noProof/>
                <w:webHidden/>
              </w:rPr>
              <w:tab/>
            </w:r>
            <w:r>
              <w:rPr>
                <w:noProof/>
                <w:webHidden/>
              </w:rPr>
              <w:fldChar w:fldCharType="begin"/>
            </w:r>
            <w:r w:rsidR="005A6F7F">
              <w:rPr>
                <w:noProof/>
                <w:webHidden/>
              </w:rPr>
              <w:instrText xml:space="preserve"> PAGEREF _Toc327388029 \h </w:instrText>
            </w:r>
            <w:r>
              <w:rPr>
                <w:noProof/>
                <w:webHidden/>
              </w:rPr>
            </w:r>
            <w:r>
              <w:rPr>
                <w:noProof/>
                <w:webHidden/>
              </w:rPr>
              <w:fldChar w:fldCharType="separate"/>
            </w:r>
            <w:r w:rsidR="00216538">
              <w:rPr>
                <w:noProof/>
                <w:webHidden/>
              </w:rPr>
              <w:t>113</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30" w:history="1">
            <w:r w:rsidR="005A6F7F" w:rsidRPr="00AD4DDC">
              <w:rPr>
                <w:rStyle w:val="Hyperlink"/>
                <w:noProof/>
              </w:rPr>
              <w:t>2.3.5.2</w:t>
            </w:r>
            <w:r w:rsidR="005A6F7F">
              <w:rPr>
                <w:rFonts w:asciiTheme="minorHAnsi" w:eastAsiaTheme="minorEastAsia" w:hAnsiTheme="minorHAnsi" w:cstheme="minorBidi"/>
                <w:noProof/>
                <w:sz w:val="22"/>
                <w:szCs w:val="22"/>
              </w:rPr>
              <w:tab/>
            </w:r>
            <w:r w:rsidR="005A6F7F" w:rsidRPr="00AD4DDC">
              <w:rPr>
                <w:rStyle w:val="Hyperlink"/>
                <w:noProof/>
              </w:rPr>
              <w:t>Juden</w:t>
            </w:r>
            <w:r w:rsidR="005A6F7F">
              <w:rPr>
                <w:noProof/>
                <w:webHidden/>
              </w:rPr>
              <w:tab/>
            </w:r>
            <w:r>
              <w:rPr>
                <w:noProof/>
                <w:webHidden/>
              </w:rPr>
              <w:fldChar w:fldCharType="begin"/>
            </w:r>
            <w:r w:rsidR="005A6F7F">
              <w:rPr>
                <w:noProof/>
                <w:webHidden/>
              </w:rPr>
              <w:instrText xml:space="preserve"> PAGEREF _Toc327388030 \h </w:instrText>
            </w:r>
            <w:r>
              <w:rPr>
                <w:noProof/>
                <w:webHidden/>
              </w:rPr>
            </w:r>
            <w:r>
              <w:rPr>
                <w:noProof/>
                <w:webHidden/>
              </w:rPr>
              <w:fldChar w:fldCharType="separate"/>
            </w:r>
            <w:r w:rsidR="00216538">
              <w:rPr>
                <w:noProof/>
                <w:webHidden/>
              </w:rPr>
              <w:t>118</w:t>
            </w:r>
            <w:r>
              <w:rPr>
                <w:noProof/>
                <w:webHidden/>
              </w:rPr>
              <w:fldChar w:fldCharType="end"/>
            </w:r>
          </w:hyperlink>
        </w:p>
        <w:p w:rsidR="005A6F7F" w:rsidRDefault="00363C1C">
          <w:pPr>
            <w:pStyle w:val="Verzeichnis5"/>
            <w:rPr>
              <w:rFonts w:asciiTheme="minorHAnsi" w:eastAsiaTheme="minorEastAsia" w:hAnsiTheme="minorHAnsi" w:cstheme="minorBidi"/>
              <w:noProof/>
              <w:sz w:val="22"/>
              <w:szCs w:val="22"/>
            </w:rPr>
          </w:pPr>
          <w:hyperlink w:anchor="_Toc327388031" w:history="1">
            <w:r w:rsidR="005A6F7F" w:rsidRPr="00AD4DDC">
              <w:rPr>
                <w:rStyle w:val="Hyperlink"/>
                <w:noProof/>
              </w:rPr>
              <w:t>2.3.5.2.1</w:t>
            </w:r>
            <w:r w:rsidR="005A6F7F">
              <w:rPr>
                <w:rFonts w:asciiTheme="minorHAnsi" w:eastAsiaTheme="minorEastAsia" w:hAnsiTheme="minorHAnsi" w:cstheme="minorBidi"/>
                <w:noProof/>
                <w:sz w:val="22"/>
                <w:szCs w:val="22"/>
              </w:rPr>
              <w:tab/>
            </w:r>
            <w:r w:rsidR="005A6F7F" w:rsidRPr="00AD4DDC">
              <w:rPr>
                <w:rStyle w:val="Hyperlink"/>
                <w:noProof/>
              </w:rPr>
              <w:t>Juden als Bankiers</w:t>
            </w:r>
            <w:r w:rsidR="005A6F7F">
              <w:rPr>
                <w:noProof/>
                <w:webHidden/>
              </w:rPr>
              <w:tab/>
            </w:r>
            <w:r>
              <w:rPr>
                <w:noProof/>
                <w:webHidden/>
              </w:rPr>
              <w:fldChar w:fldCharType="begin"/>
            </w:r>
            <w:r w:rsidR="005A6F7F">
              <w:rPr>
                <w:noProof/>
                <w:webHidden/>
              </w:rPr>
              <w:instrText xml:space="preserve"> PAGEREF _Toc327388031 \h </w:instrText>
            </w:r>
            <w:r>
              <w:rPr>
                <w:noProof/>
                <w:webHidden/>
              </w:rPr>
            </w:r>
            <w:r>
              <w:rPr>
                <w:noProof/>
                <w:webHidden/>
              </w:rPr>
              <w:fldChar w:fldCharType="separate"/>
            </w:r>
            <w:r w:rsidR="00216538">
              <w:rPr>
                <w:noProof/>
                <w:webHidden/>
              </w:rPr>
              <w:t>118</w:t>
            </w:r>
            <w:r>
              <w:rPr>
                <w:noProof/>
                <w:webHidden/>
              </w:rPr>
              <w:fldChar w:fldCharType="end"/>
            </w:r>
          </w:hyperlink>
        </w:p>
        <w:p w:rsidR="005A6F7F" w:rsidRDefault="00363C1C">
          <w:pPr>
            <w:pStyle w:val="Verzeichnis5"/>
            <w:rPr>
              <w:rFonts w:asciiTheme="minorHAnsi" w:eastAsiaTheme="minorEastAsia" w:hAnsiTheme="minorHAnsi" w:cstheme="minorBidi"/>
              <w:noProof/>
              <w:sz w:val="22"/>
              <w:szCs w:val="22"/>
            </w:rPr>
          </w:pPr>
          <w:hyperlink w:anchor="_Toc327388032" w:history="1">
            <w:r w:rsidR="005A6F7F" w:rsidRPr="00AD4DDC">
              <w:rPr>
                <w:rStyle w:val="Hyperlink"/>
                <w:noProof/>
              </w:rPr>
              <w:t>2.3.5.2.2</w:t>
            </w:r>
            <w:r w:rsidR="005A6F7F">
              <w:rPr>
                <w:rFonts w:asciiTheme="minorHAnsi" w:eastAsiaTheme="minorEastAsia" w:hAnsiTheme="minorHAnsi" w:cstheme="minorBidi"/>
                <w:noProof/>
                <w:sz w:val="22"/>
                <w:szCs w:val="22"/>
              </w:rPr>
              <w:tab/>
            </w:r>
            <w:r w:rsidR="005A6F7F" w:rsidRPr="00AD4DDC">
              <w:rPr>
                <w:rStyle w:val="Hyperlink"/>
                <w:noProof/>
              </w:rPr>
              <w:t>Juden als Händler</w:t>
            </w:r>
            <w:r w:rsidR="005A6F7F">
              <w:rPr>
                <w:noProof/>
                <w:webHidden/>
              </w:rPr>
              <w:tab/>
            </w:r>
            <w:r>
              <w:rPr>
                <w:noProof/>
                <w:webHidden/>
              </w:rPr>
              <w:fldChar w:fldCharType="begin"/>
            </w:r>
            <w:r w:rsidR="005A6F7F">
              <w:rPr>
                <w:noProof/>
                <w:webHidden/>
              </w:rPr>
              <w:instrText xml:space="preserve"> PAGEREF _Toc327388032 \h </w:instrText>
            </w:r>
            <w:r>
              <w:rPr>
                <w:noProof/>
                <w:webHidden/>
              </w:rPr>
            </w:r>
            <w:r>
              <w:rPr>
                <w:noProof/>
                <w:webHidden/>
              </w:rPr>
              <w:fldChar w:fldCharType="separate"/>
            </w:r>
            <w:r w:rsidR="00216538">
              <w:rPr>
                <w:noProof/>
                <w:webHidden/>
              </w:rPr>
              <w:t>118</w:t>
            </w:r>
            <w:r>
              <w:rPr>
                <w:noProof/>
                <w:webHidden/>
              </w:rPr>
              <w:fldChar w:fldCharType="end"/>
            </w:r>
          </w:hyperlink>
        </w:p>
        <w:p w:rsidR="005A6F7F" w:rsidRDefault="00363C1C">
          <w:pPr>
            <w:pStyle w:val="Verzeichnis5"/>
            <w:rPr>
              <w:rFonts w:asciiTheme="minorHAnsi" w:eastAsiaTheme="minorEastAsia" w:hAnsiTheme="minorHAnsi" w:cstheme="minorBidi"/>
              <w:noProof/>
              <w:sz w:val="22"/>
              <w:szCs w:val="22"/>
            </w:rPr>
          </w:pPr>
          <w:hyperlink w:anchor="_Toc327388033" w:history="1">
            <w:r w:rsidR="005A6F7F" w:rsidRPr="00AD4DDC">
              <w:rPr>
                <w:rStyle w:val="Hyperlink"/>
                <w:noProof/>
              </w:rPr>
              <w:t>2.3.5.2.3</w:t>
            </w:r>
            <w:r w:rsidR="005A6F7F">
              <w:rPr>
                <w:rFonts w:asciiTheme="minorHAnsi" w:eastAsiaTheme="minorEastAsia" w:hAnsiTheme="minorHAnsi" w:cstheme="minorBidi"/>
                <w:noProof/>
                <w:sz w:val="22"/>
                <w:szCs w:val="22"/>
              </w:rPr>
              <w:tab/>
            </w:r>
            <w:r w:rsidR="005A6F7F" w:rsidRPr="00AD4DDC">
              <w:rPr>
                <w:rStyle w:val="Hyperlink"/>
                <w:noProof/>
              </w:rPr>
              <w:t>Juden als Anwälte</w:t>
            </w:r>
            <w:r w:rsidR="005A6F7F">
              <w:rPr>
                <w:noProof/>
                <w:webHidden/>
              </w:rPr>
              <w:tab/>
            </w:r>
            <w:r>
              <w:rPr>
                <w:noProof/>
                <w:webHidden/>
              </w:rPr>
              <w:fldChar w:fldCharType="begin"/>
            </w:r>
            <w:r w:rsidR="005A6F7F">
              <w:rPr>
                <w:noProof/>
                <w:webHidden/>
              </w:rPr>
              <w:instrText xml:space="preserve"> PAGEREF _Toc327388033 \h </w:instrText>
            </w:r>
            <w:r>
              <w:rPr>
                <w:noProof/>
                <w:webHidden/>
              </w:rPr>
            </w:r>
            <w:r>
              <w:rPr>
                <w:noProof/>
                <w:webHidden/>
              </w:rPr>
              <w:fldChar w:fldCharType="separate"/>
            </w:r>
            <w:r w:rsidR="00216538">
              <w:rPr>
                <w:noProof/>
                <w:webHidden/>
              </w:rPr>
              <w:t>120</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34" w:history="1">
            <w:r w:rsidR="005A6F7F" w:rsidRPr="00AD4DDC">
              <w:rPr>
                <w:rStyle w:val="Hyperlink"/>
                <w:noProof/>
              </w:rPr>
              <w:t>2.3.5.3</w:t>
            </w:r>
            <w:r w:rsidR="005A6F7F">
              <w:rPr>
                <w:rFonts w:asciiTheme="minorHAnsi" w:eastAsiaTheme="minorEastAsia" w:hAnsiTheme="minorHAnsi" w:cstheme="minorBidi"/>
                <w:noProof/>
                <w:sz w:val="22"/>
                <w:szCs w:val="22"/>
              </w:rPr>
              <w:tab/>
            </w:r>
            <w:r w:rsidR="005A6F7F" w:rsidRPr="00AD4DDC">
              <w:rPr>
                <w:rStyle w:val="Hyperlink"/>
                <w:noProof/>
              </w:rPr>
              <w:t>Muslime</w:t>
            </w:r>
            <w:r w:rsidR="005A6F7F">
              <w:rPr>
                <w:noProof/>
                <w:webHidden/>
              </w:rPr>
              <w:tab/>
            </w:r>
            <w:r>
              <w:rPr>
                <w:noProof/>
                <w:webHidden/>
              </w:rPr>
              <w:fldChar w:fldCharType="begin"/>
            </w:r>
            <w:r w:rsidR="005A6F7F">
              <w:rPr>
                <w:noProof/>
                <w:webHidden/>
              </w:rPr>
              <w:instrText xml:space="preserve"> PAGEREF _Toc327388034 \h </w:instrText>
            </w:r>
            <w:r>
              <w:rPr>
                <w:noProof/>
                <w:webHidden/>
              </w:rPr>
            </w:r>
            <w:r>
              <w:rPr>
                <w:noProof/>
                <w:webHidden/>
              </w:rPr>
              <w:fldChar w:fldCharType="separate"/>
            </w:r>
            <w:r w:rsidR="00216538">
              <w:rPr>
                <w:noProof/>
                <w:webHidden/>
              </w:rPr>
              <w:t>120</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35" w:history="1">
            <w:r w:rsidR="005A6F7F" w:rsidRPr="00AD4DDC">
              <w:rPr>
                <w:rStyle w:val="Hyperlink"/>
                <w:noProof/>
              </w:rPr>
              <w:t>2.4</w:t>
            </w:r>
            <w:r w:rsidR="005A6F7F">
              <w:rPr>
                <w:rFonts w:asciiTheme="minorHAnsi" w:eastAsiaTheme="minorEastAsia" w:hAnsiTheme="minorHAnsi" w:cstheme="minorBidi"/>
                <w:noProof/>
                <w:sz w:val="22"/>
                <w:szCs w:val="22"/>
              </w:rPr>
              <w:tab/>
            </w:r>
            <w:r w:rsidR="005A6F7F" w:rsidRPr="00AD4DDC">
              <w:rPr>
                <w:rStyle w:val="Hyperlink"/>
                <w:noProof/>
              </w:rPr>
              <w:t>Mission und Politik</w:t>
            </w:r>
            <w:r w:rsidR="005A6F7F">
              <w:rPr>
                <w:noProof/>
                <w:webHidden/>
              </w:rPr>
              <w:tab/>
            </w:r>
            <w:r>
              <w:rPr>
                <w:noProof/>
                <w:webHidden/>
              </w:rPr>
              <w:fldChar w:fldCharType="begin"/>
            </w:r>
            <w:r w:rsidR="005A6F7F">
              <w:rPr>
                <w:noProof/>
                <w:webHidden/>
              </w:rPr>
              <w:instrText xml:space="preserve"> PAGEREF _Toc327388035 \h </w:instrText>
            </w:r>
            <w:r>
              <w:rPr>
                <w:noProof/>
                <w:webHidden/>
              </w:rPr>
            </w:r>
            <w:r>
              <w:rPr>
                <w:noProof/>
                <w:webHidden/>
              </w:rPr>
              <w:fldChar w:fldCharType="separate"/>
            </w:r>
            <w:r w:rsidR="00216538">
              <w:rPr>
                <w:noProof/>
                <w:webHidden/>
              </w:rPr>
              <w:t>120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36" w:history="1">
            <w:r w:rsidR="005A6F7F" w:rsidRPr="00AD4DDC">
              <w:rPr>
                <w:rStyle w:val="Hyperlink"/>
                <w:noProof/>
              </w:rPr>
              <w:t>2.4.1</w:t>
            </w:r>
            <w:r w:rsidR="005A6F7F">
              <w:rPr>
                <w:rFonts w:asciiTheme="minorHAnsi" w:eastAsiaTheme="minorEastAsia" w:hAnsiTheme="minorHAnsi" w:cstheme="minorBidi"/>
                <w:noProof/>
                <w:sz w:val="22"/>
                <w:szCs w:val="22"/>
              </w:rPr>
              <w:tab/>
            </w:r>
            <w:r w:rsidR="005A6F7F" w:rsidRPr="00AD4DDC">
              <w:rPr>
                <w:rStyle w:val="Hyperlink"/>
                <w:noProof/>
              </w:rPr>
              <w:t>Hintergründe</w:t>
            </w:r>
            <w:r w:rsidR="005A6F7F">
              <w:rPr>
                <w:noProof/>
                <w:webHidden/>
              </w:rPr>
              <w:tab/>
            </w:r>
            <w:r>
              <w:rPr>
                <w:noProof/>
                <w:webHidden/>
              </w:rPr>
              <w:fldChar w:fldCharType="begin"/>
            </w:r>
            <w:r w:rsidR="005A6F7F">
              <w:rPr>
                <w:noProof/>
                <w:webHidden/>
              </w:rPr>
              <w:instrText xml:space="preserve"> PAGEREF _Toc327388036 \h </w:instrText>
            </w:r>
            <w:r>
              <w:rPr>
                <w:noProof/>
                <w:webHidden/>
              </w:rPr>
            </w:r>
            <w:r>
              <w:rPr>
                <w:noProof/>
                <w:webHidden/>
              </w:rPr>
              <w:fldChar w:fldCharType="separate"/>
            </w:r>
            <w:r w:rsidR="00216538">
              <w:rPr>
                <w:noProof/>
                <w:webHidden/>
              </w:rPr>
              <w:t>121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37" w:history="1">
            <w:r w:rsidR="005A6F7F" w:rsidRPr="00AD4DDC">
              <w:rPr>
                <w:rStyle w:val="Hyperlink"/>
                <w:noProof/>
              </w:rPr>
              <w:t>2.4.1.1</w:t>
            </w:r>
            <w:r w:rsidR="005A6F7F">
              <w:rPr>
                <w:rFonts w:asciiTheme="minorHAnsi" w:eastAsiaTheme="minorEastAsia" w:hAnsiTheme="minorHAnsi" w:cstheme="minorBidi"/>
                <w:noProof/>
                <w:sz w:val="22"/>
                <w:szCs w:val="22"/>
              </w:rPr>
              <w:tab/>
            </w:r>
            <w:r w:rsidR="005A6F7F" w:rsidRPr="00AD4DDC">
              <w:rPr>
                <w:rStyle w:val="Hyperlink"/>
                <w:noProof/>
              </w:rPr>
              <w:t>Mission und Kolonisation</w:t>
            </w:r>
            <w:r w:rsidR="005A6F7F">
              <w:rPr>
                <w:noProof/>
                <w:webHidden/>
              </w:rPr>
              <w:tab/>
            </w:r>
            <w:r>
              <w:rPr>
                <w:noProof/>
                <w:webHidden/>
              </w:rPr>
              <w:fldChar w:fldCharType="begin"/>
            </w:r>
            <w:r w:rsidR="005A6F7F">
              <w:rPr>
                <w:noProof/>
                <w:webHidden/>
              </w:rPr>
              <w:instrText xml:space="preserve"> PAGEREF _Toc327388037 \h </w:instrText>
            </w:r>
            <w:r>
              <w:rPr>
                <w:noProof/>
                <w:webHidden/>
              </w:rPr>
            </w:r>
            <w:r>
              <w:rPr>
                <w:noProof/>
                <w:webHidden/>
              </w:rPr>
              <w:fldChar w:fldCharType="separate"/>
            </w:r>
            <w:r w:rsidR="00216538">
              <w:rPr>
                <w:noProof/>
                <w:webHidden/>
              </w:rPr>
              <w:t>121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38" w:history="1">
            <w:r w:rsidR="005A6F7F" w:rsidRPr="00AD4DDC">
              <w:rPr>
                <w:rStyle w:val="Hyperlink"/>
                <w:noProof/>
              </w:rPr>
              <w:t>2.4.1.2</w:t>
            </w:r>
            <w:r w:rsidR="005A6F7F">
              <w:rPr>
                <w:rFonts w:asciiTheme="minorHAnsi" w:eastAsiaTheme="minorEastAsia" w:hAnsiTheme="minorHAnsi" w:cstheme="minorBidi"/>
                <w:noProof/>
                <w:sz w:val="22"/>
                <w:szCs w:val="22"/>
              </w:rPr>
              <w:tab/>
            </w:r>
            <w:r w:rsidR="005A6F7F" w:rsidRPr="00AD4DDC">
              <w:rPr>
                <w:rStyle w:val="Hyperlink"/>
                <w:noProof/>
              </w:rPr>
              <w:t>Friedrich Fabri und die nationale Mission</w:t>
            </w:r>
            <w:r w:rsidR="005A6F7F">
              <w:rPr>
                <w:noProof/>
                <w:webHidden/>
              </w:rPr>
              <w:tab/>
            </w:r>
            <w:r>
              <w:rPr>
                <w:noProof/>
                <w:webHidden/>
              </w:rPr>
              <w:fldChar w:fldCharType="begin"/>
            </w:r>
            <w:r w:rsidR="005A6F7F">
              <w:rPr>
                <w:noProof/>
                <w:webHidden/>
              </w:rPr>
              <w:instrText xml:space="preserve"> PAGEREF _Toc327388038 \h </w:instrText>
            </w:r>
            <w:r>
              <w:rPr>
                <w:noProof/>
                <w:webHidden/>
              </w:rPr>
            </w:r>
            <w:r>
              <w:rPr>
                <w:noProof/>
                <w:webHidden/>
              </w:rPr>
              <w:fldChar w:fldCharType="separate"/>
            </w:r>
            <w:r w:rsidR="00216538">
              <w:rPr>
                <w:noProof/>
                <w:webHidden/>
              </w:rPr>
              <w:t>122</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39" w:history="1">
            <w:r w:rsidR="005A6F7F" w:rsidRPr="00AD4DDC">
              <w:rPr>
                <w:rStyle w:val="Hyperlink"/>
                <w:noProof/>
              </w:rPr>
              <w:t>2.4.1.3</w:t>
            </w:r>
            <w:r w:rsidR="005A6F7F">
              <w:rPr>
                <w:rFonts w:asciiTheme="minorHAnsi" w:eastAsiaTheme="minorEastAsia" w:hAnsiTheme="minorHAnsi" w:cstheme="minorBidi"/>
                <w:noProof/>
                <w:sz w:val="22"/>
                <w:szCs w:val="22"/>
              </w:rPr>
              <w:tab/>
            </w:r>
            <w:r w:rsidR="005A6F7F" w:rsidRPr="00AD4DDC">
              <w:rPr>
                <w:rStyle w:val="Hyperlink"/>
                <w:noProof/>
              </w:rPr>
              <w:t>Der ‚Drang nach Norden‘</w:t>
            </w:r>
            <w:r w:rsidR="005A6F7F">
              <w:rPr>
                <w:noProof/>
                <w:webHidden/>
              </w:rPr>
              <w:tab/>
            </w:r>
            <w:r>
              <w:rPr>
                <w:noProof/>
                <w:webHidden/>
              </w:rPr>
              <w:fldChar w:fldCharType="begin"/>
            </w:r>
            <w:r w:rsidR="005A6F7F">
              <w:rPr>
                <w:noProof/>
                <w:webHidden/>
              </w:rPr>
              <w:instrText xml:space="preserve"> PAGEREF _Toc327388039 \h </w:instrText>
            </w:r>
            <w:r>
              <w:rPr>
                <w:noProof/>
                <w:webHidden/>
              </w:rPr>
            </w:r>
            <w:r>
              <w:rPr>
                <w:noProof/>
                <w:webHidden/>
              </w:rPr>
              <w:fldChar w:fldCharType="separate"/>
            </w:r>
            <w:r w:rsidR="00216538">
              <w:rPr>
                <w:noProof/>
                <w:webHidden/>
              </w:rPr>
              <w:t>123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0" w:history="1">
            <w:r w:rsidR="005A6F7F" w:rsidRPr="00AD4DDC">
              <w:rPr>
                <w:rStyle w:val="Hyperlink"/>
                <w:noProof/>
              </w:rPr>
              <w:t>2.4.2</w:t>
            </w:r>
            <w:r w:rsidR="005A6F7F">
              <w:rPr>
                <w:rFonts w:asciiTheme="minorHAnsi" w:eastAsiaTheme="minorEastAsia" w:hAnsiTheme="minorHAnsi" w:cstheme="minorBidi"/>
                <w:noProof/>
                <w:sz w:val="22"/>
                <w:szCs w:val="22"/>
              </w:rPr>
              <w:tab/>
            </w:r>
            <w:r w:rsidR="005A6F7F" w:rsidRPr="00AD4DDC">
              <w:rPr>
                <w:rStyle w:val="Hyperlink"/>
                <w:noProof/>
              </w:rPr>
              <w:t>Die Mission als politische Kraft</w:t>
            </w:r>
            <w:r w:rsidR="005A6F7F">
              <w:rPr>
                <w:noProof/>
                <w:webHidden/>
              </w:rPr>
              <w:tab/>
            </w:r>
            <w:r>
              <w:rPr>
                <w:noProof/>
                <w:webHidden/>
              </w:rPr>
              <w:fldChar w:fldCharType="begin"/>
            </w:r>
            <w:r w:rsidR="005A6F7F">
              <w:rPr>
                <w:noProof/>
                <w:webHidden/>
              </w:rPr>
              <w:instrText xml:space="preserve"> PAGEREF _Toc327388040 \h </w:instrText>
            </w:r>
            <w:r>
              <w:rPr>
                <w:noProof/>
                <w:webHidden/>
              </w:rPr>
            </w:r>
            <w:r>
              <w:rPr>
                <w:noProof/>
                <w:webHidden/>
              </w:rPr>
              <w:fldChar w:fldCharType="separate"/>
            </w:r>
            <w:r w:rsidR="00216538">
              <w:rPr>
                <w:noProof/>
                <w:webHidden/>
              </w:rPr>
              <w:t>125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41" w:history="1">
            <w:r w:rsidR="005A6F7F" w:rsidRPr="00AD4DDC">
              <w:rPr>
                <w:rStyle w:val="Hyperlink"/>
                <w:noProof/>
              </w:rPr>
              <w:t>2.4.2.1</w:t>
            </w:r>
            <w:r w:rsidR="005A6F7F">
              <w:rPr>
                <w:rFonts w:asciiTheme="minorHAnsi" w:eastAsiaTheme="minorEastAsia" w:hAnsiTheme="minorHAnsi" w:cstheme="minorBidi"/>
                <w:noProof/>
                <w:sz w:val="22"/>
                <w:szCs w:val="22"/>
              </w:rPr>
              <w:tab/>
            </w:r>
            <w:r w:rsidR="005A6F7F" w:rsidRPr="00AD4DDC">
              <w:rPr>
                <w:rStyle w:val="Hyperlink"/>
                <w:noProof/>
              </w:rPr>
              <w:t>Entscheidungen im Kolonialstaat</w:t>
            </w:r>
            <w:r w:rsidR="005A6F7F">
              <w:rPr>
                <w:noProof/>
                <w:webHidden/>
              </w:rPr>
              <w:tab/>
            </w:r>
            <w:r>
              <w:rPr>
                <w:noProof/>
                <w:webHidden/>
              </w:rPr>
              <w:fldChar w:fldCharType="begin"/>
            </w:r>
            <w:r w:rsidR="005A6F7F">
              <w:rPr>
                <w:noProof/>
                <w:webHidden/>
              </w:rPr>
              <w:instrText xml:space="preserve"> PAGEREF _Toc327388041 \h </w:instrText>
            </w:r>
            <w:r>
              <w:rPr>
                <w:noProof/>
                <w:webHidden/>
              </w:rPr>
            </w:r>
            <w:r>
              <w:rPr>
                <w:noProof/>
                <w:webHidden/>
              </w:rPr>
              <w:fldChar w:fldCharType="separate"/>
            </w:r>
            <w:r w:rsidR="00216538">
              <w:rPr>
                <w:noProof/>
                <w:webHidden/>
              </w:rPr>
              <w:t>125</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42" w:history="1">
            <w:r w:rsidR="005A6F7F" w:rsidRPr="00AD4DDC">
              <w:rPr>
                <w:rStyle w:val="Hyperlink"/>
                <w:noProof/>
              </w:rPr>
              <w:t>2.4.2.2</w:t>
            </w:r>
            <w:r w:rsidR="005A6F7F">
              <w:rPr>
                <w:rFonts w:asciiTheme="minorHAnsi" w:eastAsiaTheme="minorEastAsia" w:hAnsiTheme="minorHAnsi" w:cstheme="minorBidi"/>
                <w:noProof/>
                <w:sz w:val="22"/>
                <w:szCs w:val="22"/>
              </w:rPr>
              <w:tab/>
            </w:r>
            <w:r w:rsidR="005A6F7F" w:rsidRPr="00AD4DDC">
              <w:rPr>
                <w:rStyle w:val="Hyperlink"/>
                <w:noProof/>
              </w:rPr>
              <w:t>‚Double bind‘</w:t>
            </w:r>
            <w:r w:rsidR="005A6F7F">
              <w:rPr>
                <w:noProof/>
                <w:webHidden/>
              </w:rPr>
              <w:tab/>
            </w:r>
            <w:r>
              <w:rPr>
                <w:noProof/>
                <w:webHidden/>
              </w:rPr>
              <w:fldChar w:fldCharType="begin"/>
            </w:r>
            <w:r w:rsidR="005A6F7F">
              <w:rPr>
                <w:noProof/>
                <w:webHidden/>
              </w:rPr>
              <w:instrText xml:space="preserve"> PAGEREF _Toc327388042 \h </w:instrText>
            </w:r>
            <w:r>
              <w:rPr>
                <w:noProof/>
                <w:webHidden/>
              </w:rPr>
            </w:r>
            <w:r>
              <w:rPr>
                <w:noProof/>
                <w:webHidden/>
              </w:rPr>
              <w:fldChar w:fldCharType="separate"/>
            </w:r>
            <w:r w:rsidR="00216538">
              <w:rPr>
                <w:noProof/>
                <w:webHidden/>
              </w:rPr>
              <w:t>127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3" w:history="1">
            <w:r w:rsidR="005A6F7F" w:rsidRPr="00AD4DDC">
              <w:rPr>
                <w:rStyle w:val="Hyperlink"/>
                <w:noProof/>
              </w:rPr>
              <w:t>2.4.3</w:t>
            </w:r>
            <w:r w:rsidR="005A6F7F">
              <w:rPr>
                <w:rFonts w:asciiTheme="minorHAnsi" w:eastAsiaTheme="minorEastAsia" w:hAnsiTheme="minorHAnsi" w:cstheme="minorBidi"/>
                <w:noProof/>
                <w:sz w:val="22"/>
                <w:szCs w:val="22"/>
              </w:rPr>
              <w:tab/>
            </w:r>
            <w:r w:rsidR="005A6F7F" w:rsidRPr="00AD4DDC">
              <w:rPr>
                <w:rStyle w:val="Hyperlink"/>
                <w:noProof/>
              </w:rPr>
              <w:t>Die „Eingeborenenfrage“</w:t>
            </w:r>
            <w:r w:rsidR="005A6F7F">
              <w:rPr>
                <w:noProof/>
                <w:webHidden/>
              </w:rPr>
              <w:tab/>
            </w:r>
            <w:r>
              <w:rPr>
                <w:noProof/>
                <w:webHidden/>
              </w:rPr>
              <w:fldChar w:fldCharType="begin"/>
            </w:r>
            <w:r w:rsidR="005A6F7F">
              <w:rPr>
                <w:noProof/>
                <w:webHidden/>
              </w:rPr>
              <w:instrText xml:space="preserve"> PAGEREF _Toc327388043 \h </w:instrText>
            </w:r>
            <w:r>
              <w:rPr>
                <w:noProof/>
                <w:webHidden/>
              </w:rPr>
            </w:r>
            <w:r>
              <w:rPr>
                <w:noProof/>
                <w:webHidden/>
              </w:rPr>
              <w:fldChar w:fldCharType="separate"/>
            </w:r>
            <w:r w:rsidR="00216538">
              <w:rPr>
                <w:noProof/>
                <w:webHidden/>
              </w:rPr>
              <w:t>129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4" w:history="1">
            <w:r w:rsidR="005A6F7F" w:rsidRPr="00AD4DDC">
              <w:rPr>
                <w:rStyle w:val="Hyperlink"/>
                <w:noProof/>
              </w:rPr>
              <w:t>2.4.4</w:t>
            </w:r>
            <w:r w:rsidR="005A6F7F">
              <w:rPr>
                <w:rFonts w:asciiTheme="minorHAnsi" w:eastAsiaTheme="minorEastAsia" w:hAnsiTheme="minorHAnsi" w:cstheme="minorBidi"/>
                <w:noProof/>
                <w:sz w:val="22"/>
                <w:szCs w:val="22"/>
              </w:rPr>
              <w:tab/>
            </w:r>
            <w:r w:rsidR="005A6F7F" w:rsidRPr="00AD4DDC">
              <w:rPr>
                <w:rStyle w:val="Hyperlink"/>
                <w:noProof/>
              </w:rPr>
              <w:t>Friedensvermittlung</w:t>
            </w:r>
            <w:r w:rsidR="005A6F7F">
              <w:rPr>
                <w:noProof/>
                <w:webHidden/>
              </w:rPr>
              <w:tab/>
            </w:r>
            <w:r>
              <w:rPr>
                <w:noProof/>
                <w:webHidden/>
              </w:rPr>
              <w:fldChar w:fldCharType="begin"/>
            </w:r>
            <w:r w:rsidR="005A6F7F">
              <w:rPr>
                <w:noProof/>
                <w:webHidden/>
              </w:rPr>
              <w:instrText xml:space="preserve"> PAGEREF _Toc327388044 \h </w:instrText>
            </w:r>
            <w:r>
              <w:rPr>
                <w:noProof/>
                <w:webHidden/>
              </w:rPr>
            </w:r>
            <w:r>
              <w:rPr>
                <w:noProof/>
                <w:webHidden/>
              </w:rPr>
              <w:fldChar w:fldCharType="separate"/>
            </w:r>
            <w:r w:rsidR="00216538">
              <w:rPr>
                <w:noProof/>
                <w:webHidden/>
              </w:rPr>
              <w:t>130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5" w:history="1">
            <w:r w:rsidR="005A6F7F" w:rsidRPr="00AD4DDC">
              <w:rPr>
                <w:rStyle w:val="Hyperlink"/>
                <w:noProof/>
              </w:rPr>
              <w:t>2.4.5</w:t>
            </w:r>
            <w:r w:rsidR="005A6F7F">
              <w:rPr>
                <w:rFonts w:asciiTheme="minorHAnsi" w:eastAsiaTheme="minorEastAsia" w:hAnsiTheme="minorHAnsi" w:cstheme="minorBidi"/>
                <w:noProof/>
                <w:sz w:val="22"/>
                <w:szCs w:val="22"/>
              </w:rPr>
              <w:tab/>
            </w:r>
            <w:r w:rsidR="005A6F7F" w:rsidRPr="00AD4DDC">
              <w:rPr>
                <w:rStyle w:val="Hyperlink"/>
                <w:noProof/>
              </w:rPr>
              <w:t>Die Pazifizierung der Herero durch die Mission</w:t>
            </w:r>
            <w:r w:rsidR="005A6F7F">
              <w:rPr>
                <w:noProof/>
                <w:webHidden/>
              </w:rPr>
              <w:tab/>
            </w:r>
            <w:r>
              <w:rPr>
                <w:noProof/>
                <w:webHidden/>
              </w:rPr>
              <w:fldChar w:fldCharType="begin"/>
            </w:r>
            <w:r w:rsidR="005A6F7F">
              <w:rPr>
                <w:noProof/>
                <w:webHidden/>
              </w:rPr>
              <w:instrText xml:space="preserve"> PAGEREF _Toc327388045 \h </w:instrText>
            </w:r>
            <w:r>
              <w:rPr>
                <w:noProof/>
                <w:webHidden/>
              </w:rPr>
            </w:r>
            <w:r>
              <w:rPr>
                <w:noProof/>
                <w:webHidden/>
              </w:rPr>
              <w:fldChar w:fldCharType="separate"/>
            </w:r>
            <w:r w:rsidR="00216538">
              <w:rPr>
                <w:noProof/>
                <w:webHidden/>
              </w:rPr>
              <w:t>133</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46" w:history="1">
            <w:r w:rsidR="005A6F7F" w:rsidRPr="00AD4DDC">
              <w:rPr>
                <w:rStyle w:val="Hyperlink"/>
                <w:noProof/>
              </w:rPr>
              <w:t>2.5</w:t>
            </w:r>
            <w:r w:rsidR="005A6F7F">
              <w:rPr>
                <w:rFonts w:asciiTheme="minorHAnsi" w:eastAsiaTheme="minorEastAsia" w:hAnsiTheme="minorHAnsi" w:cstheme="minorBidi"/>
                <w:noProof/>
                <w:sz w:val="22"/>
                <w:szCs w:val="22"/>
              </w:rPr>
              <w:tab/>
            </w:r>
            <w:r w:rsidR="005A6F7F" w:rsidRPr="00AD4DDC">
              <w:rPr>
                <w:rStyle w:val="Hyperlink"/>
                <w:noProof/>
              </w:rPr>
              <w:t>Das importierte Patriarchat</w:t>
            </w:r>
            <w:r w:rsidR="005A6F7F">
              <w:rPr>
                <w:noProof/>
                <w:webHidden/>
              </w:rPr>
              <w:tab/>
            </w:r>
            <w:r>
              <w:rPr>
                <w:noProof/>
                <w:webHidden/>
              </w:rPr>
              <w:fldChar w:fldCharType="begin"/>
            </w:r>
            <w:r w:rsidR="005A6F7F">
              <w:rPr>
                <w:noProof/>
                <w:webHidden/>
              </w:rPr>
              <w:instrText xml:space="preserve"> PAGEREF _Toc327388046 \h </w:instrText>
            </w:r>
            <w:r>
              <w:rPr>
                <w:noProof/>
                <w:webHidden/>
              </w:rPr>
            </w:r>
            <w:r>
              <w:rPr>
                <w:noProof/>
                <w:webHidden/>
              </w:rPr>
              <w:fldChar w:fldCharType="separate"/>
            </w:r>
            <w:r w:rsidR="00216538">
              <w:rPr>
                <w:noProof/>
                <w:webHidden/>
              </w:rPr>
              <w:t>135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7" w:history="1">
            <w:r w:rsidR="005A6F7F" w:rsidRPr="00AD4DDC">
              <w:rPr>
                <w:rStyle w:val="Hyperlink"/>
                <w:noProof/>
              </w:rPr>
              <w:t>2.5.1</w:t>
            </w:r>
            <w:r w:rsidR="005A6F7F">
              <w:rPr>
                <w:rFonts w:asciiTheme="minorHAnsi" w:eastAsiaTheme="minorEastAsia" w:hAnsiTheme="minorHAnsi" w:cstheme="minorBidi"/>
                <w:noProof/>
                <w:sz w:val="22"/>
                <w:szCs w:val="22"/>
              </w:rPr>
              <w:tab/>
            </w:r>
            <w:r w:rsidR="005A6F7F" w:rsidRPr="00AD4DDC">
              <w:rPr>
                <w:rStyle w:val="Hyperlink"/>
                <w:noProof/>
              </w:rPr>
              <w:t>Vorüberlegung: Eine Männersache</w:t>
            </w:r>
            <w:r w:rsidR="005A6F7F">
              <w:rPr>
                <w:noProof/>
                <w:webHidden/>
              </w:rPr>
              <w:tab/>
            </w:r>
            <w:r>
              <w:rPr>
                <w:noProof/>
                <w:webHidden/>
              </w:rPr>
              <w:fldChar w:fldCharType="begin"/>
            </w:r>
            <w:r w:rsidR="005A6F7F">
              <w:rPr>
                <w:noProof/>
                <w:webHidden/>
              </w:rPr>
              <w:instrText xml:space="preserve"> PAGEREF _Toc327388047 \h </w:instrText>
            </w:r>
            <w:r>
              <w:rPr>
                <w:noProof/>
                <w:webHidden/>
              </w:rPr>
            </w:r>
            <w:r>
              <w:rPr>
                <w:noProof/>
                <w:webHidden/>
              </w:rPr>
              <w:fldChar w:fldCharType="separate"/>
            </w:r>
            <w:r w:rsidR="00216538">
              <w:rPr>
                <w:noProof/>
                <w:webHidden/>
              </w:rPr>
              <w:t>135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8" w:history="1">
            <w:r w:rsidR="005A6F7F" w:rsidRPr="00AD4DDC">
              <w:rPr>
                <w:rStyle w:val="Hyperlink"/>
                <w:noProof/>
              </w:rPr>
              <w:t>2.5.2</w:t>
            </w:r>
            <w:r w:rsidR="005A6F7F">
              <w:rPr>
                <w:rFonts w:asciiTheme="minorHAnsi" w:eastAsiaTheme="minorEastAsia" w:hAnsiTheme="minorHAnsi" w:cstheme="minorBidi"/>
                <w:noProof/>
                <w:sz w:val="22"/>
                <w:szCs w:val="22"/>
              </w:rPr>
              <w:tab/>
            </w:r>
            <w:r w:rsidR="005A6F7F" w:rsidRPr="00AD4DDC">
              <w:rPr>
                <w:rStyle w:val="Hyperlink"/>
                <w:noProof/>
              </w:rPr>
              <w:t>„… schicken wir eine Frau weg“: der Zynismus der Moral</w:t>
            </w:r>
            <w:r w:rsidR="005A6F7F">
              <w:rPr>
                <w:noProof/>
                <w:webHidden/>
              </w:rPr>
              <w:tab/>
            </w:r>
            <w:r>
              <w:rPr>
                <w:noProof/>
                <w:webHidden/>
              </w:rPr>
              <w:fldChar w:fldCharType="begin"/>
            </w:r>
            <w:r w:rsidR="005A6F7F">
              <w:rPr>
                <w:noProof/>
                <w:webHidden/>
              </w:rPr>
              <w:instrText xml:space="preserve"> PAGEREF _Toc327388048 \h </w:instrText>
            </w:r>
            <w:r>
              <w:rPr>
                <w:noProof/>
                <w:webHidden/>
              </w:rPr>
            </w:r>
            <w:r>
              <w:rPr>
                <w:noProof/>
                <w:webHidden/>
              </w:rPr>
              <w:fldChar w:fldCharType="separate"/>
            </w:r>
            <w:r w:rsidR="00216538">
              <w:rPr>
                <w:noProof/>
                <w:webHidden/>
              </w:rPr>
              <w:t>136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49" w:history="1">
            <w:r w:rsidR="005A6F7F" w:rsidRPr="00AD4DDC">
              <w:rPr>
                <w:rStyle w:val="Hyperlink"/>
                <w:noProof/>
              </w:rPr>
              <w:t>2.5.3</w:t>
            </w:r>
            <w:r w:rsidR="005A6F7F">
              <w:rPr>
                <w:rFonts w:asciiTheme="minorHAnsi" w:eastAsiaTheme="minorEastAsia" w:hAnsiTheme="minorHAnsi" w:cstheme="minorBidi"/>
                <w:noProof/>
                <w:sz w:val="22"/>
                <w:szCs w:val="22"/>
              </w:rPr>
              <w:tab/>
            </w:r>
            <w:r w:rsidR="005A6F7F" w:rsidRPr="00AD4DDC">
              <w:rPr>
                <w:rStyle w:val="Hyperlink"/>
                <w:noProof/>
              </w:rPr>
              <w:t>Die Entmachtung der Frauen</w:t>
            </w:r>
            <w:r w:rsidR="005A6F7F">
              <w:rPr>
                <w:noProof/>
                <w:webHidden/>
              </w:rPr>
              <w:tab/>
            </w:r>
            <w:r>
              <w:rPr>
                <w:noProof/>
                <w:webHidden/>
              </w:rPr>
              <w:fldChar w:fldCharType="begin"/>
            </w:r>
            <w:r w:rsidR="005A6F7F">
              <w:rPr>
                <w:noProof/>
                <w:webHidden/>
              </w:rPr>
              <w:instrText xml:space="preserve"> PAGEREF _Toc327388049 \h </w:instrText>
            </w:r>
            <w:r>
              <w:rPr>
                <w:noProof/>
                <w:webHidden/>
              </w:rPr>
            </w:r>
            <w:r>
              <w:rPr>
                <w:noProof/>
                <w:webHidden/>
              </w:rPr>
              <w:fldChar w:fldCharType="separate"/>
            </w:r>
            <w:r w:rsidR="00216538">
              <w:rPr>
                <w:noProof/>
                <w:webHidden/>
              </w:rPr>
              <w:t>138</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8050" w:history="1">
            <w:r w:rsidR="005A6F7F" w:rsidRPr="00AD4DDC">
              <w:rPr>
                <w:rStyle w:val="Hyperlink"/>
                <w:noProof/>
              </w:rPr>
              <w:t>Kapitel 3: Die Kolonisation</w:t>
            </w:r>
            <w:r w:rsidR="005A6F7F">
              <w:rPr>
                <w:noProof/>
                <w:webHidden/>
              </w:rPr>
              <w:tab/>
            </w:r>
            <w:r>
              <w:rPr>
                <w:noProof/>
                <w:webHidden/>
              </w:rPr>
              <w:fldChar w:fldCharType="begin"/>
            </w:r>
            <w:r w:rsidR="005A6F7F">
              <w:rPr>
                <w:noProof/>
                <w:webHidden/>
              </w:rPr>
              <w:instrText xml:space="preserve"> PAGEREF _Toc327388050 \h </w:instrText>
            </w:r>
            <w:r>
              <w:rPr>
                <w:noProof/>
                <w:webHidden/>
              </w:rPr>
            </w:r>
            <w:r>
              <w:rPr>
                <w:noProof/>
                <w:webHidden/>
              </w:rPr>
              <w:fldChar w:fldCharType="separate"/>
            </w:r>
            <w:r w:rsidR="00216538">
              <w:rPr>
                <w:noProof/>
                <w:webHidden/>
              </w:rPr>
              <w:t>139</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51" w:history="1">
            <w:r w:rsidR="005A6F7F" w:rsidRPr="00AD4DDC">
              <w:rPr>
                <w:rStyle w:val="Hyperlink"/>
                <w:noProof/>
              </w:rPr>
              <w:t>3.1</w:t>
            </w:r>
            <w:r w:rsidR="005A6F7F">
              <w:rPr>
                <w:rFonts w:asciiTheme="minorHAnsi" w:eastAsiaTheme="minorEastAsia" w:hAnsiTheme="minorHAnsi" w:cstheme="minorBidi"/>
                <w:noProof/>
                <w:sz w:val="22"/>
                <w:szCs w:val="22"/>
              </w:rPr>
              <w:tab/>
            </w:r>
            <w:r w:rsidR="005A6F7F" w:rsidRPr="00AD4DDC">
              <w:rPr>
                <w:rStyle w:val="Hyperlink"/>
                <w:noProof/>
              </w:rPr>
              <w:t>Begegnungen mit dem System</w:t>
            </w:r>
            <w:r w:rsidR="005A6F7F">
              <w:rPr>
                <w:noProof/>
                <w:webHidden/>
              </w:rPr>
              <w:tab/>
            </w:r>
            <w:r>
              <w:rPr>
                <w:noProof/>
                <w:webHidden/>
              </w:rPr>
              <w:fldChar w:fldCharType="begin"/>
            </w:r>
            <w:r w:rsidR="005A6F7F">
              <w:rPr>
                <w:noProof/>
                <w:webHidden/>
              </w:rPr>
              <w:instrText xml:space="preserve"> PAGEREF _Toc327388051 \h </w:instrText>
            </w:r>
            <w:r>
              <w:rPr>
                <w:noProof/>
                <w:webHidden/>
              </w:rPr>
            </w:r>
            <w:r>
              <w:rPr>
                <w:noProof/>
                <w:webHidden/>
              </w:rPr>
              <w:fldChar w:fldCharType="separate"/>
            </w:r>
            <w:r w:rsidR="00216538">
              <w:rPr>
                <w:noProof/>
                <w:webHidden/>
              </w:rPr>
              <w:t>141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52" w:history="1">
            <w:r w:rsidR="005A6F7F" w:rsidRPr="00AD4DDC">
              <w:rPr>
                <w:rStyle w:val="Hyperlink"/>
                <w:noProof/>
              </w:rPr>
              <w:t>3.1.1</w:t>
            </w:r>
            <w:r w:rsidR="005A6F7F">
              <w:rPr>
                <w:rFonts w:asciiTheme="minorHAnsi" w:eastAsiaTheme="minorEastAsia" w:hAnsiTheme="minorHAnsi" w:cstheme="minorBidi"/>
                <w:noProof/>
                <w:sz w:val="22"/>
                <w:szCs w:val="22"/>
              </w:rPr>
              <w:tab/>
            </w:r>
            <w:r w:rsidR="005A6F7F" w:rsidRPr="00AD4DDC">
              <w:rPr>
                <w:rStyle w:val="Hyperlink"/>
                <w:noProof/>
              </w:rPr>
              <w:t>Gouverneur von Lindequist</w:t>
            </w:r>
            <w:r w:rsidR="005A6F7F">
              <w:rPr>
                <w:noProof/>
                <w:webHidden/>
              </w:rPr>
              <w:tab/>
            </w:r>
            <w:r>
              <w:rPr>
                <w:noProof/>
                <w:webHidden/>
              </w:rPr>
              <w:fldChar w:fldCharType="begin"/>
            </w:r>
            <w:r w:rsidR="005A6F7F">
              <w:rPr>
                <w:noProof/>
                <w:webHidden/>
              </w:rPr>
              <w:instrText xml:space="preserve"> PAGEREF _Toc327388052 \h </w:instrText>
            </w:r>
            <w:r>
              <w:rPr>
                <w:noProof/>
                <w:webHidden/>
              </w:rPr>
            </w:r>
            <w:r>
              <w:rPr>
                <w:noProof/>
                <w:webHidden/>
              </w:rPr>
              <w:fldChar w:fldCharType="separate"/>
            </w:r>
            <w:r w:rsidR="00216538">
              <w:rPr>
                <w:noProof/>
                <w:webHidden/>
              </w:rPr>
              <w:t>141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53" w:history="1">
            <w:r w:rsidR="005A6F7F" w:rsidRPr="00AD4DDC">
              <w:rPr>
                <w:rStyle w:val="Hyperlink"/>
                <w:noProof/>
              </w:rPr>
              <w:t>3.1.2</w:t>
            </w:r>
            <w:r w:rsidR="005A6F7F">
              <w:rPr>
                <w:rFonts w:asciiTheme="minorHAnsi" w:eastAsiaTheme="minorEastAsia" w:hAnsiTheme="minorHAnsi" w:cstheme="minorBidi"/>
                <w:noProof/>
                <w:sz w:val="22"/>
                <w:szCs w:val="22"/>
              </w:rPr>
              <w:tab/>
            </w:r>
            <w:r w:rsidR="005A6F7F" w:rsidRPr="00AD4DDC">
              <w:rPr>
                <w:rStyle w:val="Hyperlink"/>
                <w:noProof/>
              </w:rPr>
              <w:t>Generalkonsul von Jacobs</w:t>
            </w:r>
            <w:r w:rsidR="005A6F7F">
              <w:rPr>
                <w:noProof/>
                <w:webHidden/>
              </w:rPr>
              <w:tab/>
            </w:r>
            <w:r>
              <w:rPr>
                <w:noProof/>
                <w:webHidden/>
              </w:rPr>
              <w:fldChar w:fldCharType="begin"/>
            </w:r>
            <w:r w:rsidR="005A6F7F">
              <w:rPr>
                <w:noProof/>
                <w:webHidden/>
              </w:rPr>
              <w:instrText xml:space="preserve"> PAGEREF _Toc327388053 \h </w:instrText>
            </w:r>
            <w:r>
              <w:rPr>
                <w:noProof/>
                <w:webHidden/>
              </w:rPr>
            </w:r>
            <w:r>
              <w:rPr>
                <w:noProof/>
                <w:webHidden/>
              </w:rPr>
              <w:fldChar w:fldCharType="separate"/>
            </w:r>
            <w:r w:rsidR="00216538">
              <w:rPr>
                <w:noProof/>
                <w:webHidden/>
              </w:rPr>
              <w:t>144</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54" w:history="1">
            <w:r w:rsidR="005A6F7F" w:rsidRPr="00AD4DDC">
              <w:rPr>
                <w:rStyle w:val="Hyperlink"/>
                <w:noProof/>
              </w:rPr>
              <w:t>3.1.3</w:t>
            </w:r>
            <w:r w:rsidR="005A6F7F">
              <w:rPr>
                <w:rFonts w:asciiTheme="minorHAnsi" w:eastAsiaTheme="minorEastAsia" w:hAnsiTheme="minorHAnsi" w:cstheme="minorBidi"/>
                <w:noProof/>
                <w:sz w:val="22"/>
                <w:szCs w:val="22"/>
              </w:rPr>
              <w:tab/>
            </w:r>
            <w:r w:rsidR="005A6F7F" w:rsidRPr="00AD4DDC">
              <w:rPr>
                <w:rStyle w:val="Hyperlink"/>
                <w:noProof/>
              </w:rPr>
              <w:t>Die koloniale Gesellschaft</w:t>
            </w:r>
            <w:r w:rsidR="005A6F7F">
              <w:rPr>
                <w:noProof/>
                <w:webHidden/>
              </w:rPr>
              <w:tab/>
            </w:r>
            <w:r>
              <w:rPr>
                <w:noProof/>
                <w:webHidden/>
              </w:rPr>
              <w:fldChar w:fldCharType="begin"/>
            </w:r>
            <w:r w:rsidR="005A6F7F">
              <w:rPr>
                <w:noProof/>
                <w:webHidden/>
              </w:rPr>
              <w:instrText xml:space="preserve"> PAGEREF _Toc327388054 \h </w:instrText>
            </w:r>
            <w:r>
              <w:rPr>
                <w:noProof/>
                <w:webHidden/>
              </w:rPr>
            </w:r>
            <w:r>
              <w:rPr>
                <w:noProof/>
                <w:webHidden/>
              </w:rPr>
              <w:fldChar w:fldCharType="separate"/>
            </w:r>
            <w:r w:rsidR="00216538">
              <w:rPr>
                <w:noProof/>
                <w:webHidden/>
              </w:rPr>
              <w:t>147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55" w:history="1">
            <w:r w:rsidR="005A6F7F" w:rsidRPr="00AD4DDC">
              <w:rPr>
                <w:rStyle w:val="Hyperlink"/>
                <w:noProof/>
              </w:rPr>
              <w:t>3.1.4</w:t>
            </w:r>
            <w:r w:rsidR="005A6F7F">
              <w:rPr>
                <w:rFonts w:asciiTheme="minorHAnsi" w:eastAsiaTheme="minorEastAsia" w:hAnsiTheme="minorHAnsi" w:cstheme="minorBidi"/>
                <w:noProof/>
                <w:sz w:val="22"/>
                <w:szCs w:val="22"/>
              </w:rPr>
              <w:tab/>
            </w:r>
            <w:r w:rsidR="005A6F7F" w:rsidRPr="00AD4DDC">
              <w:rPr>
                <w:rStyle w:val="Hyperlink"/>
                <w:noProof/>
              </w:rPr>
              <w:t>Spannungen</w:t>
            </w:r>
            <w:r w:rsidR="005A6F7F">
              <w:rPr>
                <w:noProof/>
                <w:webHidden/>
              </w:rPr>
              <w:tab/>
            </w:r>
            <w:r>
              <w:rPr>
                <w:noProof/>
                <w:webHidden/>
              </w:rPr>
              <w:fldChar w:fldCharType="begin"/>
            </w:r>
            <w:r w:rsidR="005A6F7F">
              <w:rPr>
                <w:noProof/>
                <w:webHidden/>
              </w:rPr>
              <w:instrText xml:space="preserve"> PAGEREF _Toc327388055 \h </w:instrText>
            </w:r>
            <w:r>
              <w:rPr>
                <w:noProof/>
                <w:webHidden/>
              </w:rPr>
            </w:r>
            <w:r>
              <w:rPr>
                <w:noProof/>
                <w:webHidden/>
              </w:rPr>
              <w:fldChar w:fldCharType="separate"/>
            </w:r>
            <w:r w:rsidR="00216538">
              <w:rPr>
                <w:noProof/>
                <w:webHidden/>
              </w:rPr>
              <w:t>149</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56" w:history="1">
            <w:r w:rsidR="005A6F7F" w:rsidRPr="00AD4DDC">
              <w:rPr>
                <w:rStyle w:val="Hyperlink"/>
                <w:noProof/>
              </w:rPr>
              <w:t>3.1.4.1</w:t>
            </w:r>
            <w:r w:rsidR="005A6F7F">
              <w:rPr>
                <w:rFonts w:asciiTheme="minorHAnsi" w:eastAsiaTheme="minorEastAsia" w:hAnsiTheme="minorHAnsi" w:cstheme="minorBidi"/>
                <w:noProof/>
                <w:sz w:val="22"/>
                <w:szCs w:val="22"/>
              </w:rPr>
              <w:tab/>
            </w:r>
            <w:r w:rsidR="005A6F7F" w:rsidRPr="00AD4DDC">
              <w:rPr>
                <w:rStyle w:val="Hyperlink"/>
                <w:noProof/>
              </w:rPr>
              <w:t>Die Verachteten … (Buren)</w:t>
            </w:r>
            <w:r w:rsidR="005A6F7F">
              <w:rPr>
                <w:noProof/>
                <w:webHidden/>
              </w:rPr>
              <w:tab/>
            </w:r>
            <w:r>
              <w:rPr>
                <w:noProof/>
                <w:webHidden/>
              </w:rPr>
              <w:fldChar w:fldCharType="begin"/>
            </w:r>
            <w:r w:rsidR="005A6F7F">
              <w:rPr>
                <w:noProof/>
                <w:webHidden/>
              </w:rPr>
              <w:instrText xml:space="preserve"> PAGEREF _Toc327388056 \h </w:instrText>
            </w:r>
            <w:r>
              <w:rPr>
                <w:noProof/>
                <w:webHidden/>
              </w:rPr>
            </w:r>
            <w:r>
              <w:rPr>
                <w:noProof/>
                <w:webHidden/>
              </w:rPr>
              <w:fldChar w:fldCharType="separate"/>
            </w:r>
            <w:r w:rsidR="00216538">
              <w:rPr>
                <w:noProof/>
                <w:webHidden/>
              </w:rPr>
              <w:t>149</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57" w:history="1">
            <w:r w:rsidR="005A6F7F" w:rsidRPr="00AD4DDC">
              <w:rPr>
                <w:rStyle w:val="Hyperlink"/>
                <w:noProof/>
              </w:rPr>
              <w:t>3.1.4.2</w:t>
            </w:r>
            <w:r w:rsidR="005A6F7F">
              <w:rPr>
                <w:rFonts w:asciiTheme="minorHAnsi" w:eastAsiaTheme="minorEastAsia" w:hAnsiTheme="minorHAnsi" w:cstheme="minorBidi"/>
                <w:noProof/>
                <w:sz w:val="22"/>
                <w:szCs w:val="22"/>
              </w:rPr>
              <w:tab/>
            </w:r>
            <w:r w:rsidR="005A6F7F" w:rsidRPr="00AD4DDC">
              <w:rPr>
                <w:rStyle w:val="Hyperlink"/>
                <w:noProof/>
              </w:rPr>
              <w:t>… und die Bewunderten (Engländer)</w:t>
            </w:r>
            <w:r w:rsidR="005A6F7F">
              <w:rPr>
                <w:noProof/>
                <w:webHidden/>
              </w:rPr>
              <w:tab/>
            </w:r>
            <w:r>
              <w:rPr>
                <w:noProof/>
                <w:webHidden/>
              </w:rPr>
              <w:fldChar w:fldCharType="begin"/>
            </w:r>
            <w:r w:rsidR="005A6F7F">
              <w:rPr>
                <w:noProof/>
                <w:webHidden/>
              </w:rPr>
              <w:instrText xml:space="preserve"> PAGEREF _Toc327388057 \h </w:instrText>
            </w:r>
            <w:r>
              <w:rPr>
                <w:noProof/>
                <w:webHidden/>
              </w:rPr>
            </w:r>
            <w:r>
              <w:rPr>
                <w:noProof/>
                <w:webHidden/>
              </w:rPr>
              <w:fldChar w:fldCharType="separate"/>
            </w:r>
            <w:r w:rsidR="00216538">
              <w:rPr>
                <w:noProof/>
                <w:webHidden/>
              </w:rPr>
              <w:t>150</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58" w:history="1">
            <w:r w:rsidR="005A6F7F" w:rsidRPr="00AD4DDC">
              <w:rPr>
                <w:rStyle w:val="Hyperlink"/>
                <w:noProof/>
              </w:rPr>
              <w:t>3.2</w:t>
            </w:r>
            <w:r w:rsidR="005A6F7F">
              <w:rPr>
                <w:rFonts w:asciiTheme="minorHAnsi" w:eastAsiaTheme="minorEastAsia" w:hAnsiTheme="minorHAnsi" w:cstheme="minorBidi"/>
                <w:noProof/>
                <w:sz w:val="22"/>
                <w:szCs w:val="22"/>
              </w:rPr>
              <w:tab/>
            </w:r>
            <w:r w:rsidR="005A6F7F" w:rsidRPr="00AD4DDC">
              <w:rPr>
                <w:rStyle w:val="Hyperlink"/>
                <w:noProof/>
              </w:rPr>
              <w:t>Kolonisation und Begehren</w:t>
            </w:r>
            <w:r w:rsidR="005A6F7F">
              <w:rPr>
                <w:noProof/>
                <w:webHidden/>
              </w:rPr>
              <w:tab/>
            </w:r>
            <w:r>
              <w:rPr>
                <w:noProof/>
                <w:webHidden/>
              </w:rPr>
              <w:fldChar w:fldCharType="begin"/>
            </w:r>
            <w:r w:rsidR="005A6F7F">
              <w:rPr>
                <w:noProof/>
                <w:webHidden/>
              </w:rPr>
              <w:instrText xml:space="preserve"> PAGEREF _Toc327388058 \h </w:instrText>
            </w:r>
            <w:r>
              <w:rPr>
                <w:noProof/>
                <w:webHidden/>
              </w:rPr>
            </w:r>
            <w:r>
              <w:rPr>
                <w:noProof/>
                <w:webHidden/>
              </w:rPr>
              <w:fldChar w:fldCharType="separate"/>
            </w:r>
            <w:r w:rsidR="00216538">
              <w:rPr>
                <w:noProof/>
                <w:webHidden/>
              </w:rPr>
              <w:t>151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59" w:history="1">
            <w:r w:rsidR="005A6F7F" w:rsidRPr="00AD4DDC">
              <w:rPr>
                <w:rStyle w:val="Hyperlink"/>
                <w:noProof/>
              </w:rPr>
              <w:t>3.2.1</w:t>
            </w:r>
            <w:r w:rsidR="005A6F7F">
              <w:rPr>
                <w:rFonts w:asciiTheme="minorHAnsi" w:eastAsiaTheme="minorEastAsia" w:hAnsiTheme="minorHAnsi" w:cstheme="minorBidi"/>
                <w:noProof/>
                <w:sz w:val="22"/>
                <w:szCs w:val="22"/>
              </w:rPr>
              <w:tab/>
            </w:r>
            <w:r w:rsidR="005A6F7F" w:rsidRPr="00AD4DDC">
              <w:rPr>
                <w:rStyle w:val="Hyperlink"/>
                <w:noProof/>
              </w:rPr>
              <w:t>Vorüberlegung: Rassismus und sexuelle Phantasie</w:t>
            </w:r>
            <w:r w:rsidR="005A6F7F">
              <w:rPr>
                <w:noProof/>
                <w:webHidden/>
              </w:rPr>
              <w:tab/>
            </w:r>
            <w:r>
              <w:rPr>
                <w:noProof/>
                <w:webHidden/>
              </w:rPr>
              <w:fldChar w:fldCharType="begin"/>
            </w:r>
            <w:r w:rsidR="005A6F7F">
              <w:rPr>
                <w:noProof/>
                <w:webHidden/>
              </w:rPr>
              <w:instrText xml:space="preserve"> PAGEREF _Toc327388059 \h </w:instrText>
            </w:r>
            <w:r>
              <w:rPr>
                <w:noProof/>
                <w:webHidden/>
              </w:rPr>
            </w:r>
            <w:r>
              <w:rPr>
                <w:noProof/>
                <w:webHidden/>
              </w:rPr>
              <w:fldChar w:fldCharType="separate"/>
            </w:r>
            <w:r w:rsidR="00216538">
              <w:rPr>
                <w:noProof/>
                <w:webHidden/>
              </w:rPr>
              <w:t>151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0" w:history="1">
            <w:r w:rsidR="005A6F7F" w:rsidRPr="00AD4DDC">
              <w:rPr>
                <w:rStyle w:val="Hyperlink"/>
                <w:noProof/>
              </w:rPr>
              <w:t>3.2.1.1</w:t>
            </w:r>
            <w:r w:rsidR="005A6F7F">
              <w:rPr>
                <w:rFonts w:asciiTheme="minorHAnsi" w:eastAsiaTheme="minorEastAsia" w:hAnsiTheme="minorHAnsi" w:cstheme="minorBidi"/>
                <w:noProof/>
                <w:sz w:val="22"/>
                <w:szCs w:val="22"/>
              </w:rPr>
              <w:tab/>
            </w:r>
            <w:r w:rsidR="005A6F7F" w:rsidRPr="00AD4DDC">
              <w:rPr>
                <w:rStyle w:val="Hyperlink"/>
                <w:noProof/>
              </w:rPr>
              <w:t>Zweideutige Theorien</w:t>
            </w:r>
            <w:r w:rsidR="005A6F7F">
              <w:rPr>
                <w:noProof/>
                <w:webHidden/>
              </w:rPr>
              <w:tab/>
            </w:r>
            <w:r>
              <w:rPr>
                <w:noProof/>
                <w:webHidden/>
              </w:rPr>
              <w:fldChar w:fldCharType="begin"/>
            </w:r>
            <w:r w:rsidR="005A6F7F">
              <w:rPr>
                <w:noProof/>
                <w:webHidden/>
              </w:rPr>
              <w:instrText xml:space="preserve"> PAGEREF _Toc327388060 \h </w:instrText>
            </w:r>
            <w:r>
              <w:rPr>
                <w:noProof/>
                <w:webHidden/>
              </w:rPr>
            </w:r>
            <w:r>
              <w:rPr>
                <w:noProof/>
                <w:webHidden/>
              </w:rPr>
              <w:fldChar w:fldCharType="separate"/>
            </w:r>
            <w:r w:rsidR="00216538">
              <w:rPr>
                <w:noProof/>
                <w:webHidden/>
              </w:rPr>
              <w:t>151</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1" w:history="1">
            <w:r w:rsidR="005A6F7F" w:rsidRPr="00AD4DDC">
              <w:rPr>
                <w:rStyle w:val="Hyperlink"/>
                <w:noProof/>
              </w:rPr>
              <w:t>3.2.1.2</w:t>
            </w:r>
            <w:r w:rsidR="005A6F7F">
              <w:rPr>
                <w:rFonts w:asciiTheme="minorHAnsi" w:eastAsiaTheme="minorEastAsia" w:hAnsiTheme="minorHAnsi" w:cstheme="minorBidi"/>
                <w:noProof/>
                <w:sz w:val="22"/>
                <w:szCs w:val="22"/>
              </w:rPr>
              <w:tab/>
            </w:r>
            <w:r w:rsidR="005A6F7F" w:rsidRPr="00AD4DDC">
              <w:rPr>
                <w:rStyle w:val="Hyperlink"/>
                <w:noProof/>
              </w:rPr>
              <w:t>Spuren des Verlangens</w:t>
            </w:r>
            <w:r w:rsidR="005A6F7F">
              <w:rPr>
                <w:noProof/>
                <w:webHidden/>
              </w:rPr>
              <w:tab/>
            </w:r>
            <w:r>
              <w:rPr>
                <w:noProof/>
                <w:webHidden/>
              </w:rPr>
              <w:fldChar w:fldCharType="begin"/>
            </w:r>
            <w:r w:rsidR="005A6F7F">
              <w:rPr>
                <w:noProof/>
                <w:webHidden/>
              </w:rPr>
              <w:instrText xml:space="preserve"> PAGEREF _Toc327388061 \h </w:instrText>
            </w:r>
            <w:r>
              <w:rPr>
                <w:noProof/>
                <w:webHidden/>
              </w:rPr>
            </w:r>
            <w:r>
              <w:rPr>
                <w:noProof/>
                <w:webHidden/>
              </w:rPr>
              <w:fldChar w:fldCharType="separate"/>
            </w:r>
            <w:r w:rsidR="00216538">
              <w:rPr>
                <w:noProof/>
                <w:webHidden/>
              </w:rPr>
              <w:t>153</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2" w:history="1">
            <w:r w:rsidR="005A6F7F" w:rsidRPr="00AD4DDC">
              <w:rPr>
                <w:rStyle w:val="Hyperlink"/>
                <w:noProof/>
              </w:rPr>
              <w:t>3.2.1.3</w:t>
            </w:r>
            <w:r w:rsidR="005A6F7F">
              <w:rPr>
                <w:rFonts w:asciiTheme="minorHAnsi" w:eastAsiaTheme="minorEastAsia" w:hAnsiTheme="minorHAnsi" w:cstheme="minorBidi"/>
                <w:noProof/>
                <w:sz w:val="22"/>
                <w:szCs w:val="22"/>
              </w:rPr>
              <w:tab/>
            </w:r>
            <w:r w:rsidR="005A6F7F" w:rsidRPr="00AD4DDC">
              <w:rPr>
                <w:rStyle w:val="Hyperlink"/>
                <w:noProof/>
              </w:rPr>
              <w:t>Gruppenphantasie und kolonialer Diskurs</w:t>
            </w:r>
            <w:r w:rsidR="005A6F7F">
              <w:rPr>
                <w:noProof/>
                <w:webHidden/>
              </w:rPr>
              <w:tab/>
            </w:r>
            <w:r>
              <w:rPr>
                <w:noProof/>
                <w:webHidden/>
              </w:rPr>
              <w:fldChar w:fldCharType="begin"/>
            </w:r>
            <w:r w:rsidR="005A6F7F">
              <w:rPr>
                <w:noProof/>
                <w:webHidden/>
              </w:rPr>
              <w:instrText xml:space="preserve"> PAGEREF _Toc327388062 \h </w:instrText>
            </w:r>
            <w:r>
              <w:rPr>
                <w:noProof/>
                <w:webHidden/>
              </w:rPr>
            </w:r>
            <w:r>
              <w:rPr>
                <w:noProof/>
                <w:webHidden/>
              </w:rPr>
              <w:fldChar w:fldCharType="separate"/>
            </w:r>
            <w:r w:rsidR="00216538">
              <w:rPr>
                <w:noProof/>
                <w:webHidden/>
              </w:rPr>
              <w:t>156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63" w:history="1">
            <w:r w:rsidR="005A6F7F" w:rsidRPr="00AD4DDC">
              <w:rPr>
                <w:rStyle w:val="Hyperlink"/>
                <w:noProof/>
              </w:rPr>
              <w:t>3.2.2</w:t>
            </w:r>
            <w:r w:rsidR="005A6F7F">
              <w:rPr>
                <w:rFonts w:asciiTheme="minorHAnsi" w:eastAsiaTheme="minorEastAsia" w:hAnsiTheme="minorHAnsi" w:cstheme="minorBidi"/>
                <w:noProof/>
                <w:sz w:val="22"/>
                <w:szCs w:val="22"/>
              </w:rPr>
              <w:tab/>
            </w:r>
            <w:r w:rsidR="005A6F7F" w:rsidRPr="00AD4DDC">
              <w:rPr>
                <w:rStyle w:val="Hyperlink"/>
                <w:noProof/>
              </w:rPr>
              <w:t>Zwischen Angst und Anziehung: Kontakte zwischen schwarz und weiß</w:t>
            </w:r>
            <w:r w:rsidR="005A6F7F">
              <w:rPr>
                <w:noProof/>
                <w:webHidden/>
              </w:rPr>
              <w:tab/>
            </w:r>
            <w:r>
              <w:rPr>
                <w:noProof/>
                <w:webHidden/>
              </w:rPr>
              <w:fldChar w:fldCharType="begin"/>
            </w:r>
            <w:r w:rsidR="005A6F7F">
              <w:rPr>
                <w:noProof/>
                <w:webHidden/>
              </w:rPr>
              <w:instrText xml:space="preserve"> PAGEREF _Toc327388063 \h </w:instrText>
            </w:r>
            <w:r>
              <w:rPr>
                <w:noProof/>
                <w:webHidden/>
              </w:rPr>
            </w:r>
            <w:r>
              <w:rPr>
                <w:noProof/>
                <w:webHidden/>
              </w:rPr>
              <w:fldChar w:fldCharType="separate"/>
            </w:r>
            <w:r w:rsidR="00216538">
              <w:rPr>
                <w:noProof/>
                <w:webHidden/>
              </w:rPr>
              <w:t>158</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4" w:history="1">
            <w:r w:rsidR="005A6F7F" w:rsidRPr="00AD4DDC">
              <w:rPr>
                <w:rStyle w:val="Hyperlink"/>
                <w:noProof/>
              </w:rPr>
              <w:t>3.2.2.1</w:t>
            </w:r>
            <w:r w:rsidR="005A6F7F">
              <w:rPr>
                <w:rFonts w:asciiTheme="minorHAnsi" w:eastAsiaTheme="minorEastAsia" w:hAnsiTheme="minorHAnsi" w:cstheme="minorBidi"/>
                <w:noProof/>
                <w:sz w:val="22"/>
                <w:szCs w:val="22"/>
              </w:rPr>
              <w:tab/>
            </w:r>
            <w:r w:rsidR="005A6F7F" w:rsidRPr="00AD4DDC">
              <w:rPr>
                <w:rStyle w:val="Hyperlink"/>
                <w:noProof/>
              </w:rPr>
              <w:t>Der gemeinsame Alltag</w:t>
            </w:r>
            <w:r w:rsidR="005A6F7F">
              <w:rPr>
                <w:noProof/>
                <w:webHidden/>
              </w:rPr>
              <w:tab/>
            </w:r>
            <w:r>
              <w:rPr>
                <w:noProof/>
                <w:webHidden/>
              </w:rPr>
              <w:fldChar w:fldCharType="begin"/>
            </w:r>
            <w:r w:rsidR="005A6F7F">
              <w:rPr>
                <w:noProof/>
                <w:webHidden/>
              </w:rPr>
              <w:instrText xml:space="preserve"> PAGEREF _Toc327388064 \h </w:instrText>
            </w:r>
            <w:r>
              <w:rPr>
                <w:noProof/>
                <w:webHidden/>
              </w:rPr>
            </w:r>
            <w:r>
              <w:rPr>
                <w:noProof/>
                <w:webHidden/>
              </w:rPr>
              <w:fldChar w:fldCharType="separate"/>
            </w:r>
            <w:r w:rsidR="00216538">
              <w:rPr>
                <w:noProof/>
                <w:webHidden/>
              </w:rPr>
              <w:t>158</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5" w:history="1">
            <w:r w:rsidR="005A6F7F" w:rsidRPr="00AD4DDC">
              <w:rPr>
                <w:rStyle w:val="Hyperlink"/>
                <w:noProof/>
              </w:rPr>
              <w:t>3.2.2.2</w:t>
            </w:r>
            <w:r w:rsidR="005A6F7F">
              <w:rPr>
                <w:rFonts w:asciiTheme="minorHAnsi" w:eastAsiaTheme="minorEastAsia" w:hAnsiTheme="minorHAnsi" w:cstheme="minorBidi"/>
                <w:noProof/>
                <w:sz w:val="22"/>
                <w:szCs w:val="22"/>
              </w:rPr>
              <w:tab/>
            </w:r>
            <w:r w:rsidR="005A6F7F" w:rsidRPr="00AD4DDC">
              <w:rPr>
                <w:rStyle w:val="Hyperlink"/>
                <w:noProof/>
              </w:rPr>
              <w:t>Asymmetrische Verhältnisse</w:t>
            </w:r>
            <w:r w:rsidR="005A6F7F">
              <w:rPr>
                <w:noProof/>
                <w:webHidden/>
              </w:rPr>
              <w:tab/>
            </w:r>
            <w:r>
              <w:rPr>
                <w:noProof/>
                <w:webHidden/>
              </w:rPr>
              <w:fldChar w:fldCharType="begin"/>
            </w:r>
            <w:r w:rsidR="005A6F7F">
              <w:rPr>
                <w:noProof/>
                <w:webHidden/>
              </w:rPr>
              <w:instrText xml:space="preserve"> PAGEREF _Toc327388065 \h </w:instrText>
            </w:r>
            <w:r>
              <w:rPr>
                <w:noProof/>
                <w:webHidden/>
              </w:rPr>
            </w:r>
            <w:r>
              <w:rPr>
                <w:noProof/>
                <w:webHidden/>
              </w:rPr>
              <w:fldChar w:fldCharType="separate"/>
            </w:r>
            <w:r w:rsidR="00216538">
              <w:rPr>
                <w:noProof/>
                <w:webHidden/>
              </w:rPr>
              <w:t>159</w:t>
            </w:r>
            <w:r>
              <w:rPr>
                <w:noProof/>
                <w:webHidden/>
              </w:rPr>
              <w:fldChar w:fldCharType="end"/>
            </w:r>
          </w:hyperlink>
        </w:p>
        <w:p w:rsidR="005A6F7F" w:rsidRDefault="00363C1C">
          <w:pPr>
            <w:pStyle w:val="Verzeichnis4"/>
            <w:rPr>
              <w:rFonts w:asciiTheme="minorHAnsi" w:eastAsiaTheme="minorEastAsia" w:hAnsiTheme="minorHAnsi" w:cstheme="minorBidi"/>
              <w:noProof/>
              <w:sz w:val="22"/>
              <w:szCs w:val="22"/>
            </w:rPr>
          </w:pPr>
          <w:hyperlink w:anchor="_Toc327388066" w:history="1">
            <w:r w:rsidR="005A6F7F" w:rsidRPr="00AD4DDC">
              <w:rPr>
                <w:rStyle w:val="Hyperlink"/>
                <w:noProof/>
              </w:rPr>
              <w:t>3.2.2.3</w:t>
            </w:r>
            <w:r w:rsidR="005A6F7F">
              <w:rPr>
                <w:rFonts w:asciiTheme="minorHAnsi" w:eastAsiaTheme="minorEastAsia" w:hAnsiTheme="minorHAnsi" w:cstheme="minorBidi"/>
                <w:noProof/>
                <w:sz w:val="22"/>
                <w:szCs w:val="22"/>
              </w:rPr>
              <w:tab/>
            </w:r>
            <w:r w:rsidR="005A6F7F" w:rsidRPr="00AD4DDC">
              <w:rPr>
                <w:rStyle w:val="Hyperlink"/>
                <w:noProof/>
              </w:rPr>
              <w:t>Rassentrennung</w:t>
            </w:r>
            <w:r w:rsidR="005A6F7F">
              <w:rPr>
                <w:noProof/>
                <w:webHidden/>
              </w:rPr>
              <w:tab/>
            </w:r>
            <w:r>
              <w:rPr>
                <w:noProof/>
                <w:webHidden/>
              </w:rPr>
              <w:fldChar w:fldCharType="begin"/>
            </w:r>
            <w:r w:rsidR="005A6F7F">
              <w:rPr>
                <w:noProof/>
                <w:webHidden/>
              </w:rPr>
              <w:instrText xml:space="preserve"> PAGEREF _Toc327388066 \h </w:instrText>
            </w:r>
            <w:r>
              <w:rPr>
                <w:noProof/>
                <w:webHidden/>
              </w:rPr>
            </w:r>
            <w:r>
              <w:rPr>
                <w:noProof/>
                <w:webHidden/>
              </w:rPr>
              <w:fldChar w:fldCharType="separate"/>
            </w:r>
            <w:r w:rsidR="00216538">
              <w:rPr>
                <w:noProof/>
                <w:webHidden/>
              </w:rPr>
              <w:t>161</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67" w:history="1">
            <w:r w:rsidR="005A6F7F" w:rsidRPr="00AD4DDC">
              <w:rPr>
                <w:rStyle w:val="Hyperlink"/>
                <w:noProof/>
              </w:rPr>
              <w:t>3.2.3</w:t>
            </w:r>
            <w:r w:rsidR="005A6F7F">
              <w:rPr>
                <w:rFonts w:asciiTheme="minorHAnsi" w:eastAsiaTheme="minorEastAsia" w:hAnsiTheme="minorHAnsi" w:cstheme="minorBidi"/>
                <w:noProof/>
                <w:sz w:val="22"/>
                <w:szCs w:val="22"/>
              </w:rPr>
              <w:tab/>
            </w:r>
            <w:r w:rsidR="005A6F7F" w:rsidRPr="00AD4DDC">
              <w:rPr>
                <w:rStyle w:val="Hyperlink"/>
                <w:noProof/>
              </w:rPr>
              <w:t>Sexuelle Beherrschung</w:t>
            </w:r>
            <w:r w:rsidR="005A6F7F">
              <w:rPr>
                <w:noProof/>
                <w:webHidden/>
              </w:rPr>
              <w:tab/>
            </w:r>
            <w:r>
              <w:rPr>
                <w:noProof/>
                <w:webHidden/>
              </w:rPr>
              <w:fldChar w:fldCharType="begin"/>
            </w:r>
            <w:r w:rsidR="005A6F7F">
              <w:rPr>
                <w:noProof/>
                <w:webHidden/>
              </w:rPr>
              <w:instrText xml:space="preserve"> PAGEREF _Toc327388067 \h </w:instrText>
            </w:r>
            <w:r>
              <w:rPr>
                <w:noProof/>
                <w:webHidden/>
              </w:rPr>
            </w:r>
            <w:r>
              <w:rPr>
                <w:noProof/>
                <w:webHidden/>
              </w:rPr>
              <w:fldChar w:fldCharType="separate"/>
            </w:r>
            <w:r w:rsidR="00216538">
              <w:rPr>
                <w:noProof/>
                <w:webHidden/>
              </w:rPr>
              <w:t>162</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68" w:history="1">
            <w:r w:rsidR="005A6F7F" w:rsidRPr="00AD4DDC">
              <w:rPr>
                <w:rStyle w:val="Hyperlink"/>
                <w:noProof/>
              </w:rPr>
              <w:t>3.3</w:t>
            </w:r>
            <w:r w:rsidR="005A6F7F">
              <w:rPr>
                <w:rFonts w:asciiTheme="minorHAnsi" w:eastAsiaTheme="minorEastAsia" w:hAnsiTheme="minorHAnsi" w:cstheme="minorBidi"/>
                <w:noProof/>
                <w:sz w:val="22"/>
                <w:szCs w:val="22"/>
              </w:rPr>
              <w:tab/>
            </w:r>
            <w:r w:rsidR="005A6F7F" w:rsidRPr="00AD4DDC">
              <w:rPr>
                <w:rStyle w:val="Hyperlink"/>
                <w:noProof/>
              </w:rPr>
              <w:t>Kolonisation und Beherrschung</w:t>
            </w:r>
            <w:r w:rsidR="005A6F7F">
              <w:rPr>
                <w:noProof/>
                <w:webHidden/>
              </w:rPr>
              <w:tab/>
            </w:r>
            <w:r>
              <w:rPr>
                <w:noProof/>
                <w:webHidden/>
              </w:rPr>
              <w:fldChar w:fldCharType="begin"/>
            </w:r>
            <w:r w:rsidR="005A6F7F">
              <w:rPr>
                <w:noProof/>
                <w:webHidden/>
              </w:rPr>
              <w:instrText xml:space="preserve"> PAGEREF _Toc327388068 \h </w:instrText>
            </w:r>
            <w:r>
              <w:rPr>
                <w:noProof/>
                <w:webHidden/>
              </w:rPr>
            </w:r>
            <w:r>
              <w:rPr>
                <w:noProof/>
                <w:webHidden/>
              </w:rPr>
              <w:fldChar w:fldCharType="separate"/>
            </w:r>
            <w:r w:rsidR="00216538">
              <w:rPr>
                <w:noProof/>
                <w:webHidden/>
              </w:rPr>
              <w:t>165</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69" w:history="1">
            <w:r w:rsidR="005A6F7F" w:rsidRPr="00AD4DDC">
              <w:rPr>
                <w:rStyle w:val="Hyperlink"/>
                <w:noProof/>
              </w:rPr>
              <w:t>3.3.1</w:t>
            </w:r>
            <w:r w:rsidR="005A6F7F">
              <w:rPr>
                <w:rFonts w:asciiTheme="minorHAnsi" w:eastAsiaTheme="minorEastAsia" w:hAnsiTheme="minorHAnsi" w:cstheme="minorBidi"/>
                <w:noProof/>
                <w:sz w:val="22"/>
                <w:szCs w:val="22"/>
              </w:rPr>
              <w:tab/>
            </w:r>
            <w:r w:rsidR="005A6F7F" w:rsidRPr="00AD4DDC">
              <w:rPr>
                <w:rStyle w:val="Hyperlink"/>
                <w:noProof/>
              </w:rPr>
              <w:t>Zwangsarbeit</w:t>
            </w:r>
            <w:r w:rsidR="005A6F7F">
              <w:rPr>
                <w:noProof/>
                <w:webHidden/>
              </w:rPr>
              <w:tab/>
            </w:r>
            <w:r>
              <w:rPr>
                <w:noProof/>
                <w:webHidden/>
              </w:rPr>
              <w:fldChar w:fldCharType="begin"/>
            </w:r>
            <w:r w:rsidR="005A6F7F">
              <w:rPr>
                <w:noProof/>
                <w:webHidden/>
              </w:rPr>
              <w:instrText xml:space="preserve"> PAGEREF _Toc327388069 \h </w:instrText>
            </w:r>
            <w:r>
              <w:rPr>
                <w:noProof/>
                <w:webHidden/>
              </w:rPr>
            </w:r>
            <w:r>
              <w:rPr>
                <w:noProof/>
                <w:webHidden/>
              </w:rPr>
              <w:fldChar w:fldCharType="separate"/>
            </w:r>
            <w:r w:rsidR="00216538">
              <w:rPr>
                <w:noProof/>
                <w:webHidden/>
              </w:rPr>
              <w:t>166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0" w:history="1">
            <w:r w:rsidR="005A6F7F" w:rsidRPr="00AD4DDC">
              <w:rPr>
                <w:rStyle w:val="Hyperlink"/>
                <w:noProof/>
              </w:rPr>
              <w:t>3.3.2</w:t>
            </w:r>
            <w:r w:rsidR="005A6F7F">
              <w:rPr>
                <w:rFonts w:asciiTheme="minorHAnsi" w:eastAsiaTheme="minorEastAsia" w:hAnsiTheme="minorHAnsi" w:cstheme="minorBidi"/>
                <w:noProof/>
                <w:sz w:val="22"/>
                <w:szCs w:val="22"/>
              </w:rPr>
              <w:tab/>
            </w:r>
            <w:r w:rsidR="005A6F7F" w:rsidRPr="00AD4DDC">
              <w:rPr>
                <w:rStyle w:val="Hyperlink"/>
                <w:noProof/>
              </w:rPr>
              <w:t>Verbot von Mischehen</w:t>
            </w:r>
            <w:r w:rsidR="005A6F7F">
              <w:rPr>
                <w:noProof/>
                <w:webHidden/>
              </w:rPr>
              <w:tab/>
            </w:r>
            <w:r>
              <w:rPr>
                <w:noProof/>
                <w:webHidden/>
              </w:rPr>
              <w:fldChar w:fldCharType="begin"/>
            </w:r>
            <w:r w:rsidR="005A6F7F">
              <w:rPr>
                <w:noProof/>
                <w:webHidden/>
              </w:rPr>
              <w:instrText xml:space="preserve"> PAGEREF _Toc327388070 \h </w:instrText>
            </w:r>
            <w:r>
              <w:rPr>
                <w:noProof/>
                <w:webHidden/>
              </w:rPr>
            </w:r>
            <w:r>
              <w:rPr>
                <w:noProof/>
                <w:webHidden/>
              </w:rPr>
              <w:fldChar w:fldCharType="separate"/>
            </w:r>
            <w:r w:rsidR="00216538">
              <w:rPr>
                <w:noProof/>
                <w:webHidden/>
              </w:rPr>
              <w:t>167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1" w:history="1">
            <w:r w:rsidR="005A6F7F" w:rsidRPr="00AD4DDC">
              <w:rPr>
                <w:rStyle w:val="Hyperlink"/>
                <w:noProof/>
              </w:rPr>
              <w:t>3.3.3</w:t>
            </w:r>
            <w:r w:rsidR="005A6F7F">
              <w:rPr>
                <w:rFonts w:asciiTheme="minorHAnsi" w:eastAsiaTheme="minorEastAsia" w:hAnsiTheme="minorHAnsi" w:cstheme="minorBidi"/>
                <w:noProof/>
                <w:sz w:val="22"/>
                <w:szCs w:val="22"/>
              </w:rPr>
              <w:tab/>
            </w:r>
            <w:r w:rsidR="005A6F7F" w:rsidRPr="00AD4DDC">
              <w:rPr>
                <w:rStyle w:val="Hyperlink"/>
                <w:noProof/>
              </w:rPr>
              <w:t>Unterricht auf Deutsch</w:t>
            </w:r>
            <w:r w:rsidR="005A6F7F">
              <w:rPr>
                <w:noProof/>
                <w:webHidden/>
              </w:rPr>
              <w:tab/>
            </w:r>
            <w:r>
              <w:rPr>
                <w:noProof/>
                <w:webHidden/>
              </w:rPr>
              <w:fldChar w:fldCharType="begin"/>
            </w:r>
            <w:r w:rsidR="005A6F7F">
              <w:rPr>
                <w:noProof/>
                <w:webHidden/>
              </w:rPr>
              <w:instrText xml:space="preserve"> PAGEREF _Toc327388071 \h </w:instrText>
            </w:r>
            <w:r>
              <w:rPr>
                <w:noProof/>
                <w:webHidden/>
              </w:rPr>
            </w:r>
            <w:r>
              <w:rPr>
                <w:noProof/>
                <w:webHidden/>
              </w:rPr>
              <w:fldChar w:fldCharType="separate"/>
            </w:r>
            <w:r w:rsidR="00216538">
              <w:rPr>
                <w:noProof/>
                <w:webHidden/>
              </w:rPr>
              <w:t>169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2" w:history="1">
            <w:r w:rsidR="005A6F7F" w:rsidRPr="00AD4DDC">
              <w:rPr>
                <w:rStyle w:val="Hyperlink"/>
                <w:noProof/>
              </w:rPr>
              <w:t>3.3.4</w:t>
            </w:r>
            <w:r w:rsidR="005A6F7F">
              <w:rPr>
                <w:rFonts w:asciiTheme="minorHAnsi" w:eastAsiaTheme="minorEastAsia" w:hAnsiTheme="minorHAnsi" w:cstheme="minorBidi"/>
                <w:noProof/>
                <w:sz w:val="22"/>
                <w:szCs w:val="22"/>
              </w:rPr>
              <w:tab/>
            </w:r>
            <w:r w:rsidR="005A6F7F" w:rsidRPr="00AD4DDC">
              <w:rPr>
                <w:rStyle w:val="Hyperlink"/>
                <w:noProof/>
              </w:rPr>
              <w:t>Paternalismus</w:t>
            </w:r>
            <w:r w:rsidR="005A6F7F">
              <w:rPr>
                <w:noProof/>
                <w:webHidden/>
              </w:rPr>
              <w:tab/>
            </w:r>
            <w:r>
              <w:rPr>
                <w:noProof/>
                <w:webHidden/>
              </w:rPr>
              <w:fldChar w:fldCharType="begin"/>
            </w:r>
            <w:r w:rsidR="005A6F7F">
              <w:rPr>
                <w:noProof/>
                <w:webHidden/>
              </w:rPr>
              <w:instrText xml:space="preserve"> PAGEREF _Toc327388072 \h </w:instrText>
            </w:r>
            <w:r>
              <w:rPr>
                <w:noProof/>
                <w:webHidden/>
              </w:rPr>
            </w:r>
            <w:r>
              <w:rPr>
                <w:noProof/>
                <w:webHidden/>
              </w:rPr>
              <w:fldChar w:fldCharType="separate"/>
            </w:r>
            <w:r w:rsidR="00216538">
              <w:rPr>
                <w:noProof/>
                <w:webHidden/>
              </w:rPr>
              <w:t>169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3" w:history="1">
            <w:r w:rsidR="005A6F7F" w:rsidRPr="00AD4DDC">
              <w:rPr>
                <w:rStyle w:val="Hyperlink"/>
                <w:noProof/>
              </w:rPr>
              <w:t>3.3.5</w:t>
            </w:r>
            <w:r w:rsidR="005A6F7F">
              <w:rPr>
                <w:rFonts w:asciiTheme="minorHAnsi" w:eastAsiaTheme="minorEastAsia" w:hAnsiTheme="minorHAnsi" w:cstheme="minorBidi"/>
                <w:noProof/>
                <w:sz w:val="22"/>
                <w:szCs w:val="22"/>
              </w:rPr>
              <w:tab/>
            </w:r>
            <w:r w:rsidR="005A6F7F" w:rsidRPr="00AD4DDC">
              <w:rPr>
                <w:rStyle w:val="Hyperlink"/>
                <w:noProof/>
              </w:rPr>
              <w:t>Demütigungen</w:t>
            </w:r>
            <w:r w:rsidR="005A6F7F">
              <w:rPr>
                <w:noProof/>
                <w:webHidden/>
              </w:rPr>
              <w:tab/>
            </w:r>
            <w:r>
              <w:rPr>
                <w:noProof/>
                <w:webHidden/>
              </w:rPr>
              <w:fldChar w:fldCharType="begin"/>
            </w:r>
            <w:r w:rsidR="005A6F7F">
              <w:rPr>
                <w:noProof/>
                <w:webHidden/>
              </w:rPr>
              <w:instrText xml:space="preserve"> PAGEREF _Toc327388073 \h </w:instrText>
            </w:r>
            <w:r>
              <w:rPr>
                <w:noProof/>
                <w:webHidden/>
              </w:rPr>
            </w:r>
            <w:r>
              <w:rPr>
                <w:noProof/>
                <w:webHidden/>
              </w:rPr>
              <w:fldChar w:fldCharType="separate"/>
            </w:r>
            <w:r w:rsidR="00216538">
              <w:rPr>
                <w:noProof/>
                <w:webHidden/>
              </w:rPr>
              <w:t>170</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4" w:history="1">
            <w:r w:rsidR="005A6F7F" w:rsidRPr="00AD4DDC">
              <w:rPr>
                <w:rStyle w:val="Hyperlink"/>
                <w:noProof/>
              </w:rPr>
              <w:t>3.3.6</w:t>
            </w:r>
            <w:r w:rsidR="005A6F7F">
              <w:rPr>
                <w:rFonts w:asciiTheme="minorHAnsi" w:eastAsiaTheme="minorEastAsia" w:hAnsiTheme="minorHAnsi" w:cstheme="minorBidi"/>
                <w:noProof/>
                <w:sz w:val="22"/>
                <w:szCs w:val="22"/>
              </w:rPr>
              <w:tab/>
            </w:r>
            <w:r w:rsidR="005A6F7F" w:rsidRPr="00AD4DDC">
              <w:rPr>
                <w:rStyle w:val="Hyperlink"/>
                <w:noProof/>
              </w:rPr>
              <w:t>Die Enteignung</w:t>
            </w:r>
            <w:r w:rsidR="005A6F7F">
              <w:rPr>
                <w:noProof/>
                <w:webHidden/>
              </w:rPr>
              <w:tab/>
            </w:r>
            <w:r>
              <w:rPr>
                <w:noProof/>
                <w:webHidden/>
              </w:rPr>
              <w:fldChar w:fldCharType="begin"/>
            </w:r>
            <w:r w:rsidR="005A6F7F">
              <w:rPr>
                <w:noProof/>
                <w:webHidden/>
              </w:rPr>
              <w:instrText xml:space="preserve"> PAGEREF _Toc327388074 \h </w:instrText>
            </w:r>
            <w:r>
              <w:rPr>
                <w:noProof/>
                <w:webHidden/>
              </w:rPr>
            </w:r>
            <w:r>
              <w:rPr>
                <w:noProof/>
                <w:webHidden/>
              </w:rPr>
              <w:fldChar w:fldCharType="separate"/>
            </w:r>
            <w:r w:rsidR="00216538">
              <w:rPr>
                <w:noProof/>
                <w:webHidden/>
              </w:rPr>
              <w:t>171</w:t>
            </w:r>
            <w:r>
              <w:rPr>
                <w:noProof/>
                <w:webHidden/>
              </w:rPr>
              <w:fldChar w:fldCharType="end"/>
            </w:r>
          </w:hyperlink>
        </w:p>
        <w:p w:rsidR="005A6F7F" w:rsidRDefault="00363C1C">
          <w:pPr>
            <w:pStyle w:val="Verzeichnis2"/>
            <w:rPr>
              <w:rFonts w:asciiTheme="minorHAnsi" w:eastAsiaTheme="minorEastAsia" w:hAnsiTheme="minorHAnsi" w:cstheme="minorBidi"/>
              <w:noProof/>
              <w:sz w:val="22"/>
              <w:szCs w:val="22"/>
            </w:rPr>
          </w:pPr>
          <w:hyperlink w:anchor="_Toc327388075" w:history="1">
            <w:r w:rsidR="005A6F7F" w:rsidRPr="00AD4DDC">
              <w:rPr>
                <w:rStyle w:val="Hyperlink"/>
                <w:noProof/>
              </w:rPr>
              <w:t>3.4</w:t>
            </w:r>
            <w:r w:rsidR="005A6F7F">
              <w:rPr>
                <w:rFonts w:asciiTheme="minorHAnsi" w:eastAsiaTheme="minorEastAsia" w:hAnsiTheme="minorHAnsi" w:cstheme="minorBidi"/>
                <w:noProof/>
                <w:sz w:val="22"/>
                <w:szCs w:val="22"/>
              </w:rPr>
              <w:tab/>
            </w:r>
            <w:r w:rsidR="005A6F7F" w:rsidRPr="00AD4DDC">
              <w:rPr>
                <w:rStyle w:val="Hyperlink"/>
                <w:noProof/>
              </w:rPr>
              <w:t>Kolonisation und Krieg</w:t>
            </w:r>
            <w:r w:rsidR="005A6F7F">
              <w:rPr>
                <w:noProof/>
                <w:webHidden/>
              </w:rPr>
              <w:tab/>
            </w:r>
            <w:r>
              <w:rPr>
                <w:noProof/>
                <w:webHidden/>
              </w:rPr>
              <w:fldChar w:fldCharType="begin"/>
            </w:r>
            <w:r w:rsidR="005A6F7F">
              <w:rPr>
                <w:noProof/>
                <w:webHidden/>
              </w:rPr>
              <w:instrText xml:space="preserve"> PAGEREF _Toc327388075 \h </w:instrText>
            </w:r>
            <w:r>
              <w:rPr>
                <w:noProof/>
                <w:webHidden/>
              </w:rPr>
            </w:r>
            <w:r>
              <w:rPr>
                <w:noProof/>
                <w:webHidden/>
              </w:rPr>
              <w:fldChar w:fldCharType="separate"/>
            </w:r>
            <w:r w:rsidR="00216538">
              <w:rPr>
                <w:noProof/>
                <w:webHidden/>
              </w:rPr>
              <w:t>173</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6" w:history="1">
            <w:r w:rsidR="005A6F7F" w:rsidRPr="00AD4DDC">
              <w:rPr>
                <w:rStyle w:val="Hyperlink"/>
                <w:noProof/>
              </w:rPr>
              <w:t>3.4.1</w:t>
            </w:r>
            <w:r w:rsidR="005A6F7F">
              <w:rPr>
                <w:rFonts w:asciiTheme="minorHAnsi" w:eastAsiaTheme="minorEastAsia" w:hAnsiTheme="minorHAnsi" w:cstheme="minorBidi"/>
                <w:noProof/>
                <w:sz w:val="22"/>
                <w:szCs w:val="22"/>
              </w:rPr>
              <w:tab/>
            </w:r>
            <w:r w:rsidR="005A6F7F" w:rsidRPr="00AD4DDC">
              <w:rPr>
                <w:rStyle w:val="Hyperlink"/>
                <w:noProof/>
              </w:rPr>
              <w:t>Vorüberlegung: Reicht Mitleid aus?</w:t>
            </w:r>
            <w:r w:rsidR="005A6F7F">
              <w:rPr>
                <w:noProof/>
                <w:webHidden/>
              </w:rPr>
              <w:tab/>
            </w:r>
            <w:r>
              <w:rPr>
                <w:noProof/>
                <w:webHidden/>
              </w:rPr>
              <w:fldChar w:fldCharType="begin"/>
            </w:r>
            <w:r w:rsidR="005A6F7F">
              <w:rPr>
                <w:noProof/>
                <w:webHidden/>
              </w:rPr>
              <w:instrText xml:space="preserve"> PAGEREF _Toc327388076 \h </w:instrText>
            </w:r>
            <w:r>
              <w:rPr>
                <w:noProof/>
                <w:webHidden/>
              </w:rPr>
            </w:r>
            <w:r>
              <w:rPr>
                <w:noProof/>
                <w:webHidden/>
              </w:rPr>
              <w:fldChar w:fldCharType="separate"/>
            </w:r>
            <w:r w:rsidR="00216538">
              <w:rPr>
                <w:noProof/>
                <w:webHidden/>
              </w:rPr>
              <w:t>174</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7" w:history="1">
            <w:r w:rsidR="005A6F7F" w:rsidRPr="00AD4DDC">
              <w:rPr>
                <w:rStyle w:val="Hyperlink"/>
                <w:noProof/>
              </w:rPr>
              <w:t>3.4.2</w:t>
            </w:r>
            <w:r w:rsidR="005A6F7F">
              <w:rPr>
                <w:rFonts w:asciiTheme="minorHAnsi" w:eastAsiaTheme="minorEastAsia" w:hAnsiTheme="minorHAnsi" w:cstheme="minorBidi"/>
                <w:noProof/>
                <w:sz w:val="22"/>
                <w:szCs w:val="22"/>
              </w:rPr>
              <w:tab/>
            </w:r>
            <w:r w:rsidR="005A6F7F" w:rsidRPr="00AD4DDC">
              <w:rPr>
                <w:rStyle w:val="Hyperlink"/>
                <w:noProof/>
              </w:rPr>
              <w:t>Horrorgeschichten</w:t>
            </w:r>
            <w:r w:rsidR="005A6F7F">
              <w:rPr>
                <w:noProof/>
                <w:webHidden/>
              </w:rPr>
              <w:tab/>
            </w:r>
            <w:r>
              <w:rPr>
                <w:noProof/>
                <w:webHidden/>
              </w:rPr>
              <w:fldChar w:fldCharType="begin"/>
            </w:r>
            <w:r w:rsidR="005A6F7F">
              <w:rPr>
                <w:noProof/>
                <w:webHidden/>
              </w:rPr>
              <w:instrText xml:space="preserve"> PAGEREF _Toc327388077 \h </w:instrText>
            </w:r>
            <w:r>
              <w:rPr>
                <w:noProof/>
                <w:webHidden/>
              </w:rPr>
            </w:r>
            <w:r>
              <w:rPr>
                <w:noProof/>
                <w:webHidden/>
              </w:rPr>
              <w:fldChar w:fldCharType="separate"/>
            </w:r>
            <w:r w:rsidR="00216538">
              <w:rPr>
                <w:noProof/>
                <w:webHidden/>
              </w:rPr>
              <w:t>176</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8" w:history="1">
            <w:r w:rsidR="005A6F7F" w:rsidRPr="00AD4DDC">
              <w:rPr>
                <w:rStyle w:val="Hyperlink"/>
                <w:noProof/>
              </w:rPr>
              <w:t>3.4.3</w:t>
            </w:r>
            <w:r w:rsidR="005A6F7F">
              <w:rPr>
                <w:rFonts w:asciiTheme="minorHAnsi" w:eastAsiaTheme="minorEastAsia" w:hAnsiTheme="minorHAnsi" w:cstheme="minorBidi"/>
                <w:noProof/>
                <w:sz w:val="22"/>
                <w:szCs w:val="22"/>
              </w:rPr>
              <w:tab/>
            </w:r>
            <w:r w:rsidR="005A6F7F" w:rsidRPr="00AD4DDC">
              <w:rPr>
                <w:rStyle w:val="Hyperlink"/>
                <w:noProof/>
              </w:rPr>
              <w:t>Ein zerstörtes Land</w:t>
            </w:r>
            <w:r w:rsidR="005A6F7F">
              <w:rPr>
                <w:noProof/>
                <w:webHidden/>
              </w:rPr>
              <w:tab/>
            </w:r>
            <w:r>
              <w:rPr>
                <w:noProof/>
                <w:webHidden/>
              </w:rPr>
              <w:fldChar w:fldCharType="begin"/>
            </w:r>
            <w:r w:rsidR="005A6F7F">
              <w:rPr>
                <w:noProof/>
                <w:webHidden/>
              </w:rPr>
              <w:instrText xml:space="preserve"> PAGEREF _Toc327388078 \h </w:instrText>
            </w:r>
            <w:r>
              <w:rPr>
                <w:noProof/>
                <w:webHidden/>
              </w:rPr>
            </w:r>
            <w:r>
              <w:rPr>
                <w:noProof/>
                <w:webHidden/>
              </w:rPr>
              <w:fldChar w:fldCharType="separate"/>
            </w:r>
            <w:r w:rsidR="00216538">
              <w:rPr>
                <w:noProof/>
                <w:webHidden/>
              </w:rPr>
              <w:t>177</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79" w:history="1">
            <w:r w:rsidR="005A6F7F" w:rsidRPr="00AD4DDC">
              <w:rPr>
                <w:rStyle w:val="Hyperlink"/>
                <w:noProof/>
              </w:rPr>
              <w:t>3.4.4</w:t>
            </w:r>
            <w:r w:rsidR="005A6F7F">
              <w:rPr>
                <w:rFonts w:asciiTheme="minorHAnsi" w:eastAsiaTheme="minorEastAsia" w:hAnsiTheme="minorHAnsi" w:cstheme="minorBidi"/>
                <w:noProof/>
                <w:sz w:val="22"/>
                <w:szCs w:val="22"/>
              </w:rPr>
              <w:tab/>
            </w:r>
            <w:r w:rsidR="005A6F7F" w:rsidRPr="00AD4DDC">
              <w:rPr>
                <w:rStyle w:val="Hyperlink"/>
                <w:noProof/>
              </w:rPr>
              <w:t>Medizinische Versorgung</w:t>
            </w:r>
            <w:r w:rsidR="005A6F7F">
              <w:rPr>
                <w:noProof/>
                <w:webHidden/>
              </w:rPr>
              <w:tab/>
            </w:r>
            <w:r>
              <w:rPr>
                <w:noProof/>
                <w:webHidden/>
              </w:rPr>
              <w:fldChar w:fldCharType="begin"/>
            </w:r>
            <w:r w:rsidR="005A6F7F">
              <w:rPr>
                <w:noProof/>
                <w:webHidden/>
              </w:rPr>
              <w:instrText xml:space="preserve"> PAGEREF _Toc327388079 \h </w:instrText>
            </w:r>
            <w:r>
              <w:rPr>
                <w:noProof/>
                <w:webHidden/>
              </w:rPr>
            </w:r>
            <w:r>
              <w:rPr>
                <w:noProof/>
                <w:webHidden/>
              </w:rPr>
              <w:fldChar w:fldCharType="separate"/>
            </w:r>
            <w:r w:rsidR="00216538">
              <w:rPr>
                <w:noProof/>
                <w:webHidden/>
              </w:rPr>
              <w:t>178</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80" w:history="1">
            <w:r w:rsidR="005A6F7F" w:rsidRPr="00AD4DDC">
              <w:rPr>
                <w:rStyle w:val="Hyperlink"/>
                <w:noProof/>
              </w:rPr>
              <w:t>3.4.5</w:t>
            </w:r>
            <w:r w:rsidR="005A6F7F">
              <w:rPr>
                <w:rFonts w:asciiTheme="minorHAnsi" w:eastAsiaTheme="minorEastAsia" w:hAnsiTheme="minorHAnsi" w:cstheme="minorBidi"/>
                <w:noProof/>
                <w:sz w:val="22"/>
                <w:szCs w:val="22"/>
              </w:rPr>
              <w:tab/>
            </w:r>
            <w:r w:rsidR="005A6F7F" w:rsidRPr="00AD4DDC">
              <w:rPr>
                <w:rStyle w:val="Hyperlink"/>
                <w:noProof/>
              </w:rPr>
              <w:t>Die Konzentrationslager</w:t>
            </w:r>
            <w:r w:rsidR="005A6F7F">
              <w:rPr>
                <w:noProof/>
                <w:webHidden/>
              </w:rPr>
              <w:tab/>
            </w:r>
            <w:r>
              <w:rPr>
                <w:noProof/>
                <w:webHidden/>
              </w:rPr>
              <w:fldChar w:fldCharType="begin"/>
            </w:r>
            <w:r w:rsidR="005A6F7F">
              <w:rPr>
                <w:noProof/>
                <w:webHidden/>
              </w:rPr>
              <w:instrText xml:space="preserve"> PAGEREF _Toc327388080 \h </w:instrText>
            </w:r>
            <w:r>
              <w:rPr>
                <w:noProof/>
                <w:webHidden/>
              </w:rPr>
            </w:r>
            <w:r>
              <w:rPr>
                <w:noProof/>
                <w:webHidden/>
              </w:rPr>
              <w:fldChar w:fldCharType="separate"/>
            </w:r>
            <w:r w:rsidR="00216538">
              <w:rPr>
                <w:noProof/>
                <w:webHidden/>
              </w:rPr>
              <w:t>179</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81" w:history="1">
            <w:r w:rsidR="005A6F7F" w:rsidRPr="00AD4DDC">
              <w:rPr>
                <w:rStyle w:val="Hyperlink"/>
                <w:noProof/>
              </w:rPr>
              <w:t>3.4.6</w:t>
            </w:r>
            <w:r w:rsidR="005A6F7F">
              <w:rPr>
                <w:rFonts w:asciiTheme="minorHAnsi" w:eastAsiaTheme="minorEastAsia" w:hAnsiTheme="minorHAnsi" w:cstheme="minorBidi"/>
                <w:noProof/>
                <w:sz w:val="22"/>
                <w:szCs w:val="22"/>
              </w:rPr>
              <w:tab/>
            </w:r>
            <w:r w:rsidR="005A6F7F" w:rsidRPr="00AD4DDC">
              <w:rPr>
                <w:rStyle w:val="Hyperlink"/>
                <w:noProof/>
              </w:rPr>
              <w:t>Militärische Phantasien</w:t>
            </w:r>
            <w:r w:rsidR="005A6F7F">
              <w:rPr>
                <w:noProof/>
                <w:webHidden/>
              </w:rPr>
              <w:tab/>
            </w:r>
            <w:r>
              <w:rPr>
                <w:noProof/>
                <w:webHidden/>
              </w:rPr>
              <w:fldChar w:fldCharType="begin"/>
            </w:r>
            <w:r w:rsidR="005A6F7F">
              <w:rPr>
                <w:noProof/>
                <w:webHidden/>
              </w:rPr>
              <w:instrText xml:space="preserve"> PAGEREF _Toc327388081 \h </w:instrText>
            </w:r>
            <w:r>
              <w:rPr>
                <w:noProof/>
                <w:webHidden/>
              </w:rPr>
            </w:r>
            <w:r>
              <w:rPr>
                <w:noProof/>
                <w:webHidden/>
              </w:rPr>
              <w:fldChar w:fldCharType="separate"/>
            </w:r>
            <w:r w:rsidR="00216538">
              <w:rPr>
                <w:noProof/>
                <w:webHidden/>
              </w:rPr>
              <w:t>182</w:t>
            </w:r>
            <w:r>
              <w:rPr>
                <w:noProof/>
                <w:webHidden/>
              </w:rPr>
              <w:fldChar w:fldCharType="end"/>
            </w:r>
          </w:hyperlink>
        </w:p>
        <w:p w:rsidR="005A6F7F" w:rsidRDefault="00363C1C">
          <w:pPr>
            <w:pStyle w:val="Verzeichnis3"/>
            <w:rPr>
              <w:rFonts w:asciiTheme="minorHAnsi" w:eastAsiaTheme="minorEastAsia" w:hAnsiTheme="minorHAnsi" w:cstheme="minorBidi"/>
              <w:noProof/>
              <w:sz w:val="22"/>
              <w:szCs w:val="22"/>
            </w:rPr>
          </w:pPr>
          <w:hyperlink w:anchor="_Toc327388082" w:history="1">
            <w:r w:rsidR="005A6F7F" w:rsidRPr="00AD4DDC">
              <w:rPr>
                <w:rStyle w:val="Hyperlink"/>
                <w:noProof/>
                <w:lang w:val="en-GB"/>
              </w:rPr>
              <w:t>3.4.7</w:t>
            </w:r>
            <w:r w:rsidR="005A6F7F">
              <w:rPr>
                <w:rFonts w:asciiTheme="minorHAnsi" w:eastAsiaTheme="minorEastAsia" w:hAnsiTheme="minorHAnsi" w:cstheme="minorBidi"/>
                <w:noProof/>
                <w:sz w:val="22"/>
                <w:szCs w:val="22"/>
              </w:rPr>
              <w:tab/>
            </w:r>
            <w:r w:rsidR="005A6F7F" w:rsidRPr="00AD4DDC">
              <w:rPr>
                <w:rStyle w:val="Hyperlink"/>
                <w:noProof/>
                <w:lang w:val="en-GB"/>
              </w:rPr>
              <w:t>Ins koloniale ‚Heart of Darkness‘</w:t>
            </w:r>
            <w:r w:rsidR="005A6F7F">
              <w:rPr>
                <w:noProof/>
                <w:webHidden/>
              </w:rPr>
              <w:tab/>
            </w:r>
            <w:r>
              <w:rPr>
                <w:noProof/>
                <w:webHidden/>
              </w:rPr>
              <w:fldChar w:fldCharType="begin"/>
            </w:r>
            <w:r w:rsidR="005A6F7F">
              <w:rPr>
                <w:noProof/>
                <w:webHidden/>
              </w:rPr>
              <w:instrText xml:space="preserve"> PAGEREF _Toc327388082 \h </w:instrText>
            </w:r>
            <w:r>
              <w:rPr>
                <w:noProof/>
                <w:webHidden/>
              </w:rPr>
            </w:r>
            <w:r>
              <w:rPr>
                <w:noProof/>
                <w:webHidden/>
              </w:rPr>
              <w:fldChar w:fldCharType="separate"/>
            </w:r>
            <w:r w:rsidR="00216538">
              <w:rPr>
                <w:noProof/>
                <w:webHidden/>
              </w:rPr>
              <w:t>184</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8083" w:history="1">
            <w:r w:rsidR="005A6F7F" w:rsidRPr="00AD4DDC">
              <w:rPr>
                <w:rStyle w:val="Hyperlink"/>
                <w:noProof/>
              </w:rPr>
              <w:t>Fazit</w:t>
            </w:r>
            <w:r w:rsidR="005A6F7F">
              <w:rPr>
                <w:noProof/>
                <w:webHidden/>
              </w:rPr>
              <w:tab/>
            </w:r>
            <w:r>
              <w:rPr>
                <w:noProof/>
                <w:webHidden/>
              </w:rPr>
              <w:fldChar w:fldCharType="begin"/>
            </w:r>
            <w:r w:rsidR="005A6F7F">
              <w:rPr>
                <w:noProof/>
                <w:webHidden/>
              </w:rPr>
              <w:instrText xml:space="preserve"> PAGEREF _Toc327388083 \h </w:instrText>
            </w:r>
            <w:r>
              <w:rPr>
                <w:noProof/>
                <w:webHidden/>
              </w:rPr>
            </w:r>
            <w:r>
              <w:rPr>
                <w:noProof/>
                <w:webHidden/>
              </w:rPr>
              <w:fldChar w:fldCharType="separate"/>
            </w:r>
            <w:r w:rsidR="00216538">
              <w:rPr>
                <w:noProof/>
                <w:webHidden/>
              </w:rPr>
              <w:t>186</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8084" w:history="1">
            <w:r w:rsidR="005A6F7F" w:rsidRPr="00AD4DDC">
              <w:rPr>
                <w:rStyle w:val="Hyperlink"/>
                <w:noProof/>
                <w:lang w:val="en-GB"/>
              </w:rPr>
              <w:t>Literatur</w:t>
            </w:r>
            <w:r w:rsidR="005A6F7F">
              <w:rPr>
                <w:noProof/>
                <w:webHidden/>
              </w:rPr>
              <w:tab/>
            </w:r>
            <w:r>
              <w:rPr>
                <w:noProof/>
                <w:webHidden/>
              </w:rPr>
              <w:fldChar w:fldCharType="begin"/>
            </w:r>
            <w:r w:rsidR="005A6F7F">
              <w:rPr>
                <w:noProof/>
                <w:webHidden/>
              </w:rPr>
              <w:instrText xml:space="preserve"> PAGEREF _Toc327388084 \h </w:instrText>
            </w:r>
            <w:r>
              <w:rPr>
                <w:noProof/>
                <w:webHidden/>
              </w:rPr>
            </w:r>
            <w:r>
              <w:rPr>
                <w:noProof/>
                <w:webHidden/>
              </w:rPr>
              <w:fldChar w:fldCharType="separate"/>
            </w:r>
            <w:r w:rsidR="00216538">
              <w:rPr>
                <w:noProof/>
                <w:webHidden/>
              </w:rPr>
              <w:t>190</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8085" w:history="1">
            <w:r w:rsidR="005A6F7F" w:rsidRPr="00AD4DDC">
              <w:rPr>
                <w:rStyle w:val="Hyperlink"/>
                <w:noProof/>
              </w:rPr>
              <w:t>Abbildungen</w:t>
            </w:r>
            <w:r w:rsidR="005A6F7F">
              <w:rPr>
                <w:noProof/>
                <w:webHidden/>
              </w:rPr>
              <w:tab/>
            </w:r>
            <w:r>
              <w:rPr>
                <w:noProof/>
                <w:webHidden/>
              </w:rPr>
              <w:fldChar w:fldCharType="begin"/>
            </w:r>
            <w:r w:rsidR="005A6F7F">
              <w:rPr>
                <w:noProof/>
                <w:webHidden/>
              </w:rPr>
              <w:instrText xml:space="preserve"> PAGEREF _Toc327388085 \h </w:instrText>
            </w:r>
            <w:r>
              <w:rPr>
                <w:noProof/>
                <w:webHidden/>
              </w:rPr>
            </w:r>
            <w:r>
              <w:rPr>
                <w:noProof/>
                <w:webHidden/>
              </w:rPr>
              <w:fldChar w:fldCharType="separate"/>
            </w:r>
            <w:r w:rsidR="00216538">
              <w:rPr>
                <w:noProof/>
                <w:webHidden/>
              </w:rPr>
              <w:t>195</w:t>
            </w:r>
            <w:r>
              <w:rPr>
                <w:noProof/>
                <w:webHidden/>
              </w:rPr>
              <w:fldChar w:fldCharType="end"/>
            </w:r>
          </w:hyperlink>
        </w:p>
        <w:p w:rsidR="005A6F7F" w:rsidRDefault="00363C1C">
          <w:pPr>
            <w:pStyle w:val="Verzeichnis1"/>
            <w:rPr>
              <w:rFonts w:asciiTheme="minorHAnsi" w:eastAsiaTheme="minorEastAsia" w:hAnsiTheme="minorHAnsi" w:cstheme="minorBidi"/>
              <w:noProof/>
              <w:szCs w:val="22"/>
            </w:rPr>
          </w:pPr>
          <w:hyperlink w:anchor="_Toc327388086" w:history="1">
            <w:r w:rsidR="005A6F7F" w:rsidRPr="00AD4DDC">
              <w:rPr>
                <w:rStyle w:val="Hyperlink"/>
                <w:noProof/>
              </w:rPr>
              <w:t>Index</w:t>
            </w:r>
            <w:r w:rsidR="005A6F7F">
              <w:rPr>
                <w:noProof/>
                <w:webHidden/>
              </w:rPr>
              <w:tab/>
            </w:r>
            <w:r>
              <w:rPr>
                <w:noProof/>
                <w:webHidden/>
              </w:rPr>
              <w:fldChar w:fldCharType="begin"/>
            </w:r>
            <w:r w:rsidR="005A6F7F">
              <w:rPr>
                <w:noProof/>
                <w:webHidden/>
              </w:rPr>
              <w:instrText xml:space="preserve"> PAGEREF _Toc327388086 \h </w:instrText>
            </w:r>
            <w:r>
              <w:rPr>
                <w:noProof/>
                <w:webHidden/>
              </w:rPr>
            </w:r>
            <w:r>
              <w:rPr>
                <w:noProof/>
                <w:webHidden/>
              </w:rPr>
              <w:fldChar w:fldCharType="separate"/>
            </w:r>
            <w:r w:rsidR="00216538">
              <w:rPr>
                <w:noProof/>
                <w:webHidden/>
              </w:rPr>
              <w:t>196</w:t>
            </w:r>
            <w:r>
              <w:rPr>
                <w:noProof/>
                <w:webHidden/>
              </w:rPr>
              <w:fldChar w:fldCharType="end"/>
            </w:r>
          </w:hyperlink>
        </w:p>
        <w:p w:rsidR="00B82749" w:rsidRDefault="00363C1C" w:rsidP="002E13B3">
          <w:pPr>
            <w:pStyle w:val="Verzeichnis1"/>
            <w:sectPr w:rsidR="00B82749" w:rsidSect="00E42F2F">
              <w:headerReference w:type="even" r:id="rId8"/>
              <w:headerReference w:type="default" r:id="rId9"/>
              <w:headerReference w:type="first" r:id="rId10"/>
              <w:type w:val="continuous"/>
              <w:pgSz w:w="8789" w:h="13325" w:code="9"/>
              <w:pgMar w:top="1134" w:right="851" w:bottom="1418" w:left="1134" w:header="567" w:footer="680" w:gutter="0"/>
              <w:cols w:space="720"/>
              <w:titlePg/>
              <w:docGrid w:linePitch="360"/>
            </w:sectPr>
          </w:pPr>
          <w:r>
            <w:fldChar w:fldCharType="end"/>
          </w:r>
        </w:p>
      </w:sdtContent>
    </w:sdt>
    <w:p w:rsidR="00CF6655" w:rsidRDefault="00CF6655" w:rsidP="00CF6655">
      <w:pPr>
        <w:pStyle w:val="TitelohneNummer"/>
      </w:pPr>
      <w:bookmarkStart w:id="3" w:name="_Toc130181089"/>
      <w:bookmarkStart w:id="4" w:name="_Toc130260647"/>
      <w:bookmarkStart w:id="5" w:name="_Toc327387947"/>
      <w:bookmarkStart w:id="6" w:name="_Toc122313607"/>
      <w:bookmarkStart w:id="7" w:name="_Toc122313695"/>
      <w:r>
        <w:lastRenderedPageBreak/>
        <w:t>Einleitung</w:t>
      </w:r>
      <w:bookmarkEnd w:id="3"/>
      <w:bookmarkEnd w:id="4"/>
      <w:bookmarkEnd w:id="5"/>
    </w:p>
    <w:p w:rsidR="00CF6655" w:rsidRDefault="00CF6655" w:rsidP="00CF6655">
      <w:pPr>
        <w:pStyle w:val="Text"/>
        <w:ind w:firstLine="0"/>
      </w:pPr>
      <w:r>
        <w:t>In den Jahren 1905–1907 unternahm Johannes Spiecker, der damalige Mission</w:t>
      </w:r>
      <w:r>
        <w:t>s</w:t>
      </w:r>
      <w:r>
        <w:t>inspektor für Afrika der Rheinischen Missionsgesellschaft (RMG), eine Reise nach Deutsch-Südwestafrika (heute Namibia). Er hatte die Aufgabe, die einze</w:t>
      </w:r>
      <w:r>
        <w:t>l</w:t>
      </w:r>
      <w:r>
        <w:t>nen Missionsstationen zu besuchen und zu überprüfen; da zu diesem Zeitpunkt jeder Brief von und nach Südwestafrika monatelang per Schiff unterwegs war, konnte eine effektive Kontrolle von Deutschland aus kaum ausgeübt werden, insbesondere die kurzfristigen Entscheidungen mussten vor Ort getroffen we</w:t>
      </w:r>
      <w:r>
        <w:t>r</w:t>
      </w:r>
      <w:r>
        <w:t>den. Zugleich behielt sich jedoch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der Rheinischen Mission, die ihren Sitz in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hatte, wichtige Entscheidungen selbst vor; durch die Zei</w:t>
      </w:r>
      <w:r>
        <w:t>t</w:t>
      </w:r>
      <w:r>
        <w:t>verzögerung gingen diese oft an der Lage vorbei, was zu Frustration bei den Mi</w:t>
      </w:r>
      <w:r>
        <w:t>s</w:t>
      </w:r>
      <w:r>
        <w:t>sionaren führte. Die von der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beschlossene Inspektionsreise Spieckers, der bereits im Jahre 1903 in Afrika visitiert hatte, sollte dem abhelfen; sie </w:t>
      </w:r>
      <w:r w:rsidR="00DE30FF">
        <w:t xml:space="preserve">umfasste </w:t>
      </w:r>
      <w:r>
        <w:t>auch einen Abstecher zu den Stationen der RMG in der britischen Kapkolonie.</w:t>
      </w:r>
    </w:p>
    <w:p w:rsidR="00CF6655" w:rsidRDefault="00CF6655" w:rsidP="00CF6655">
      <w:pPr>
        <w:pStyle w:val="Text"/>
      </w:pPr>
      <w:proofErr w:type="gramStart"/>
      <w:r>
        <w:t>Zur Zeit</w:t>
      </w:r>
      <w:proofErr w:type="gramEnd"/>
      <w:r>
        <w:t xml:space="preserve"> von Spieckers Reise fand in Südwestafrika der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der Her</w:t>
      </w:r>
      <w:r>
        <w:t>e</w:t>
      </w:r>
      <w:r>
        <w:t>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gegen die deutsche Besatzung statt.</w:t>
      </w:r>
      <w:r>
        <w:rPr>
          <w:rStyle w:val="Funotenzeichen"/>
        </w:rPr>
        <w:footnoteReference w:id="1"/>
      </w:r>
      <w:r>
        <w:t xml:space="preserve"> Gerade in dieser Zeit wurde die Mission, die im Prozess der Kolonialisierung bereits eine erhebliche Rolle g</w:t>
      </w:r>
      <w:r>
        <w:t>e</w:t>
      </w:r>
      <w:r>
        <w:t>spielt hatte, zu einer wichtigen politischen Kraft in Deutsch-Südwestafrika. Au</w:t>
      </w:r>
      <w:r>
        <w:t>f</w:t>
      </w:r>
      <w:r>
        <w:t>grund ihrer in jahrzehntelangem Zusammenleben erworbenen Vertrauensbasis konnte sie zahlreiche Aufständische zur Aufgabe bewegen. Sie beeinflusste d</w:t>
      </w:r>
      <w:r>
        <w:t>a</w:t>
      </w:r>
      <w:r>
        <w:t>durch den Ausgang der beiden Kriege, die für die Deutschen bei eher geringen Verlusten an Menschen finanziell kaum zu bewältigen waren,</w:t>
      </w:r>
      <w:r>
        <w:rPr>
          <w:rStyle w:val="Funotenzeichen"/>
        </w:rPr>
        <w:footnoteReference w:id="2"/>
      </w:r>
      <w:r>
        <w:t xml:space="preserve"> nachhaltig.</w:t>
      </w:r>
    </w:p>
    <w:p w:rsidR="00CF6655" w:rsidRDefault="00CF6655" w:rsidP="00CF6655">
      <w:pPr>
        <w:pStyle w:val="Text"/>
      </w:pPr>
      <w:r>
        <w:t>Wenn also der zeitgeschichtliche Hintergrund auch das besondere Interesse für dieses Tagebuch rechtfertigt, ist die vorliegende Arbeit dennoch literaturwi</w:t>
      </w:r>
      <w:r>
        <w:t>s</w:t>
      </w:r>
      <w:r>
        <w:t xml:space="preserve">senschaftlich ausgerichtet; sie versteht das Tagebuch nicht primär als historische Quelle. Ein Historiker würde die Arbeit vor allem unter dem Aspekt betrachten, an welcher Stelle sie dem in der Forschung bisher bekannten Bild noch etwas </w:t>
      </w:r>
      <w:r>
        <w:lastRenderedPageBreak/>
        <w:t>hinzufügt, es korrigiert oder eine alternative Version bekannter Ereignisse zeichnet. Diese Perspektive wäre zweifellos interessant; sie würde hier jedoch dazu führen, dass nicht mehr das Tagebuch im Vordergrund steht, sondern eben die historische Situation (bzw. das Bild, welches die Geschichtswissenschaft d</w:t>
      </w:r>
      <w:r>
        <w:t>a</w:t>
      </w:r>
      <w:r>
        <w:t>von zeichnet).</w:t>
      </w:r>
    </w:p>
    <w:p w:rsidR="00CF6655" w:rsidRDefault="00CF6655" w:rsidP="00CF6655">
      <w:pPr>
        <w:pStyle w:val="Text"/>
      </w:pPr>
      <w:r>
        <w:t>Zugleich ist jedoch klar, dass Spieckers Bericht keine Literatur – im Sinne eines sprachlichen Kunstwerks – sein will; so sind sprachliche und stilistische Fragen hier von zweitrangiger Bedeutung, weil sie kein bewusst eingesetztes Mittel der Darstellung sind. Daher werden neben Fragen der Gattungszuor</w:t>
      </w:r>
      <w:r>
        <w:t>d</w:t>
      </w:r>
      <w:r>
        <w:t>nung (vgl. Abschnitt</w:t>
      </w:r>
      <w:r w:rsidR="00B96944">
        <w:t xml:space="preserve"> </w:t>
      </w:r>
      <w:r w:rsidR="00363C1C">
        <w:fldChar w:fldCharType="begin"/>
      </w:r>
      <w:r w:rsidR="00B96944">
        <w:instrText xml:space="preserve"> REF _Ref325354146 \r \h </w:instrText>
      </w:r>
      <w:r w:rsidR="00363C1C">
        <w:fldChar w:fldCharType="separate"/>
      </w:r>
      <w:r w:rsidR="00216538">
        <w:t>1.3</w:t>
      </w:r>
      <w:r w:rsidR="00363C1C">
        <w:fldChar w:fldCharType="end"/>
      </w:r>
      <w:r>
        <w:t>) die geschilderten Inhalte ausführlich ausgewertet we</w:t>
      </w:r>
      <w:r>
        <w:t>r</w:t>
      </w:r>
      <w:r>
        <w:t>den. Die vorgenommene Textanalyse ist also vor allem inhaltsbezogen – auch wenn Darstellungsweisen, Formulierungen und die Wahl der sprachlichen Mittel gelegentlich in den Blick geraten werden. Das Tagebuch soll in seiner Eigenart, als ein vor allen Dingen sachlich berichtender Text, ernst genommen werden.</w:t>
      </w:r>
    </w:p>
    <w:p w:rsidR="00CF6655" w:rsidRDefault="00CF6655" w:rsidP="00CF6655">
      <w:pPr>
        <w:pStyle w:val="Text"/>
      </w:pPr>
      <w:r>
        <w:t>Dabei geht es jedoch weniger darum, was passiert ist oder sein könnte, als darum, wie Spiecker es verstanden und dargestellt hat; nicht die historischen Tatsachen sollen im Vordergrund stehen, sondern die eigenartige und einzigart</w:t>
      </w:r>
      <w:r>
        <w:t>i</w:t>
      </w:r>
      <w:r>
        <w:t>ge Wirklichkeit eines Einzeltextes in den Blick genommen werden. Dabei ist g</w:t>
      </w:r>
      <w:r>
        <w:t>e</w:t>
      </w:r>
      <w:r>
        <w:t>rade die Länge des Textes und die Breite der – oft mehrmals nur im Vorüberg</w:t>
      </w:r>
      <w:r>
        <w:t>e</w:t>
      </w:r>
      <w:r>
        <w:t>hen – berührten Themengebiete relevant, weil sie, zusammengenommen, ein G</w:t>
      </w:r>
      <w:r>
        <w:t>e</w:t>
      </w:r>
      <w:r>
        <w:t>samtbild ergeben: Nicht ‚was wirklich geschah‘, noch nicht einmal wie Spiecker es ‚wirklich sah‘ (oder zu sehen glaubte) können wir wissen; wir haben nur die Realität eines Texts.</w:t>
      </w:r>
    </w:p>
    <w:p w:rsidR="00CF6655" w:rsidRDefault="00CF6655" w:rsidP="00CF6655">
      <w:pPr>
        <w:pStyle w:val="Text"/>
      </w:pPr>
      <w:r>
        <w:t>Die Theorie des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hat in den letzten Jahrzehnten darauf hingewiesen, dass für das Verständnis von Texten, die in kolonialen Zusamme</w:t>
      </w:r>
      <w:r>
        <w:t>n</w:t>
      </w:r>
      <w:r>
        <w:t>hängen entstanden sind, eine Analyse der kolonialen Mentalität Voraussetzung ist, wenn man nicht in die Falle einer dubiosen Schein-Objektivität tappen will. Damit liefert sie zum ersten Mal eine radikale Kritik des imperialistischen, post- und neokolonialen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dessen Spuren im Denken der kolonisierenden ebenso wie der kolonisierten Länder bis heute allgegenwärtig sind. Gerade bei der Rezeption deutscher Literatur zum Thema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erstaunt die ep</w:t>
      </w:r>
      <w:r>
        <w:t>i</w:t>
      </w:r>
      <w:r>
        <w:t>stemologische und interpretatorische Naivität, mit der man an die „historische Wahrheit“ glaubt, die zu erfassen man sich fraglos zutraut – ohne die eigene P</w:t>
      </w:r>
      <w:r>
        <w:t>o</w:t>
      </w:r>
      <w:r>
        <w:t>sition als Teil der durch den Kolonialismus bis heute in ihren Grundstrukturen determinierten Welt für relevant zu halten. Zugleich glaubt man, aufgrund der eigenen Objektivität auf eine Analyse des kolonialen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verzichten zu können und hält die bisherige Forschungsliteratur, sofern nicht gerade auffällig parteiisch, in dieser Hinsicht für harmlos. Ungewollt schreibt man damit die G</w:t>
      </w:r>
      <w:r>
        <w:t>e</w:t>
      </w:r>
      <w:r>
        <w:t>schichte des Kolonialismus als Teil des kolonialen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weiter fort – doch in anderem Sinn als man wollte: Anstatt Kolonialgeschichte</w:t>
      </w:r>
      <w:r w:rsidR="00363C1C">
        <w:fldChar w:fldCharType="begin"/>
      </w:r>
      <w:r w:rsidR="003264BA">
        <w:instrText xml:space="preserve"> XE "</w:instrText>
      </w:r>
      <w:r w:rsidR="003264BA" w:rsidRPr="009F1046">
        <w:instrText>Kolonialgeschichte</w:instrText>
      </w:r>
      <w:r w:rsidR="003264BA">
        <w:instrText xml:space="preserve">" </w:instrText>
      </w:r>
      <w:r w:rsidR="00363C1C">
        <w:fldChar w:fldCharType="end"/>
      </w:r>
      <w:r>
        <w:t xml:space="preserve"> objektiv ‚aufz</w:t>
      </w:r>
      <w:r>
        <w:t>u</w:t>
      </w:r>
      <w:r>
        <w:t>schreiben‘, schreibt man sich selbst durch die Bestätigung des kolonialen Di</w:t>
      </w:r>
      <w:r>
        <w:t>s</w:t>
      </w:r>
      <w:r>
        <w:t>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 in abgeschwächter Form natürlich, und immer mit den besten Absic</w:t>
      </w:r>
      <w:r>
        <w:t>h</w:t>
      </w:r>
      <w:r>
        <w:t>ten! – in diese ein.</w:t>
      </w:r>
    </w:p>
    <w:p w:rsidR="00CF6655" w:rsidRDefault="00CF6655" w:rsidP="00CF6655">
      <w:pPr>
        <w:pStyle w:val="Text"/>
      </w:pPr>
      <w:r>
        <w:lastRenderedPageBreak/>
        <w:t>Obwohl die Auswertung im Folgenden weitgehend nach thematischen G</w:t>
      </w:r>
      <w:r>
        <w:t>e</w:t>
      </w:r>
      <w:r>
        <w:t>sichtspunkten geschieht, sollte nicht der Eindruck entstehen, dass das Tagebuch eine solche Gliederung nahe legen würde. Selbst ganze Absätze zu einzelnen Themen sind selten; fast immer muss man sich diese aus kurzen Passagen z</w:t>
      </w:r>
      <w:r>
        <w:t>u</w:t>
      </w:r>
      <w:r>
        <w:t xml:space="preserve">sammensuchen. Eine thematische Auswertung ist deshalb wichtig, um den Inhalt des Tagebuchs angemessen würdigen zu können. Zugleich ist sie jedoch sehr weit von der unmittelbaren Leseerfahrung entfernt (vgl. Abschnitt </w:t>
      </w:r>
      <w:r w:rsidR="00363C1C">
        <w:fldChar w:fldCharType="begin"/>
      </w:r>
      <w:r w:rsidR="00B96944">
        <w:instrText xml:space="preserve"> REF _Ref325354168 \r \h </w:instrText>
      </w:r>
      <w:r w:rsidR="00363C1C">
        <w:fldChar w:fldCharType="separate"/>
      </w:r>
      <w:r w:rsidR="00216538">
        <w:t>1.3.4</w:t>
      </w:r>
      <w:r w:rsidR="00363C1C">
        <w:fldChar w:fldCharType="end"/>
      </w:r>
      <w:r>
        <w:t xml:space="preserve"> „Die Erzählstruktur“).</w:t>
      </w:r>
    </w:p>
    <w:p w:rsidR="00CF6655" w:rsidRDefault="00CF6655" w:rsidP="00CF6655">
      <w:pPr>
        <w:pStyle w:val="Text"/>
      </w:pPr>
      <w:r>
        <w:t>Wo es nötig erscheint, wird der historische Hintergrund stärker eing</w:t>
      </w:r>
      <w:r>
        <w:t>e</w:t>
      </w:r>
      <w:r>
        <w:t>bracht, doch kann dies immer nur punktuell geschehen. Verweise auf die ei</w:t>
      </w:r>
      <w:r>
        <w:t>n</w:t>
      </w:r>
      <w:r>
        <w:t>schlägige Literatur sollen Interessierten helfen, einen Weg in die zahlreichen Thematiken hineinzufinden (insbesondere die Bereiche „Missionsgeschichte“; „Geschichte Südwestafrikas und des deutschen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„allgemeine Kolonialismusforschung“ sowie die literatur- bzw. kulturwissenschaftlichen Fo</w:t>
      </w:r>
      <w:r>
        <w:t>r</w:t>
      </w:r>
      <w:r>
        <w:t>schungskomplexe „Reisetagebücher“ und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w:t>
      </w:r>
    </w:p>
    <w:p w:rsidR="00CF6655" w:rsidRDefault="00CF6655" w:rsidP="00CF6655">
      <w:pPr>
        <w:pStyle w:val="Text"/>
      </w:pPr>
      <w:r>
        <w:t>Zitate aus dem Tagebuch werden mit einfacher Seitenangabe in Klammern versehen, die im Haupttext eingefügt wird. Zitate aus anderen Werken werden dagegen in den Fußnoten ausgewiesen. Auf Bezeichnung von Fehlern durch [sic] wird in der Regel verzichtet. Bei einem Tagebuch kommt es immer wieder dazu; auch durch die Abschrift meiner Großmutter Elisabeth Siefkes</w:t>
      </w:r>
      <w:r w:rsidR="00363C1C">
        <w:fldChar w:fldCharType="begin"/>
      </w:r>
      <w:r w:rsidR="00D20257">
        <w:instrText xml:space="preserve"> XE "</w:instrText>
      </w:r>
      <w:r w:rsidR="00D20257" w:rsidRPr="008B0A8B">
        <w:instrText>Siefkes, Elisabeth geb. Spiecker</w:instrText>
      </w:r>
      <w:r w:rsidR="00D20257">
        <w:instrText xml:space="preserve">" </w:instrText>
      </w:r>
      <w:r w:rsidR="00363C1C">
        <w:fldChar w:fldCharType="end"/>
      </w:r>
      <w:r w:rsidR="00363C1C" w:rsidRPr="00D20257">
        <w:fldChar w:fldCharType="begin"/>
      </w:r>
      <w:r w:rsidR="00D20257" w:rsidRPr="00D20257">
        <w:instrText xml:space="preserve"> XE "Spiecker, Elisabeth" \t "</w:instrText>
      </w:r>
      <w:r w:rsidR="00D20257" w:rsidRPr="00D20257">
        <w:rPr>
          <w:rFonts w:cstheme="minorHAnsi"/>
          <w:i/>
        </w:rPr>
        <w:instrText>siehe</w:instrText>
      </w:r>
      <w:r w:rsidR="00D20257" w:rsidRPr="00D20257">
        <w:rPr>
          <w:rFonts w:cstheme="minorHAnsi"/>
        </w:rPr>
        <w:instrText xml:space="preserve"> Siefkes, Elisabeth</w:instrText>
      </w:r>
      <w:r w:rsidR="00D20257" w:rsidRPr="00D20257">
        <w:instrText xml:space="preserve">" </w:instrText>
      </w:r>
      <w:r w:rsidR="00363C1C" w:rsidRPr="00D20257">
        <w:fldChar w:fldCharType="end"/>
      </w:r>
      <w:r w:rsidRPr="00D20257">
        <w:t xml:space="preserve"> </w:t>
      </w:r>
      <w:r>
        <w:t>geb. Spi</w:t>
      </w:r>
      <w:r>
        <w:t>e</w:t>
      </w:r>
      <w:r>
        <w:t>cker, die aus Gründen der Lesbarkeit hauptsächlich konsultiert wurde, dürften sich zusätzliche Fehler eingeschlichen haben.</w:t>
      </w:r>
      <w:r>
        <w:rPr>
          <w:rStyle w:val="Funotenzeichen"/>
        </w:rPr>
        <w:footnoteReference w:id="3"/>
      </w:r>
      <w:r>
        <w:t xml:space="preserve"> In der Regel wird stillschweigend korrigiert. Eine bisweilen auftretende ungrammatische Satzkonstruktion wird respektiert.</w:t>
      </w:r>
    </w:p>
    <w:p w:rsidR="00CF6655" w:rsidRDefault="00CF6655" w:rsidP="00CF6655">
      <w:pPr>
        <w:pStyle w:val="Text"/>
      </w:pPr>
      <w:r>
        <w:t xml:space="preserve">Das Tagebuch ist </w:t>
      </w:r>
      <w:r w:rsidR="00333820">
        <w:t xml:space="preserve">in gekürzter </w:t>
      </w:r>
      <w:r w:rsidR="001E0650">
        <w:t xml:space="preserve">Fassung </w:t>
      </w:r>
      <w:r w:rsidR="00333820">
        <w:t>2012</w:t>
      </w:r>
      <w:r w:rsidR="00667C01">
        <w:t xml:space="preserve"> erschienen (Spiecker 2012)</w:t>
      </w:r>
      <w:r w:rsidR="00867D17">
        <w:t>, wobei ich als Herausgeber mitgewirkt und ein Vorwort geschrieben habe</w:t>
      </w:r>
      <w:r w:rsidR="00667C01">
        <w:t xml:space="preserve">. </w:t>
      </w:r>
      <w:r w:rsidR="001E0650">
        <w:t xml:space="preserve">Ein </w:t>
      </w:r>
      <w:r w:rsidR="006A4DF2">
        <w:t>vollständige</w:t>
      </w:r>
      <w:r w:rsidR="004C0A35">
        <w:t>s</w:t>
      </w:r>
      <w:r w:rsidR="006A4DF2">
        <w:t xml:space="preserve"> Typoskript</w:t>
      </w:r>
      <w:r w:rsidR="008451E3">
        <w:t xml:space="preserve"> in zwei Bänden</w:t>
      </w:r>
      <w:r w:rsidR="004C0A35">
        <w:t>, das nach dem Manuskript angefertigt wurde,</w:t>
      </w:r>
      <w:r w:rsidR="006A4DF2">
        <w:t xml:space="preserve"> befindet sich im </w:t>
      </w:r>
      <w:r w:rsidR="001E0650">
        <w:t>A</w:t>
      </w:r>
      <w:r w:rsidR="006A4DF2">
        <w:t>rchiv der VEM in Wuppertal</w:t>
      </w:r>
      <w:r w:rsidR="001E0650">
        <w:t>,</w:t>
      </w:r>
      <w:r w:rsidR="006074FF">
        <w:t xml:space="preserve"> wo es </w:t>
      </w:r>
      <w:r w:rsidR="001E0650">
        <w:t>für Forschung</w:t>
      </w:r>
      <w:r w:rsidR="001E0650">
        <w:t>s</w:t>
      </w:r>
      <w:r w:rsidR="001E0650">
        <w:t>zwecke zugänglich ist.</w:t>
      </w:r>
      <w:r>
        <w:rPr>
          <w:rStyle w:val="Funotenzeichen"/>
        </w:rPr>
        <w:footnoteReference w:id="4"/>
      </w:r>
      <w:r>
        <w:t xml:space="preserve"> </w:t>
      </w:r>
      <w:r w:rsidR="001E0650">
        <w:t xml:space="preserve">Zwei weitere Exemplare </w:t>
      </w:r>
      <w:r w:rsidR="00DE0FE8">
        <w:t xml:space="preserve">des </w:t>
      </w:r>
      <w:r w:rsidR="004C0A35">
        <w:t xml:space="preserve">Typoskripts </w:t>
      </w:r>
      <w:r w:rsidR="009C30D7">
        <w:t xml:space="preserve">sind </w:t>
      </w:r>
      <w:r>
        <w:t xml:space="preserve">im </w:t>
      </w:r>
      <w:r w:rsidR="005E2CD3">
        <w:t>B</w:t>
      </w:r>
      <w:r>
        <w:t>esitz der Familien Spiecker und Siefkes; so entstand das Interesse an der Person und den Schriften Johannes Spieckers, der mein Urgroßvater war.</w:t>
      </w:r>
    </w:p>
    <w:p w:rsidR="00D0134D" w:rsidRDefault="00CF6655" w:rsidP="00CF6655">
      <w:pPr>
        <w:pStyle w:val="Text"/>
        <w:sectPr w:rsidR="00D0134D" w:rsidSect="00B82749">
          <w:headerReference w:type="even" r:id="rId11"/>
          <w:headerReference w:type="default" r:id="rId12"/>
          <w:headerReference w:type="first" r:id="rId13"/>
          <w:pgSz w:w="8789" w:h="13325" w:code="9"/>
          <w:pgMar w:top="1134" w:right="851" w:bottom="1418" w:left="1134" w:header="567" w:footer="680" w:gutter="0"/>
          <w:cols w:space="720"/>
          <w:titlePg/>
          <w:docGrid w:linePitch="360"/>
        </w:sectPr>
      </w:pPr>
      <w:r>
        <w:t>Für Auskünfte</w:t>
      </w:r>
      <w:r w:rsidR="003F46FF">
        <w:t xml:space="preserve"> und vielfältige Anregungen</w:t>
      </w:r>
      <w:r>
        <w:t xml:space="preserve"> danke ich </w:t>
      </w:r>
      <w:r w:rsidR="003E386E">
        <w:t>Liselotte Langen</w:t>
      </w:r>
      <w:r w:rsidR="00D16905">
        <w:t xml:space="preserve"> (Dortmund)</w:t>
      </w:r>
      <w:r w:rsidR="00363C1C">
        <w:fldChar w:fldCharType="begin"/>
      </w:r>
      <w:r w:rsidR="003E386E">
        <w:instrText xml:space="preserve"> XE "</w:instrText>
      </w:r>
      <w:r w:rsidR="003E386E" w:rsidRPr="00872AFE">
        <w:instrText>Langen, Liselotte</w:instrText>
      </w:r>
      <w:r w:rsidR="003E386E">
        <w:instrText xml:space="preserve">" </w:instrText>
      </w:r>
      <w:r w:rsidR="00363C1C">
        <w:fldChar w:fldCharType="end"/>
      </w:r>
      <w:r w:rsidR="003E386E">
        <w:t xml:space="preserve">, die das Manuskript des Tagebuchs besitzt, </w:t>
      </w:r>
      <w:r>
        <w:t>Dr. Frauke Siefkes</w:t>
      </w:r>
      <w:r w:rsidR="00363C1C">
        <w:fldChar w:fldCharType="begin"/>
      </w:r>
      <w:r w:rsidR="003566B0">
        <w:instrText xml:space="preserve"> XE "</w:instrText>
      </w:r>
      <w:r w:rsidR="003566B0" w:rsidRPr="00112107">
        <w:instrText>Siefkes, Dr. Frauke</w:instrText>
      </w:r>
      <w:r w:rsidR="003566B0">
        <w:instrText xml:space="preserve">" </w:instrText>
      </w:r>
      <w:r w:rsidR="00363C1C">
        <w:fldChar w:fldCharType="end"/>
      </w:r>
      <w:r>
        <w:t xml:space="preserve"> (Kiel)</w:t>
      </w:r>
      <w:r w:rsidR="003E386E">
        <w:t xml:space="preserve">, </w:t>
      </w:r>
      <w:r>
        <w:t>Annemarie Spiecker</w:t>
      </w:r>
      <w:r w:rsidR="00363C1C">
        <w:fldChar w:fldCharType="begin"/>
      </w:r>
      <w:r w:rsidR="003566B0">
        <w:instrText xml:space="preserve"> XE "</w:instrText>
      </w:r>
      <w:r w:rsidR="003566B0" w:rsidRPr="00F64391">
        <w:instrText>Spiecker, Annemarie</w:instrText>
      </w:r>
      <w:r w:rsidR="003566B0">
        <w:instrText xml:space="preserve">" </w:instrText>
      </w:r>
      <w:r w:rsidR="00363C1C">
        <w:fldChar w:fldCharType="end"/>
      </w:r>
      <w:r>
        <w:t xml:space="preserve"> (Heidelberg)</w:t>
      </w:r>
      <w:r w:rsidR="003E386E">
        <w:t xml:space="preserve"> sowie </w:t>
      </w:r>
      <w:r>
        <w:t>Wolfgang Apelt von der Archiv- und Museumsstiftung Wuppertal.</w:t>
      </w:r>
    </w:p>
    <w:p w:rsidR="00CF6655" w:rsidRDefault="00CF6655" w:rsidP="00CF6655">
      <w:pPr>
        <w:pStyle w:val="Titel"/>
        <w:spacing w:before="600" w:after="120"/>
      </w:pPr>
      <w:bookmarkStart w:id="8" w:name="_Toc130260648"/>
      <w:bookmarkStart w:id="9" w:name="_Toc327387948"/>
      <w:r>
        <w:lastRenderedPageBreak/>
        <w:t>Die Reise</w:t>
      </w:r>
      <w:bookmarkEnd w:id="8"/>
      <w:bookmarkEnd w:id="9"/>
    </w:p>
    <w:p w:rsidR="00CF6655" w:rsidRDefault="00CF6655" w:rsidP="006534E7">
      <w:pPr>
        <w:pStyle w:val="Titel2"/>
      </w:pPr>
      <w:bookmarkStart w:id="10" w:name="_Toc130260649"/>
      <w:bookmarkStart w:id="11" w:name="_Toc327387949"/>
      <w:bookmarkEnd w:id="6"/>
      <w:bookmarkEnd w:id="7"/>
      <w:r>
        <w:t>Als Missionsinspektor in Afrika</w:t>
      </w:r>
      <w:bookmarkEnd w:id="10"/>
      <w:bookmarkEnd w:id="11"/>
    </w:p>
    <w:p w:rsidR="00CF6655" w:rsidRDefault="00CF6655" w:rsidP="006534E7">
      <w:pPr>
        <w:pStyle w:val="Titel3"/>
      </w:pPr>
      <w:bookmarkStart w:id="12" w:name="_Toc122313609"/>
      <w:bookmarkStart w:id="13" w:name="_Toc122313697"/>
      <w:bookmarkStart w:id="14" w:name="_Toc130260650"/>
      <w:bookmarkStart w:id="15" w:name="_Toc327387950"/>
      <w:bookmarkStart w:id="16" w:name="Spiecker"/>
      <w:r>
        <w:t>Zwei Brüder im Dienste der Mission</w:t>
      </w:r>
      <w:bookmarkEnd w:id="12"/>
      <w:bookmarkEnd w:id="13"/>
      <w:bookmarkEnd w:id="14"/>
      <w:bookmarkEnd w:id="15"/>
    </w:p>
    <w:p w:rsidR="00CF6655" w:rsidRDefault="00363C1C" w:rsidP="006534E7">
      <w:pPr>
        <w:pStyle w:val="Text"/>
        <w:ind w:firstLine="0"/>
      </w:pPr>
      <w:r>
        <w:fldChar w:fldCharType="begin"/>
      </w:r>
      <w:r w:rsidR="006A7F44">
        <w:instrText xml:space="preserve"> XE "</w:instrText>
      </w:r>
      <w:r w:rsidR="006A7F44" w:rsidRPr="00D81849">
        <w:instrText>Spiecker, Johannes Carl Wilhelm</w:instrText>
      </w:r>
      <w:r w:rsidR="006A7F44">
        <w:instrText xml:space="preserve">" \r "Spiecker" </w:instrText>
      </w:r>
      <w:r>
        <w:fldChar w:fldCharType="end"/>
      </w:r>
      <w:r>
        <w:fldChar w:fldCharType="begin"/>
      </w:r>
      <w:r w:rsidR="006A7F44">
        <w:instrText xml:space="preserve"> XE "</w:instrText>
      </w:r>
      <w:r w:rsidR="006A7F44" w:rsidRPr="00D81849">
        <w:instrText>Spiecker, Johannes Carl Wilhelm</w:instrText>
      </w:r>
      <w:r w:rsidR="006A7F44">
        <w:instrText>" \t "</w:instrText>
      </w:r>
      <w:r w:rsidR="006A7F44" w:rsidRPr="006A7F44">
        <w:rPr>
          <w:i/>
        </w:rPr>
        <w:instrText>et passim</w:instrText>
      </w:r>
      <w:r w:rsidR="006A7F44">
        <w:instrText xml:space="preserve">" </w:instrText>
      </w:r>
      <w:r>
        <w:fldChar w:fldCharType="end"/>
      </w:r>
      <w:r w:rsidR="00CF6655">
        <w:t>Johannes Carl Wilhelm Spiecker (1856–1920) trat als Missionsinspektor der Rheinischen Missionsgesellschaft</w:t>
      </w:r>
      <w:r w:rsidR="00CF6655">
        <w:rPr>
          <w:rStyle w:val="Funotenzeichen"/>
        </w:rPr>
        <w:footnoteReference w:id="5"/>
      </w:r>
      <w:r w:rsidR="00CF6655">
        <w:t xml:space="preserve"> im Jahre 1905 eine Inspektionsreise durch die afrikanischen Missionsgebiete an. Bis 1907 besuchte er in Deutsch-Südwestafrika und in der britisch regierten Kapprovinz</w:t>
      </w:r>
      <w:r>
        <w:fldChar w:fldCharType="begin"/>
      </w:r>
      <w:r w:rsidR="00710612">
        <w:instrText xml:space="preserve"> XE "</w:instrText>
      </w:r>
      <w:r w:rsidR="00710612" w:rsidRPr="008615D3">
        <w:instrText>Kapprovinz</w:instrText>
      </w:r>
      <w:r w:rsidR="00710612">
        <w:instrText xml:space="preserve">" </w:instrText>
      </w:r>
      <w:r>
        <w:fldChar w:fldCharType="end"/>
      </w:r>
      <w:r w:rsidR="00CF6655">
        <w:t xml:space="preserve"> zahlreiche Missionsstationen der Rhe</w:t>
      </w:r>
      <w:r w:rsidR="00CF6655">
        <w:t>i</w:t>
      </w:r>
      <w:r w:rsidR="00CF6655">
        <w:t>nischen Mission. Sein Tagebuch ist ein historisches Dokument, das ein lebhaftes Bild der damaligen Missionstätigkeit und der Zustände in den deutschen Kol</w:t>
      </w:r>
      <w:r w:rsidR="00CF6655">
        <w:t>o</w:t>
      </w:r>
      <w:r w:rsidR="00CF6655">
        <w:t xml:space="preserve">nien vermittelt. Seinen besonderen Wert als historische Quelle erhält es dadurch, dass Spieckers Inspektionsreise während des </w:t>
      </w:r>
      <w:r w:rsidR="00216538">
        <w:t>Herero-Nama</w:t>
      </w:r>
      <w:r>
        <w:fldChar w:fldCharType="begin"/>
      </w:r>
      <w:r w:rsidR="003264BA">
        <w:instrText xml:space="preserve"> XE "</w:instrText>
      </w:r>
      <w:r w:rsidR="003264BA" w:rsidRPr="00D91537">
        <w:instrText>Herero</w:instrText>
      </w:r>
      <w:r w:rsidR="003264BA">
        <w:instrText xml:space="preserve">" </w:instrText>
      </w:r>
      <w:r>
        <w:fldChar w:fldCharType="end"/>
      </w:r>
      <w:r w:rsidR="00CF6655">
        <w:t>-Aufstands stattfand und ein deutliches Bild von dessen Niederschlagung durch die deutschen Kol</w:t>
      </w:r>
      <w:r w:rsidR="00CF6655">
        <w:t>o</w:t>
      </w:r>
      <w:r w:rsidR="00CF6655">
        <w:t>nialtruppen zeichnet.</w:t>
      </w:r>
    </w:p>
    <w:p w:rsidR="00117AA5" w:rsidRDefault="00CF6655" w:rsidP="00CF6655">
      <w:pPr>
        <w:pStyle w:val="Text"/>
      </w:pPr>
      <w:r>
        <w:t>Johannes Spiecker wurde am 29.03.1856 in Boppard am Rhein</w:t>
      </w:r>
      <w:r w:rsidR="00363C1C">
        <w:fldChar w:fldCharType="begin"/>
      </w:r>
      <w:r w:rsidR="00C54DDA">
        <w:instrText xml:space="preserve"> XE "</w:instrText>
      </w:r>
      <w:r w:rsidR="00C54DDA" w:rsidRPr="00C42158">
        <w:instrText>Boppard am Rhein</w:instrText>
      </w:r>
      <w:r w:rsidR="00C54DDA">
        <w:instrText xml:space="preserve">" </w:instrText>
      </w:r>
      <w:r w:rsidR="00363C1C">
        <w:fldChar w:fldCharType="end"/>
      </w:r>
      <w:r>
        <w:t xml:space="preserve"> geboren. Die Familie Spiecker war pietistisch geprägt und hatte seit mehreren Generationen Pfarrer, aber auch Kaufleute hervorgebracht. Nach dem Tod des Vaters 1869 verbrachte er aus unbekannten Gründen einige Jahre in einem Internat am Ni</w:t>
      </w:r>
      <w:r>
        <w:t>e</w:t>
      </w:r>
      <w:r>
        <w:t>derrhein und später in einer Pension in Köln. Der vielseitig Interessierte litt zei</w:t>
      </w:r>
      <w:r>
        <w:t>t</w:t>
      </w:r>
      <w:r>
        <w:t>lebens unter chronischen Kopfschmerzen und Schlafstörungen. Er zeigte schon früh kaufmännische und mathematische Begabung, entschied sich jedoch für ein Studium der Theologie.</w:t>
      </w:r>
    </w:p>
    <w:p w:rsidR="00CF6655" w:rsidRDefault="00CF6655" w:rsidP="00CF6655">
      <w:pPr>
        <w:pStyle w:val="Text"/>
      </w:pPr>
      <w:r>
        <w:t>Er studierte zunächst in Tübingen, wo er Mitglied der nicht schlagenden Studentenverbindung Wingolf war und mit der modernen Forschung und Bibe</w:t>
      </w:r>
      <w:r>
        <w:t>l</w:t>
      </w:r>
      <w:r>
        <w:t>kritik</w:t>
      </w:r>
      <w:r w:rsidR="00363C1C">
        <w:fldChar w:fldCharType="begin"/>
      </w:r>
      <w:r w:rsidR="00115805">
        <w:instrText xml:space="preserve"> XE "</w:instrText>
      </w:r>
      <w:r w:rsidR="00115805" w:rsidRPr="00D407F7">
        <w:instrText>Bibelkritik</w:instrText>
      </w:r>
      <w:r w:rsidR="00115805">
        <w:instrText xml:space="preserve">" </w:instrText>
      </w:r>
      <w:r w:rsidR="00363C1C">
        <w:fldChar w:fldCharType="end"/>
      </w:r>
      <w:r>
        <w:t xml:space="preserve"> in Berührung kam, und beendete das Studium in Bonn. Seine erste Pfar</w:t>
      </w:r>
      <w:r>
        <w:t>r</w:t>
      </w:r>
      <w:r>
        <w:t xml:space="preserve">stelle trat er 1883 in Herchen an </w:t>
      </w:r>
      <w:proofErr w:type="gramStart"/>
      <w:r>
        <w:t>der</w:t>
      </w:r>
      <w:proofErr w:type="gramEnd"/>
      <w:r>
        <w:t xml:space="preserve"> Sieg an, wo er den Bau einer neuen Kirche leitete. Am 24.08.1884 heiratet er Johanna Wetschky. Ende 1885 erfolgte der Umzug nach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wo Johannes Spiecker eine Lehrerstelle am Missionshaus </w:t>
      </w:r>
      <w:r>
        <w:lastRenderedPageBreak/>
        <w:t>in Barmen antrat. Von 1896 bis 1903 hatte er die Stelle als Hausvater des Miss</w:t>
      </w:r>
      <w:r>
        <w:t>i</w:t>
      </w:r>
      <w:r>
        <w:t>onshauses inne, in dem 30 bis 40 Missionare ausgebildet wurden; die Familie wohnte in dieser Zeit im Missionshaus. Dort gab er Unterricht für die Mission</w:t>
      </w:r>
      <w:r>
        <w:t>s</w:t>
      </w:r>
      <w:r>
        <w:t>schüler, hielt Predigten und Ansprachen auf Missionsfesten und übernahm u</w:t>
      </w:r>
      <w:r>
        <w:t>m</w:t>
      </w:r>
      <w:r>
        <w:t>fangreiche Verwaltungstätigkeiten.</w:t>
      </w:r>
      <w:r>
        <w:rPr>
          <w:rStyle w:val="Funotenzeichen"/>
        </w:rPr>
        <w:footnoteReference w:id="6"/>
      </w:r>
    </w:p>
    <w:p w:rsidR="008701E3" w:rsidRDefault="008701E3" w:rsidP="008701E3">
      <w:pPr>
        <w:pStyle w:val="Text"/>
      </w:pPr>
      <w:r>
        <w:t>Spiecker betreute die Dezernate Afrika und Borneo der Rheinischen Miss</w:t>
      </w:r>
      <w:r>
        <w:t>i</w:t>
      </w:r>
      <w:r>
        <w:t>on. Eine erste Inspektionsreise durch die Kapkolonie und Deutsch-Südwestafrika in den Jahren 1902–1903 war aufgrund des Todes von Missionsd</w:t>
      </w:r>
      <w:r>
        <w:t>i</w:t>
      </w:r>
      <w:r>
        <w:t>rektor Schreiber abgebrochen worden, was eine weitere gründliche Inspektion wünschenswert machte.</w:t>
      </w:r>
      <w:r w:rsidRPr="00A44B86">
        <w:t xml:space="preserve"> </w:t>
      </w:r>
      <w:r>
        <w:t>Diese Reise fand vom Oktober 1905 bis März 1907 statt. Während Spiecker auf der ersten Reise einen Sekretär dabei hatte, reiste er auf der zweiten allein und verfasste das Tagebuch handschriftlich mit Tinte und Feder.</w:t>
      </w:r>
    </w:p>
    <w:p w:rsidR="008701E3" w:rsidRDefault="008701E3" w:rsidP="008701E3">
      <w:pPr>
        <w:pStyle w:val="Text"/>
      </w:pPr>
      <w:r>
        <w:t>Im Jahr 1908 wurde Spiecker Direktor der Rheinischen Mission. Er unte</w:t>
      </w:r>
      <w:r>
        <w:t>r</w:t>
      </w:r>
      <w:r>
        <w:t>nahm 1910/11 noch eine Inspektionsreise nach Sumatra, Nias und Java in Ni</w:t>
      </w:r>
      <w:r>
        <w:t>e</w:t>
      </w:r>
      <w:r>
        <w:t>derländisch-Indien, dem heutigen Indonesien, in Begleitung seines Sohns Hans Spiecker. Während dieser Reise erkrankte er schwer an Typhus und sein Sohn an Malaria</w:t>
      </w:r>
      <w:r w:rsidR="00363C1C">
        <w:fldChar w:fldCharType="begin"/>
      </w:r>
      <w:r w:rsidR="00790193">
        <w:instrText xml:space="preserve"> XE "</w:instrText>
      </w:r>
      <w:r w:rsidR="00790193" w:rsidRPr="00323CE4">
        <w:instrText>Malaria</w:instrText>
      </w:r>
      <w:r w:rsidR="00790193">
        <w:instrText xml:space="preserve">" </w:instrText>
      </w:r>
      <w:r w:rsidR="00363C1C">
        <w:fldChar w:fldCharType="end"/>
      </w:r>
      <w:r>
        <w:t>. Die Reise wurde vorzeitig beendet und Spiecker fuhr bei der Rückreise von Genua aus direkt in die Schweiz zur Kur. Im Herbst 1916 verlor Spiecker innerhalb weniger Tage zwei Söhne, Hans und Theo, in den Schützengräben der Somme. Die Entbehrungen des Krieges machten auch vor dem Missionshaus nicht halt; im „Steckrübenwinter“ 1917/18 nahm Spiecker 70 Pfund ab. Er starb am 19.01.1920 in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an einer Infektionskrankheit.</w:t>
      </w:r>
    </w:p>
    <w:p w:rsidR="00CF6655" w:rsidRDefault="00CF6655" w:rsidP="00CF6655">
      <w:pPr>
        <w:pStyle w:val="Text"/>
      </w:pPr>
      <w:r>
        <w:t>Die schweren Krankheiten und Strapazen, denen er auf seinen zwei Afrikareisen und der Reise nach Niederländisch-Indien ausgesetzt war, beei</w:t>
      </w:r>
      <w:r>
        <w:t>n</w:t>
      </w:r>
      <w:r>
        <w:t xml:space="preserve">trächtigten seine Gesundheit und trugen </w:t>
      </w:r>
      <w:r w:rsidR="008701E3">
        <w:t xml:space="preserve">zusammen mit den Belastungen des Krieges </w:t>
      </w:r>
      <w:r>
        <w:t xml:space="preserve">wohl zu seinem verhältnismäßig frühen Tod bei. </w:t>
      </w:r>
      <w:r w:rsidR="008701E3">
        <w:t xml:space="preserve">Die </w:t>
      </w:r>
      <w:r>
        <w:t xml:space="preserve">Großmutter </w:t>
      </w:r>
      <w:r w:rsidR="008701E3">
        <w:t xml:space="preserve">des Verfassers, </w:t>
      </w:r>
      <w:r>
        <w:t>Elisabeth Spiecker</w:t>
      </w:r>
      <w:r w:rsidR="008701E3">
        <w:t>,</w:t>
      </w:r>
      <w:r>
        <w:t xml:space="preserve"> war als jüngstes der acht Kinder besonders davon betroffen; sie war erst 14, als ihr Vater starb. Obwohl die Mutter noch lebte und sie weiter zu Hause wohnte, bekam sie nach damaligem Usus einen Vormund: ihren Onkel Friedrich Albert Spiecker</w:t>
      </w:r>
      <w:r w:rsidR="00363C1C">
        <w:fldChar w:fldCharType="begin"/>
      </w:r>
      <w:r w:rsidR="006A7F44">
        <w:instrText xml:space="preserve"> XE "</w:instrText>
      </w:r>
      <w:r w:rsidR="006A7F44" w:rsidRPr="006E68CD">
        <w:instrText>Spiecker</w:instrText>
      </w:r>
      <w:r w:rsidR="0036732D">
        <w:instrText>, Friedrich Albert</w:instrText>
      </w:r>
      <w:r w:rsidR="006A7F44">
        <w:instrText xml:space="preserve">" </w:instrText>
      </w:r>
      <w:r w:rsidR="00363C1C">
        <w:fldChar w:fldCharType="end"/>
      </w:r>
      <w:r>
        <w:t xml:space="preserve"> (19.02.1854–10.07.1936). Er war Kau</w:t>
      </w:r>
      <w:r>
        <w:t>f</w:t>
      </w:r>
      <w:r>
        <w:t>mann und hatte bereits im Jahr 1880 eine Afrikareise im Auftrag der Rheinischen Missionsgesellschaft unternommen, um deren Missions-Handels-Actien-Gesellschaft</w:t>
      </w:r>
      <w:r w:rsidR="00363C1C">
        <w:fldChar w:fldCharType="begin"/>
      </w:r>
      <w:r w:rsidR="0078232E">
        <w:instrText xml:space="preserve"> XE "</w:instrText>
      </w:r>
      <w:r w:rsidR="0078232E" w:rsidRPr="00EB3213">
        <w:instrText>Missions-Handels-Actien-Gesellschaft (MHAG)</w:instrText>
      </w:r>
      <w:r w:rsidR="0078232E">
        <w:instrText xml:space="preserve">" </w:instrText>
      </w:r>
      <w:r w:rsidR="00363C1C">
        <w:fldChar w:fldCharType="end"/>
      </w:r>
      <w:r>
        <w:t xml:space="preserve"> einer Inspektion zu unterziehen.</w:t>
      </w:r>
      <w:r>
        <w:rPr>
          <w:rStyle w:val="Funotenzeichen"/>
        </w:rPr>
        <w:footnoteReference w:id="7"/>
      </w:r>
    </w:p>
    <w:p w:rsidR="00CF6655" w:rsidRDefault="00CF6655" w:rsidP="00CF6655">
      <w:pPr>
        <w:pStyle w:val="Text"/>
      </w:pPr>
      <w:r>
        <w:t xml:space="preserve">Die MHAG war von der Rheinischen Missionsgesellschaft mit der Absicht gegründet worden, ihre Missionsstationen selbständig versorgen und zugleich </w:t>
      </w:r>
      <w:r>
        <w:lastRenderedPageBreak/>
        <w:t>mit den Eingeborenen Handel treiben zu können, ohne sie dabei zu übervorte</w:t>
      </w:r>
      <w:r>
        <w:t>i</w:t>
      </w:r>
      <w:r>
        <w:t>len oder ihnen Alkohol zu verkaufen, was beides durch die dortigen Händler häufig geschah.</w:t>
      </w:r>
      <w:r>
        <w:rPr>
          <w:rStyle w:val="Funotenzeichen"/>
        </w:rPr>
        <w:footnoteReference w:id="8"/>
      </w:r>
      <w:r>
        <w:t xml:space="preserve"> Vor allem durch die um 1880 einsetzenden Stammeskriege zw</w:t>
      </w:r>
      <w:r>
        <w:t>i</w:t>
      </w:r>
      <w:r>
        <w:t>schen den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stand der südafrikanische Zweig der MHAG zu diesem Zeitpunkt vor dem Zusammenbruch, und Spiecker leitete schließlich die Liquidation ein.</w:t>
      </w:r>
      <w:r>
        <w:rPr>
          <w:rStyle w:val="Funotenzeichen"/>
        </w:rPr>
        <w:footnoteReference w:id="9"/>
      </w:r>
      <w:r>
        <w:t xml:space="preserve"> Friedrich Albert Spiecker</w:t>
      </w:r>
      <w:r w:rsidR="00363C1C">
        <w:fldChar w:fldCharType="begin"/>
      </w:r>
      <w:r w:rsidR="006A7F44">
        <w:instrText xml:space="preserve"> XE "</w:instrText>
      </w:r>
      <w:r w:rsidR="006A7F44" w:rsidRPr="006E68CD">
        <w:instrText>Spiecker</w:instrText>
      </w:r>
      <w:r w:rsidR="0036732D">
        <w:instrText>,</w:instrText>
      </w:r>
      <w:r w:rsidR="0036732D" w:rsidRPr="0036732D">
        <w:instrText xml:space="preserve"> </w:instrText>
      </w:r>
      <w:r w:rsidR="0036732D">
        <w:instrText>Friedrich Albert</w:instrText>
      </w:r>
      <w:r w:rsidR="006A7F44">
        <w:instrText xml:space="preserve">" </w:instrText>
      </w:r>
      <w:r w:rsidR="00363C1C">
        <w:fldChar w:fldCharType="end"/>
      </w:r>
      <w:r>
        <w:t>, der es später bis zum Vorstandsmi</w:t>
      </w:r>
      <w:r>
        <w:t>t</w:t>
      </w:r>
      <w:r>
        <w:t>glied von Siemens</w:t>
      </w:r>
      <w:r w:rsidR="00363C1C">
        <w:fldChar w:fldCharType="begin"/>
      </w:r>
      <w:r w:rsidR="003264BA">
        <w:instrText xml:space="preserve"> XE "</w:instrText>
      </w:r>
      <w:r w:rsidR="003264BA" w:rsidRPr="00207409">
        <w:instrText>Siemens</w:instrText>
      </w:r>
      <w:r w:rsidR="003264BA">
        <w:instrText xml:space="preserve">" </w:instrText>
      </w:r>
      <w:r w:rsidR="00363C1C">
        <w:fldChar w:fldCharType="end"/>
      </w:r>
      <w:r>
        <w:t xml:space="preserve"> brachte,</w:t>
      </w:r>
      <w:r>
        <w:rPr>
          <w:rStyle w:val="Funotenzeichen"/>
        </w:rPr>
        <w:footnoteReference w:id="10"/>
      </w:r>
      <w:r>
        <w:t xml:space="preserve"> blieb zeitlebens der Rheinischen Mission verbu</w:t>
      </w:r>
      <w:r>
        <w:t>n</w:t>
      </w:r>
      <w:r>
        <w:t>den. Die Episode seiner dortigen Tätigkeit könnte für die Entscheidung seines Bruders Johannes, in die Rheinische Missionsgesellschaft</w:t>
      </w:r>
      <w:r w:rsidR="00363C1C">
        <w:fldChar w:fldCharType="begin"/>
      </w:r>
      <w:r w:rsidR="0078232E">
        <w:instrText xml:space="preserve"> XE "</w:instrText>
      </w:r>
      <w:r w:rsidR="0078232E" w:rsidRPr="00100860">
        <w:instrText>Rheinische Missionsgesellschaft (RMG)</w:instrText>
      </w:r>
      <w:r w:rsidR="0078232E">
        <w:instrText xml:space="preserve">" </w:instrText>
      </w:r>
      <w:r w:rsidR="00363C1C">
        <w:fldChar w:fldCharType="end"/>
      </w:r>
      <w:r>
        <w:t xml:space="preserve"> einzutreten, eine Rolle gespielt haben.</w:t>
      </w:r>
    </w:p>
    <w:p w:rsidR="00CF6655" w:rsidRDefault="00CF6655" w:rsidP="00CF6655">
      <w:pPr>
        <w:pStyle w:val="Text"/>
      </w:pPr>
      <w:r>
        <w:t xml:space="preserve">In Afrika waren damals drei evangelische Missionsgesellschaften tätig: Die Rheinische Mission, die </w:t>
      </w:r>
      <w:r w:rsidR="001B0CF3">
        <w:t>Brüdergemeine</w:t>
      </w:r>
      <w:r w:rsidR="00363C1C">
        <w:fldChar w:fldCharType="begin"/>
      </w:r>
      <w:r w:rsidR="0078232E">
        <w:instrText xml:space="preserve"> XE "</w:instrText>
      </w:r>
      <w:r w:rsidR="001B0CF3">
        <w:instrText>Brüdergemeine</w:instrText>
      </w:r>
      <w:r w:rsidR="0078232E" w:rsidRPr="001C5CB5">
        <w:instrText xml:space="preserve"> (Herrnhuter Mission)</w:instrText>
      </w:r>
      <w:r w:rsidR="0078232E">
        <w:instrText xml:space="preserve">" </w:instrText>
      </w:r>
      <w:r w:rsidR="00363C1C">
        <w:fldChar w:fldCharType="end"/>
      </w:r>
      <w:r>
        <w:t xml:space="preserve"> oder Herrnhuter Mission</w:t>
      </w:r>
      <w:r w:rsidR="00363C1C">
        <w:fldChar w:fldCharType="begin"/>
      </w:r>
      <w:r w:rsidR="0078232E">
        <w:instrText xml:space="preserve"> XE "</w:instrText>
      </w:r>
      <w:r w:rsidR="0078232E" w:rsidRPr="00FF7BDB">
        <w:instrText>Herrnhuter Mission (</w:instrText>
      </w:r>
      <w:r w:rsidR="001B0CF3">
        <w:instrText>Brüdergemeine</w:instrText>
      </w:r>
      <w:r w:rsidR="0078232E" w:rsidRPr="00FF7BDB">
        <w:instrText>)</w:instrText>
      </w:r>
      <w:r w:rsidR="0078232E">
        <w:instrText xml:space="preserve">" </w:instrText>
      </w:r>
      <w:r w:rsidR="00363C1C">
        <w:fldChar w:fldCharType="end"/>
      </w:r>
      <w:r>
        <w:t>, und die Berl</w:t>
      </w:r>
      <w:r>
        <w:t>i</w:t>
      </w:r>
      <w:r>
        <w:t>ner Mission</w:t>
      </w:r>
      <w:r w:rsidR="00363C1C">
        <w:fldChar w:fldCharType="begin"/>
      </w:r>
      <w:r w:rsidR="000204A2">
        <w:instrText xml:space="preserve"> XE "</w:instrText>
      </w:r>
      <w:r w:rsidR="000204A2" w:rsidRPr="002E7447">
        <w:instrText>Berliner Mission</w:instrText>
      </w:r>
      <w:r w:rsidR="000204A2">
        <w:instrText xml:space="preserve">" </w:instrText>
      </w:r>
      <w:r w:rsidR="00363C1C">
        <w:fldChar w:fldCharType="end"/>
      </w:r>
      <w:r>
        <w:t xml:space="preserve">. Die </w:t>
      </w:r>
      <w:r w:rsidR="001D77EA">
        <w:t>T</w:t>
      </w:r>
      <w:r w:rsidR="00710612">
        <w:t xml:space="preserve">ätigkeit </w:t>
      </w:r>
      <w:r>
        <w:t xml:space="preserve">der Rheinischen Mission </w:t>
      </w:r>
      <w:r w:rsidR="00710612">
        <w:t>in der Kapprovinz</w:t>
      </w:r>
      <w:r w:rsidR="00363C1C">
        <w:fldChar w:fldCharType="begin"/>
      </w:r>
      <w:r w:rsidR="00D20257">
        <w:instrText xml:space="preserve"> XE "</w:instrText>
      </w:r>
      <w:r w:rsidR="00D20257" w:rsidRPr="008153CA">
        <w:instrText>Kapprovinz</w:instrText>
      </w:r>
      <w:r w:rsidR="00D20257">
        <w:instrText xml:space="preserve">" </w:instrText>
      </w:r>
      <w:r w:rsidR="00363C1C">
        <w:fldChar w:fldCharType="end"/>
      </w:r>
      <w:r w:rsidR="00710612">
        <w:t xml:space="preserve"> </w:t>
      </w:r>
      <w:r>
        <w:t xml:space="preserve">kann bei Spieckers Besuch schon auf eine 77jährige Geschichte zurückblicken (93), was er allerdings eher kritisch im Zusammenhang mit dem „Independentismus“ der dortigen Missionsgemeinden erwähnt, die sich weitgehend selbständig verhalten und </w:t>
      </w:r>
      <w:r w:rsidR="005D58A3">
        <w:t xml:space="preserve">oft </w:t>
      </w:r>
      <w:r>
        <w:t>nicht einmal ihren Präses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bei wichtigen Entscheidungen zu Rate ziehen.</w:t>
      </w:r>
    </w:p>
    <w:p w:rsidR="00CF6655" w:rsidRDefault="00CF6655" w:rsidP="003B1011">
      <w:pPr>
        <w:pStyle w:val="Text"/>
      </w:pPr>
      <w:r>
        <w:t>Spiecker feiert auf der Fahrt seinen fünfzigsten Geburtstag; sogar an diesem Tag (29.03.1906) muss er eine der anstrengenden Reisen auf sich nehmen. Sein Tagebuch beschreibt den rastlosen Tagesablauf eines ‚Problemlösers‘, der die u</w:t>
      </w:r>
      <w:r>
        <w:t>n</w:t>
      </w:r>
      <w:r>
        <w:t>terschiedlichsten Schwierigkeiten (Finanzprobleme, Bauentscheidungen, Verse</w:t>
      </w:r>
      <w:r>
        <w:t>t</w:t>
      </w:r>
      <w:r>
        <w:t>zungen von Brüdern und Kirchenzuchtfälle) rasch zu verstehen und zu ordnen gewohnt ist und nach wenigen Tagen zum nächsten Ort aufbricht.</w:t>
      </w:r>
    </w:p>
    <w:p w:rsidR="00CF6655" w:rsidRDefault="00CF6655" w:rsidP="006534E7">
      <w:pPr>
        <w:pStyle w:val="Titel3"/>
      </w:pPr>
      <w:bookmarkStart w:id="17" w:name="_Toc122313610"/>
      <w:bookmarkStart w:id="18" w:name="_Toc122313698"/>
      <w:bookmarkStart w:id="19" w:name="_Toc130260651"/>
      <w:bookmarkStart w:id="20" w:name="_Toc327387951"/>
      <w:bookmarkEnd w:id="16"/>
      <w:r>
        <w:lastRenderedPageBreak/>
        <w:t xml:space="preserve">Das </w:t>
      </w:r>
      <w:bookmarkEnd w:id="17"/>
      <w:bookmarkEnd w:id="18"/>
      <w:r>
        <w:t>Tagebuch</w:t>
      </w:r>
      <w:bookmarkEnd w:id="19"/>
      <w:bookmarkEnd w:id="20"/>
    </w:p>
    <w:p w:rsidR="00CF6655" w:rsidRDefault="00CF6655" w:rsidP="006534E7">
      <w:pPr>
        <w:pStyle w:val="Text"/>
        <w:ind w:firstLine="0"/>
      </w:pPr>
      <w:r>
        <w:t>Das Manuskript des Tagebuchs umfasst 2050 einseitig beschriebene Seiten (ca. 13 mal 22 cm) und ist auf der ersten Seite mit „Mein Tagebuch“ überschrieben. Es wurde von meiner Großmutter Elisabeth Siefkes</w:t>
      </w:r>
      <w:r w:rsidR="00363C1C">
        <w:fldChar w:fldCharType="begin"/>
      </w:r>
      <w:r w:rsidR="00D20257">
        <w:instrText xml:space="preserve"> XE "</w:instrText>
      </w:r>
      <w:r w:rsidR="00D20257" w:rsidRPr="008B0A8B">
        <w:instrText>Siefkes, Elisabeth geb. Spiecker</w:instrText>
      </w:r>
      <w:r w:rsidR="00D20257">
        <w:instrText xml:space="preserve">" </w:instrText>
      </w:r>
      <w:r w:rsidR="00363C1C">
        <w:fldChar w:fldCharType="end"/>
      </w:r>
      <w:r>
        <w:t xml:space="preserve"> geb. Spiecker in den späten 1970er Jahren abgetippt. Dieses Typoskript umfasst ca. 700 nicht nummerierte Seiten in zwei Bänden und existiert in drei Exemplaren.</w:t>
      </w:r>
      <w:bookmarkStart w:id="21" w:name="_Ref325358314"/>
      <w:r>
        <w:rPr>
          <w:rStyle w:val="Funotenzeichen"/>
        </w:rPr>
        <w:footnoteReference w:id="11"/>
      </w:r>
      <w:bookmarkEnd w:id="21"/>
      <w:r>
        <w:t xml:space="preserve"> Alle Seitenangaben b</w:t>
      </w:r>
      <w:r>
        <w:t>e</w:t>
      </w:r>
      <w:r>
        <w:t>ziehen sich auf die am Rand des Typoskripts handschriftlich vermerkte Zählung der Manuskriptseiten. Das Tagebuch umfasst den Zeitraum vom 11. Okt. 1905 bis zum 24. Jan. 1907 und bricht mit der Manuskriptseite 2085 ab.</w:t>
      </w:r>
      <w:r w:rsidRPr="00C17686">
        <w:t xml:space="preserve"> </w:t>
      </w:r>
      <w:r w:rsidRPr="00EF180D">
        <w:t xml:space="preserve">Vermutlich schickte Spiecker </w:t>
      </w:r>
      <w:r>
        <w:t xml:space="preserve">die letzten Seiten </w:t>
      </w:r>
      <w:r w:rsidRPr="00EF180D">
        <w:t xml:space="preserve">nicht mehr per Post, </w:t>
      </w:r>
      <w:r>
        <w:t xml:space="preserve">da er damit rechnete, dass sie nicht vor ihm ankommen würden. Er nahm sie wohl </w:t>
      </w:r>
      <w:r w:rsidRPr="00EF180D">
        <w:t>persönlich nach Deutschland mit</w:t>
      </w:r>
      <w:r>
        <w:t xml:space="preserve">, wo sie </w:t>
      </w:r>
      <w:r w:rsidRPr="00EF180D">
        <w:t>nicht mehr den Weg zu den restlichen Seiten des Tag</w:t>
      </w:r>
      <w:r w:rsidRPr="00EF180D">
        <w:t>e</w:t>
      </w:r>
      <w:r w:rsidRPr="00EF180D">
        <w:t>buchs</w:t>
      </w:r>
      <w:r>
        <w:t xml:space="preserve"> fanden</w:t>
      </w:r>
      <w:r w:rsidRPr="00EF180D">
        <w:t>.</w:t>
      </w:r>
      <w:r>
        <w:t xml:space="preserve"> Während Spiecker auf der ersten Afrikareise 1902–1903 einen Se</w:t>
      </w:r>
      <w:r>
        <w:t>k</w:t>
      </w:r>
      <w:r>
        <w:t>retär dabei hatte, reiste er auf der zweiten allein und verfasste das Tagebuch handschriftlich mit Tinte und Feder.</w:t>
      </w:r>
    </w:p>
    <w:p w:rsidR="00CF6655" w:rsidRDefault="00CF6655" w:rsidP="00CF6655">
      <w:pPr>
        <w:pStyle w:val="Text"/>
      </w:pPr>
      <w:r>
        <w:t>Bei der Abfassung des Tagebuchs half Spiecker seine ungewöhnliche Fo</w:t>
      </w:r>
      <w:r>
        <w:t>r</w:t>
      </w:r>
      <w:r>
        <w:t>mulierungsgabe, die sich in einem genau beobachtenden, präzisen und stelle</w:t>
      </w:r>
      <w:r>
        <w:t>n</w:t>
      </w:r>
      <w:r>
        <w:t>weise humorvollen Stil niederschlägt. Er kommentiert diese Fähigkeit selbst beim Abschluss der großen Konferenz 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xml:space="preserve"> vom 17. </w:t>
      </w:r>
      <w:r w:rsidR="00081453">
        <w:t>–</w:t>
      </w:r>
      <w:r>
        <w:t xml:space="preserve"> 26. Sept. 1906:</w:t>
      </w:r>
    </w:p>
    <w:p w:rsidR="00CF6655" w:rsidRDefault="00CF6655" w:rsidP="00CF6655">
      <w:pPr>
        <w:pStyle w:val="Zitat"/>
      </w:pPr>
      <w:r>
        <w:t>Zu meinem Erstaunen ergriff dann unser sonst so sachlicher, ja trockener Präses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das Wort und dankte sehr herzlich und warm für mein Kommen und meine Arbeit. Er wünschte auch, daß dies ins Protokoll aufgenommen wurde. Die Fassung überließ ich ihm, während ich sonst das ganze Protokoll dem Br. Vedder</w:t>
      </w:r>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r>
        <w:t>, der stenographiert, diktiert hatte, natürlich genau nach den Beschlüssen der Konferenz und nach dem Sinn der Brüder. Bruder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hatte schon oft zu mir gesagt, es würde ihm unmöglich sein, immer so den Geda</w:t>
      </w:r>
      <w:r>
        <w:t>n</w:t>
      </w:r>
      <w:r>
        <w:t>kengang gleich zu diktieren. Nun merkte er selbst, daß das in der Tat nicht leicht sei. (1442)</w:t>
      </w:r>
    </w:p>
    <w:p w:rsidR="003B1011" w:rsidRDefault="00CF6655" w:rsidP="003B1011">
      <w:pPr>
        <w:pStyle w:val="Text"/>
        <w:spacing w:after="240"/>
        <w:ind w:firstLine="0"/>
      </w:pPr>
      <w:r>
        <w:t>Die Sitzungen hatten neun Tage lang durchschnittlich acht Stunden gedau</w:t>
      </w:r>
      <w:r w:rsidR="006534E7">
        <w:t>ert.</w:t>
      </w:r>
      <w:r>
        <w:t xml:space="preserve"> </w:t>
      </w:r>
      <w:r w:rsidR="006534E7">
        <w:t xml:space="preserve">– </w:t>
      </w:r>
      <w:r>
        <w:t>Diese Fähigkeit der präzisen Formulierung kommt ihm auch bei Verhandlungen immer wieder zugute, die er vom Gouverneur bis zu den Häuptlingen im Namaland mit den unterschiedlichsten Personen führt.</w:t>
      </w:r>
    </w:p>
    <w:p w:rsidR="003B1011" w:rsidRDefault="00C910FA" w:rsidP="003B1011">
      <w:pPr>
        <w:pStyle w:val="Text"/>
        <w:ind w:firstLine="0"/>
      </w:pPr>
      <w:r>
        <w:rPr>
          <w:noProof/>
        </w:rPr>
        <w:lastRenderedPageBreak/>
        <w:drawing>
          <wp:inline distT="0" distB="0" distL="0" distR="0">
            <wp:extent cx="4320540" cy="2849181"/>
            <wp:effectExtent l="19050" t="0" r="3810" b="0"/>
            <wp:docPr id="2" name="Abb1a.jpg" descr="C:\Users\Martin\Docs\Publikationen\Sprache, Glaube und Macht\Johannes Spiecker in Deutsch-Südwestafrika\Abb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1a.jpg"/>
                    <pic:cNvPicPr/>
                  </pic:nvPicPr>
                  <pic:blipFill>
                    <a:blip r:embed="rId14" cstate="print"/>
                    <a:stretch>
                      <a:fillRect/>
                    </a:stretch>
                  </pic:blipFill>
                  <pic:spPr>
                    <a:xfrm>
                      <a:off x="0" y="0"/>
                      <a:ext cx="4320540" cy="2849181"/>
                    </a:xfrm>
                    <a:prstGeom prst="rect">
                      <a:avLst/>
                    </a:prstGeom>
                  </pic:spPr>
                </pic:pic>
              </a:graphicData>
            </a:graphic>
          </wp:inline>
        </w:drawing>
      </w:r>
    </w:p>
    <w:p w:rsidR="003B1011" w:rsidRDefault="00C910FA" w:rsidP="003B1011">
      <w:pPr>
        <w:pStyle w:val="Text"/>
        <w:ind w:firstLine="0"/>
      </w:pPr>
      <w:r>
        <w:rPr>
          <w:noProof/>
        </w:rPr>
        <w:drawing>
          <wp:inline distT="0" distB="0" distL="0" distR="0">
            <wp:extent cx="4320525" cy="3023870"/>
            <wp:effectExtent l="19050" t="0" r="3825" b="0"/>
            <wp:docPr id="3" name="Abb1b.jpg" descr="C:\Users\Martin\Docs\Publikationen\Sprache, Glaube und Macht\Johannes Spiecker in Deutsch-Südwestafrika\Abb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1b.jpg"/>
                    <pic:cNvPicPr/>
                  </pic:nvPicPr>
                  <pic:blipFill>
                    <a:blip r:embed="rId15" cstate="print">
                      <a:lum bright="3000" contrast="3000"/>
                    </a:blip>
                    <a:stretch>
                      <a:fillRect/>
                    </a:stretch>
                  </pic:blipFill>
                  <pic:spPr>
                    <a:xfrm>
                      <a:off x="0" y="0"/>
                      <a:ext cx="4320525" cy="3023870"/>
                    </a:xfrm>
                    <a:prstGeom prst="rect">
                      <a:avLst/>
                    </a:prstGeom>
                  </pic:spPr>
                </pic:pic>
              </a:graphicData>
            </a:graphic>
          </wp:inline>
        </w:drawing>
      </w:r>
    </w:p>
    <w:p w:rsidR="003B1011" w:rsidRDefault="003B1011" w:rsidP="003B1011">
      <w:pPr>
        <w:pStyle w:val="Beschriftung"/>
      </w:pPr>
      <w:bookmarkStart w:id="22" w:name="_Toc327393033"/>
      <w:r w:rsidRPr="004C3839">
        <w:rPr>
          <w:b/>
        </w:rPr>
        <w:t xml:space="preserve">Abb. </w:t>
      </w:r>
      <w:r>
        <w:rPr>
          <w:b/>
        </w:rPr>
        <w:t>1</w:t>
      </w:r>
      <w:r>
        <w:tab/>
        <w:t>Spiecker und seine Fami</w:t>
      </w:r>
      <w:r w:rsidR="0038532E">
        <w:t>lie nach der Rückkehr (1908</w:t>
      </w:r>
      <w:r>
        <w:t>)</w:t>
      </w:r>
      <w:bookmarkEnd w:id="22"/>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3B1011">
      <w:pPr>
        <w:pStyle w:val="Text"/>
        <w:ind w:firstLine="0"/>
      </w:pPr>
      <w:r>
        <w:t xml:space="preserve">Trotz dieser Fähigkeit Spieckers ist das Tagebuch jedoch kein im engeren Sinn ‚literarisches‘ Dokument; es ist offenbar nicht dazu gedacht, als sprachliches Kunstwerk rezipiert zu werden, und weder die Präsentation des Reiseziels noch </w:t>
      </w:r>
      <w:r>
        <w:lastRenderedPageBreak/>
        <w:t>die des Reisenden selbst, seiner Gefühle und Beobachtungsgabe stehen im Vo</w:t>
      </w:r>
      <w:r>
        <w:t>r</w:t>
      </w:r>
      <w:r>
        <w:t>dergrund. Es gibt keinen Hinweis darauf, dass Spiecker zu irgendeinem Zei</w:t>
      </w:r>
      <w:r>
        <w:t>t</w:t>
      </w:r>
      <w:r>
        <w:t>punkt die Veröffentlichung des Tagebuchs plante.</w:t>
      </w:r>
    </w:p>
    <w:p w:rsidR="00CF6655" w:rsidRDefault="00CF6655" w:rsidP="00CF6655">
      <w:pPr>
        <w:pStyle w:val="Text"/>
      </w:pPr>
      <w:r>
        <w:t>Inhaltlich konzentriert sich Spiecker auf die Dokumentation der Ereignisse. Jeder Tag wird in seinem Ablauf geschildert, beginnend mit dem Zeitpunkt des morgendlichen Aufstehens (meistens 6 Uhr); ebenso werden die Inhalte aller Predigten, die er hält, stichpunktartig wiedergegeben, auch wenn dies oft mehr</w:t>
      </w:r>
      <w:r>
        <w:t>e</w:t>
      </w:r>
      <w:r>
        <w:t>re an einem Sonntag sind. Beobachtungen abseits des unmittelbaren Reisezwecks sind dagegen eher selten, ebenso Meinungen und Beleuchtungen der Hinte</w:t>
      </w:r>
      <w:r>
        <w:t>r</w:t>
      </w:r>
      <w:r>
        <w:t>gründe. Eine vollständige und gründliche Auswertung des Tagebuchs konnte aber doch viel interessantes Material zu Tage bringen,</w:t>
      </w:r>
      <w:r>
        <w:rPr>
          <w:rStyle w:val="Funotenzeichen"/>
        </w:rPr>
        <w:footnoteReference w:id="12"/>
      </w:r>
      <w:r>
        <w:t xml:space="preserve"> wobei nur zu einigen Themen längere Erörterungen Spieckers vorhanden sind, während bei den and</w:t>
      </w:r>
      <w:r>
        <w:t>e</w:t>
      </w:r>
      <w:r>
        <w:t>ren erst in der Zusammenschau verstreuter Halbsätze aus dem ganzen Tagebuch ein Bild entsteht. Die einzige ‚Konzession‘ an das Stereotyp eines Reisetag</w:t>
      </w:r>
      <w:r>
        <w:t>e</w:t>
      </w:r>
      <w:r>
        <w:t>buchs</w:t>
      </w:r>
      <w:r w:rsidR="00363C1C">
        <w:fldChar w:fldCharType="begin"/>
      </w:r>
      <w:r w:rsidR="00710612">
        <w:instrText xml:space="preserve"> XE "</w:instrText>
      </w:r>
      <w:r w:rsidR="00710612" w:rsidRPr="00907957">
        <w:instrText>Reisetagebuch</w:instrText>
      </w:r>
      <w:r w:rsidR="00710612">
        <w:instrText xml:space="preserve">" </w:instrText>
      </w:r>
      <w:r w:rsidR="00363C1C">
        <w:fldChar w:fldCharType="end"/>
      </w:r>
      <w:r>
        <w:t xml:space="preserve"> des ausgehenden 19. Jahrhunderts sind die humorvollen Anekdoten, die er immer gerne einmal in den Text einstreut und die den ansonsten meist dok</w:t>
      </w:r>
      <w:r>
        <w:t>u</w:t>
      </w:r>
      <w:r>
        <w:t>mentarischen Berichtstil auflockern, ohne dass Spiecker dafür die strikt chron</w:t>
      </w:r>
      <w:r>
        <w:t>o</w:t>
      </w:r>
      <w:r>
        <w:t>logische Darstellung, die fast nirgendwo zu Gunsten thematischer Einheit ei</w:t>
      </w:r>
      <w:r>
        <w:t>n</w:t>
      </w:r>
      <w:r>
        <w:t>mal größere Rückblenden in Kauf nimmt, durchbrechen muss.</w:t>
      </w:r>
    </w:p>
    <w:p w:rsidR="00CF6655" w:rsidRDefault="00CF6655" w:rsidP="006534E7">
      <w:pPr>
        <w:pStyle w:val="Titel3"/>
      </w:pPr>
      <w:bookmarkStart w:id="23" w:name="_Toc122313613"/>
      <w:bookmarkStart w:id="24" w:name="_Toc122313701"/>
      <w:bookmarkStart w:id="25" w:name="_Toc130260652"/>
      <w:bookmarkStart w:id="26" w:name="_Toc327387952"/>
      <w:r>
        <w:t>Reiseroute</w:t>
      </w:r>
      <w:bookmarkEnd w:id="23"/>
      <w:bookmarkEnd w:id="24"/>
      <w:bookmarkEnd w:id="25"/>
      <w:bookmarkEnd w:id="26"/>
    </w:p>
    <w:p w:rsidR="00CF6655" w:rsidRDefault="00CF6655" w:rsidP="00B55B23">
      <w:pPr>
        <w:pStyle w:val="Text"/>
        <w:spacing w:after="240"/>
        <w:ind w:firstLine="0"/>
      </w:pPr>
      <w:r>
        <w:t>Die folgende Tabelle gliedert die Inspektionsreise in einzelne Unterabschnitte. Datumsangabe, Seitenzahlen und die Angabe des Verkehrsmittels beziehen sich auf Reiseabschnitte zwischen den einzelnen Städten, Dörfern oder Missionsst</w:t>
      </w:r>
      <w:r>
        <w:t>a</w:t>
      </w:r>
      <w:r>
        <w:t>tionen, zum Zielort ist gegebenenfalls der Name des dort stationierten Missi</w:t>
      </w:r>
      <w:r>
        <w:t>o</w:t>
      </w:r>
      <w:r>
        <w:t>nars angegeben. Die Übersicht soll ermöglichen, zu jeder mit Seitenangabe geg</w:t>
      </w:r>
      <w:r>
        <w:t>e</w:t>
      </w:r>
      <w:r>
        <w:t xml:space="preserve">benen Belegstelle sofort den Ort und den Zeitpunkt auf der Reise zu finden. Das erscheint deshalb umso wichtiger, als viele Orte mehrmals als Stationen auf der Reiseroute erscheinen. Eine Karte von Deutsch-Südwestafrika </w:t>
      </w:r>
      <w:r w:rsidR="00CE5E6F">
        <w:t>be</w:t>
      </w:r>
      <w:r>
        <w:t xml:space="preserve">findet sich </w:t>
      </w:r>
      <w:r w:rsidR="00CE5E6F">
        <w:t>nach der Tabelle.</w:t>
      </w:r>
    </w:p>
    <w:tbl>
      <w:tblPr>
        <w:tblW w:w="6804" w:type="dxa"/>
        <w:tblInd w:w="28" w:type="dxa"/>
        <w:tblLayout w:type="fixed"/>
        <w:tblCellMar>
          <w:top w:w="11" w:type="dxa"/>
          <w:left w:w="28" w:type="dxa"/>
          <w:bottom w:w="11" w:type="dxa"/>
          <w:right w:w="28" w:type="dxa"/>
        </w:tblCellMar>
        <w:tblLook w:val="0000"/>
      </w:tblPr>
      <w:tblGrid>
        <w:gridCol w:w="850"/>
        <w:gridCol w:w="1190"/>
        <w:gridCol w:w="1191"/>
        <w:gridCol w:w="1191"/>
        <w:gridCol w:w="1191"/>
        <w:gridCol w:w="1191"/>
      </w:tblGrid>
      <w:tr w:rsidR="00CE5E6F" w:rsidTr="0078232E">
        <w:trPr>
          <w:cantSplit/>
        </w:trPr>
        <w:tc>
          <w:tcPr>
            <w:tcW w:w="850" w:type="dxa"/>
            <w:tcBorders>
              <w:top w:val="single" w:sz="1" w:space="0" w:color="000000"/>
              <w:left w:val="single" w:sz="1" w:space="0" w:color="000000"/>
              <w:bottom w:val="single" w:sz="1" w:space="0" w:color="000000"/>
            </w:tcBorders>
            <w:vAlign w:val="center"/>
          </w:tcPr>
          <w:p w:rsidR="00CE5E6F" w:rsidRDefault="00CE5E6F" w:rsidP="0078232E">
            <w:pPr>
              <w:pStyle w:val="Reisetabelle"/>
              <w:rPr>
                <w:rFonts w:ascii="TimesNewRomanPS" w:eastAsia="TimesNewRomanPS" w:hAnsi="TimesNewRomanPS" w:cs="TimesNewRomanPS"/>
                <w:b/>
                <w:bCs/>
              </w:rPr>
            </w:pPr>
            <w:r>
              <w:rPr>
                <w:rFonts w:ascii="TimesNewRomanPS" w:eastAsia="TimesNewRomanPS" w:hAnsi="TimesNewRomanPS" w:cs="TimesNewRomanPS"/>
                <w:b/>
                <w:bCs/>
              </w:rPr>
              <w:t>Seite</w:t>
            </w:r>
          </w:p>
        </w:tc>
        <w:tc>
          <w:tcPr>
            <w:tcW w:w="1190" w:type="dxa"/>
            <w:tcBorders>
              <w:top w:val="single" w:sz="1" w:space="0" w:color="000000"/>
              <w:left w:val="single" w:sz="1" w:space="0" w:color="000000"/>
              <w:bottom w:val="single" w:sz="1" w:space="0" w:color="000000"/>
            </w:tcBorders>
            <w:vAlign w:val="center"/>
          </w:tcPr>
          <w:p w:rsidR="00CE5E6F" w:rsidRDefault="00CE5E6F" w:rsidP="0078232E">
            <w:pPr>
              <w:pStyle w:val="Reisetabelle"/>
              <w:rPr>
                <w:rFonts w:ascii="TimesNewRomanPS" w:eastAsia="TimesNewRomanPS" w:hAnsi="TimesNewRomanPS" w:cs="TimesNewRomanPS"/>
                <w:b/>
                <w:bCs/>
              </w:rPr>
            </w:pPr>
            <w:r>
              <w:rPr>
                <w:rFonts w:ascii="TimesNewRomanPS" w:eastAsia="TimesNewRomanPS" w:hAnsi="TimesNewRomanPS" w:cs="TimesNewRomanPS"/>
                <w:b/>
                <w:bCs/>
              </w:rPr>
              <w:t>Datum</w:t>
            </w:r>
          </w:p>
        </w:tc>
        <w:tc>
          <w:tcPr>
            <w:tcW w:w="1191" w:type="dxa"/>
            <w:tcBorders>
              <w:top w:val="single" w:sz="1" w:space="0" w:color="000000"/>
              <w:left w:val="single" w:sz="1" w:space="0" w:color="000000"/>
              <w:bottom w:val="single" w:sz="1" w:space="0" w:color="000000"/>
            </w:tcBorders>
            <w:vAlign w:val="center"/>
          </w:tcPr>
          <w:p w:rsidR="00CE5E6F" w:rsidRDefault="00CE5E6F" w:rsidP="0078232E">
            <w:pPr>
              <w:pStyle w:val="Reisetabelle"/>
              <w:rPr>
                <w:b/>
                <w:bCs/>
              </w:rPr>
            </w:pPr>
            <w:r>
              <w:rPr>
                <w:rFonts w:ascii="TimesNewRomanPS" w:eastAsia="TimesNewRomanPS" w:hAnsi="TimesNewRomanPS" w:cs="TimesNewRomanPS"/>
                <w:b/>
                <w:bCs/>
              </w:rPr>
              <w:t>Reise von</w:t>
            </w:r>
          </w:p>
        </w:tc>
        <w:tc>
          <w:tcPr>
            <w:tcW w:w="1191" w:type="dxa"/>
            <w:tcBorders>
              <w:top w:val="single" w:sz="1" w:space="0" w:color="000000"/>
              <w:left w:val="single" w:sz="1" w:space="0" w:color="000000"/>
              <w:bottom w:val="single" w:sz="1" w:space="0" w:color="000000"/>
            </w:tcBorders>
            <w:vAlign w:val="center"/>
          </w:tcPr>
          <w:p w:rsidR="00CE5E6F" w:rsidRDefault="00CE5E6F" w:rsidP="0078232E">
            <w:pPr>
              <w:pStyle w:val="Reisetabelle"/>
              <w:rPr>
                <w:b/>
                <w:bCs/>
              </w:rPr>
            </w:pPr>
            <w:r>
              <w:rPr>
                <w:b/>
                <w:bCs/>
              </w:rPr>
              <w:t>nach</w:t>
            </w:r>
          </w:p>
        </w:tc>
        <w:tc>
          <w:tcPr>
            <w:tcW w:w="1191" w:type="dxa"/>
            <w:tcBorders>
              <w:top w:val="single" w:sz="1" w:space="0" w:color="000000"/>
              <w:left w:val="single" w:sz="1" w:space="0" w:color="000000"/>
              <w:bottom w:val="single" w:sz="1" w:space="0" w:color="000000"/>
            </w:tcBorders>
            <w:vAlign w:val="center"/>
          </w:tcPr>
          <w:p w:rsidR="00CE5E6F" w:rsidRDefault="00CE5E6F" w:rsidP="0078232E">
            <w:pPr>
              <w:pStyle w:val="Reisetabelle"/>
              <w:rPr>
                <w:rFonts w:ascii="TimesNewRomanPS" w:eastAsia="TimesNewRomanPS" w:hAnsi="TimesNewRomanPS" w:cs="TimesNewRomanPS"/>
                <w:b/>
                <w:bCs/>
              </w:rPr>
            </w:pPr>
            <w:r>
              <w:rPr>
                <w:rFonts w:ascii="TimesNewRomanPS" w:eastAsia="TimesNewRomanPS" w:hAnsi="TimesNewRomanPS" w:cs="TimesNewRomanPS"/>
                <w:b/>
                <w:bCs/>
              </w:rPr>
              <w:t>Missionar (Zie</w:t>
            </w:r>
            <w:r>
              <w:rPr>
                <w:rFonts w:ascii="TimesNewRomanPS" w:eastAsia="TimesNewRomanPS" w:hAnsi="TimesNewRomanPS" w:cs="TimesNewRomanPS"/>
                <w:b/>
                <w:bCs/>
              </w:rPr>
              <w:t>l</w:t>
            </w:r>
            <w:r>
              <w:rPr>
                <w:rFonts w:ascii="TimesNewRomanPS" w:eastAsia="TimesNewRomanPS" w:hAnsi="TimesNewRomanPS" w:cs="TimesNewRomanPS"/>
                <w:b/>
                <w:bCs/>
              </w:rPr>
              <w:t>ort)</w:t>
            </w:r>
          </w:p>
        </w:tc>
        <w:tc>
          <w:tcPr>
            <w:tcW w:w="1191" w:type="dxa"/>
            <w:tcBorders>
              <w:top w:val="single" w:sz="1" w:space="0" w:color="000000"/>
              <w:left w:val="single" w:sz="1" w:space="0" w:color="000000"/>
              <w:bottom w:val="single" w:sz="1" w:space="0" w:color="000000"/>
              <w:right w:val="single" w:sz="1" w:space="0" w:color="000000"/>
            </w:tcBorders>
            <w:vAlign w:val="center"/>
          </w:tcPr>
          <w:p w:rsidR="00CE5E6F" w:rsidRDefault="00CE5E6F" w:rsidP="0078232E">
            <w:pPr>
              <w:pStyle w:val="Reisetabelle"/>
              <w:rPr>
                <w:rFonts w:ascii="TimesNewRomanPS" w:eastAsia="TimesNewRomanPS" w:hAnsi="TimesNewRomanPS" w:cs="TimesNewRomanPS"/>
                <w:b/>
                <w:bCs/>
              </w:rPr>
            </w:pPr>
            <w:r>
              <w:rPr>
                <w:rFonts w:ascii="TimesNewRomanPS" w:eastAsia="TimesNewRomanPS" w:hAnsi="TimesNewRomanPS" w:cs="TimesNewRomanPS"/>
                <w:b/>
                <w:bCs/>
              </w:rPr>
              <w:t>Verkehrsmittel</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w:t>
            </w:r>
            <w:r w:rsidR="00081453">
              <w:t xml:space="preserve"> – </w:t>
            </w:r>
            <w:r>
              <w:t>10</w:t>
            </w:r>
          </w:p>
        </w:tc>
        <w:tc>
          <w:tcPr>
            <w:tcW w:w="1190" w:type="dxa"/>
            <w:tcBorders>
              <w:left w:val="single" w:sz="1" w:space="0" w:color="000000"/>
              <w:bottom w:val="single" w:sz="1" w:space="0" w:color="000000"/>
            </w:tcBorders>
            <w:vAlign w:val="center"/>
          </w:tcPr>
          <w:p w:rsidR="00CE5E6F" w:rsidRDefault="00CE5E6F" w:rsidP="0078232E">
            <w:pPr>
              <w:pStyle w:val="Reisetabelle"/>
            </w:pPr>
            <w:r>
              <w:t>11. Okt. 1905</w:t>
            </w:r>
          </w:p>
        </w:tc>
        <w:tc>
          <w:tcPr>
            <w:tcW w:w="1191" w:type="dxa"/>
            <w:tcBorders>
              <w:left w:val="single" w:sz="1" w:space="0" w:color="000000"/>
              <w:bottom w:val="single" w:sz="1" w:space="0" w:color="000000"/>
            </w:tcBorders>
            <w:vAlign w:val="center"/>
          </w:tcPr>
          <w:p w:rsidR="00CE5E6F" w:rsidRDefault="00CE5E6F" w:rsidP="0078232E">
            <w:pPr>
              <w:pStyle w:val="Reisetabelle"/>
            </w:pPr>
            <w:r>
              <w:t>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London</w:t>
            </w:r>
            <w:r w:rsidR="00363C1C">
              <w:fldChar w:fldCharType="begin"/>
            </w:r>
            <w:r w:rsidR="00710612">
              <w:instrText xml:space="preserve"> XE "</w:instrText>
            </w:r>
            <w:r w:rsidR="00710612" w:rsidRPr="00E61711">
              <w:rPr>
                <w:lang w:val="en-GB"/>
              </w:rPr>
              <w:instrText>London</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 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16</w:t>
            </w:r>
            <w:r w:rsidR="00081453">
              <w:t xml:space="preserve"> – </w:t>
            </w:r>
            <w:r>
              <w:t>83</w:t>
            </w:r>
          </w:p>
        </w:tc>
        <w:tc>
          <w:tcPr>
            <w:tcW w:w="1190" w:type="dxa"/>
            <w:tcBorders>
              <w:left w:val="single" w:sz="1" w:space="0" w:color="000000"/>
              <w:bottom w:val="single" w:sz="1" w:space="0" w:color="000000"/>
            </w:tcBorders>
            <w:vAlign w:val="center"/>
          </w:tcPr>
          <w:p w:rsidR="00CE5E6F" w:rsidRDefault="00CE5E6F" w:rsidP="0078232E">
            <w:pPr>
              <w:pStyle w:val="Reisetabelle"/>
            </w:pPr>
            <w:r>
              <w:t>14.</w:t>
            </w:r>
            <w:r w:rsidR="00081453">
              <w:t xml:space="preserve"> – </w:t>
            </w:r>
            <w:r>
              <w:t>31. Okt.</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London</w:t>
            </w:r>
            <w:r w:rsidR="00363C1C">
              <w:rPr>
                <w:lang w:val="en-GB"/>
              </w:rPr>
              <w:fldChar w:fldCharType="begin"/>
            </w:r>
            <w:r w:rsidR="00710612">
              <w:instrText xml:space="preserve"> XE "</w:instrText>
            </w:r>
            <w:r w:rsidR="00710612" w:rsidRPr="00E61711">
              <w:rPr>
                <w:lang w:val="en-GB"/>
              </w:rPr>
              <w:instrText>London</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710612" w:rsidP="0078232E">
            <w:pPr>
              <w:pStyle w:val="Reisetabelle"/>
              <w:rPr>
                <w:lang w:val="en-GB"/>
              </w:rPr>
            </w:pPr>
            <w:r>
              <w:rPr>
                <w:lang w:val="en-GB"/>
              </w:rPr>
              <w:t>Kapstadt</w:t>
            </w:r>
            <w:r w:rsidR="00363C1C">
              <w:rPr>
                <w:lang w:val="en-GB"/>
              </w:rPr>
              <w:fldChar w:fldCharType="begin"/>
            </w:r>
            <w:r>
              <w:instrText xml:space="preserve"> XE "</w:instrText>
            </w:r>
            <w:r>
              <w:rPr>
                <w:lang w:val="en-GB"/>
              </w:rPr>
              <w:instrText>Kapstadt</w:instrText>
            </w:r>
            <w:r>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en-GB"/>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en-GB"/>
              </w:rPr>
            </w:pPr>
            <w:r>
              <w:rPr>
                <w:lang w:val="en-GB"/>
              </w:rPr>
              <w:t>Schiff</w:t>
            </w:r>
            <w:r w:rsidR="001717EE">
              <w:rPr>
                <w:lang w:val="en-GB"/>
              </w:rPr>
              <w:t xml:space="preserve"> („Keni</w:t>
            </w:r>
            <w:r w:rsidR="001717EE">
              <w:rPr>
                <w:lang w:val="en-GB"/>
              </w:rPr>
              <w:t>l</w:t>
            </w:r>
            <w:r w:rsidR="001717EE">
              <w:rPr>
                <w:lang w:val="en-GB"/>
              </w:rPr>
              <w:t>worth castle“)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86f</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 Nov.</w:t>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Tulbagh</w:t>
            </w:r>
            <w:r w:rsidR="00363C1C">
              <w:fldChar w:fldCharType="begin"/>
            </w:r>
            <w:r w:rsidR="00710612">
              <w:instrText xml:space="preserve"> XE "</w:instrText>
            </w:r>
            <w:r w:rsidR="00710612" w:rsidRPr="002E40F5">
              <w:instrText>Tulbagh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t xml:space="preserve">Geschw. </w:t>
            </w:r>
            <w:r>
              <w:rPr>
                <w:lang w:val="en-GB"/>
              </w:rPr>
              <w:t>Kreft</w:t>
            </w:r>
            <w:r w:rsidR="00363C1C">
              <w:rPr>
                <w:lang w:val="en-GB"/>
              </w:rPr>
              <w:fldChar w:fldCharType="begin"/>
            </w:r>
            <w:r w:rsidR="00710612">
              <w:instrText xml:space="preserve"> XE "</w:instrText>
            </w:r>
            <w:r w:rsidR="00710612" w:rsidRPr="00105271">
              <w:rPr>
                <w:lang w:val="en-GB"/>
              </w:rPr>
              <w:instrText>Kreft, Geschw.</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en-GB"/>
              </w:rPr>
            </w:pPr>
            <w:r>
              <w:rPr>
                <w:lang w:val="en-GB"/>
              </w:rP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lastRenderedPageBreak/>
              <w:t>87</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 Nov.</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Tulbagh</w:t>
            </w:r>
            <w:r w:rsidR="00363C1C">
              <w:rPr>
                <w:lang w:val="en-GB"/>
              </w:rPr>
              <w:fldChar w:fldCharType="begin"/>
            </w:r>
            <w:r w:rsidR="00710612">
              <w:instrText xml:space="preserve"> XE "</w:instrText>
            </w:r>
            <w:r w:rsidR="00710612" w:rsidRPr="002E40F5">
              <w:instrText>Tulbagh</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Steinthal</w:t>
            </w:r>
            <w:r w:rsidR="00363C1C">
              <w:fldChar w:fldCharType="begin"/>
            </w:r>
            <w:r w:rsidR="00710612">
              <w:instrText xml:space="preserve"> XE "</w:instrText>
            </w:r>
            <w:r w:rsidR="00710612" w:rsidRPr="00445C97">
              <w:rPr>
                <w:lang w:val="en-GB"/>
              </w:rPr>
              <w:instrText>Steinthal</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90</w:t>
            </w:r>
          </w:p>
        </w:tc>
        <w:tc>
          <w:tcPr>
            <w:tcW w:w="1190" w:type="dxa"/>
            <w:tcBorders>
              <w:left w:val="single" w:sz="1" w:space="0" w:color="000000"/>
              <w:bottom w:val="single" w:sz="1" w:space="0" w:color="000000"/>
            </w:tcBorders>
            <w:vAlign w:val="center"/>
          </w:tcPr>
          <w:p w:rsidR="00CE5E6F" w:rsidRDefault="00CE5E6F" w:rsidP="0078232E">
            <w:pPr>
              <w:pStyle w:val="Reisetabelle"/>
            </w:pPr>
            <w:r>
              <w:t>2. Nov.</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Steinthal</w:t>
            </w:r>
            <w:r w:rsidR="00363C1C">
              <w:rPr>
                <w:lang w:val="en-GB"/>
              </w:rPr>
              <w:fldChar w:fldCharType="begin"/>
            </w:r>
            <w:r w:rsidR="00710612">
              <w:instrText xml:space="preserve"> XE "</w:instrText>
            </w:r>
            <w:r w:rsidR="00710612" w:rsidRPr="00445C97">
              <w:rPr>
                <w:lang w:val="en-GB"/>
              </w:rPr>
              <w:instrText>Steinthal</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Ceres Road</w:t>
            </w:r>
            <w:r w:rsidR="00363C1C">
              <w:rPr>
                <w:lang w:val="en-GB"/>
              </w:rPr>
              <w:fldChar w:fldCharType="begin"/>
            </w:r>
            <w:r w:rsidR="00710612">
              <w:instrText xml:space="preserve"> XE "</w:instrText>
            </w:r>
            <w:r w:rsidR="00710612" w:rsidRPr="00564138">
              <w:rPr>
                <w:lang w:val="en-GB"/>
              </w:rPr>
              <w:instrText>Ceres Road</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Doenges</w:t>
            </w:r>
            <w:r w:rsidR="00363C1C">
              <w:fldChar w:fldCharType="begin"/>
            </w:r>
            <w:r w:rsidR="00710612">
              <w:instrText xml:space="preserve"> XE "</w:instrText>
            </w:r>
            <w:r w:rsidR="00710612" w:rsidRPr="00015866">
              <w:instrText>Doenges,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 / 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94</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3. Nov.</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Ceres</w:t>
            </w:r>
            <w:r w:rsidR="00710612">
              <w:rPr>
                <w:lang w:val="en-GB"/>
              </w:rPr>
              <w:t xml:space="preserve"> Road</w:t>
            </w:r>
            <w:r w:rsidR="00363C1C">
              <w:rPr>
                <w:lang w:val="en-GB"/>
              </w:rPr>
              <w:fldChar w:fldCharType="begin"/>
            </w:r>
            <w:r w:rsidR="00710612">
              <w:instrText xml:space="preserve"> XE "</w:instrText>
            </w:r>
            <w:r w:rsidR="00710612" w:rsidRPr="00564138">
              <w:rPr>
                <w:lang w:val="en-GB"/>
              </w:rPr>
              <w:instrText>Ceres Road</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Worcester</w:t>
            </w:r>
            <w:r w:rsidR="00363C1C">
              <w:rPr>
                <w:lang w:val="en-GB"/>
              </w:rPr>
              <w:fldChar w:fldCharType="begin"/>
            </w:r>
            <w:r w:rsidR="00710612">
              <w:instrText xml:space="preserve"> XE "</w:instrText>
            </w:r>
            <w:r w:rsidR="00710612" w:rsidRPr="009D2AA9">
              <w:rPr>
                <w:lang w:val="en-GB"/>
              </w:rPr>
              <w:instrText>Worcester</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(Präses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 Br. Leipoldt</w:t>
            </w:r>
            <w:r w:rsidR="00363C1C">
              <w:fldChar w:fldCharType="begin"/>
            </w:r>
            <w:r w:rsidR="00710612">
              <w:instrText xml:space="preserve"> XE "</w:instrText>
            </w:r>
            <w:r w:rsidR="00710612" w:rsidRPr="007501C5">
              <w:instrText>Leipoldt,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101f</w:t>
            </w:r>
          </w:p>
        </w:tc>
        <w:tc>
          <w:tcPr>
            <w:tcW w:w="1190" w:type="dxa"/>
            <w:tcBorders>
              <w:left w:val="single" w:sz="1" w:space="0" w:color="000000"/>
              <w:bottom w:val="single" w:sz="1" w:space="0" w:color="000000"/>
            </w:tcBorders>
            <w:vAlign w:val="center"/>
          </w:tcPr>
          <w:p w:rsidR="00CE5E6F" w:rsidRDefault="00CE5E6F" w:rsidP="0078232E">
            <w:pPr>
              <w:pStyle w:val="Reisetabelle"/>
            </w:pPr>
            <w:r>
              <w:t>6. Nov.</w:t>
            </w:r>
          </w:p>
        </w:tc>
        <w:tc>
          <w:tcPr>
            <w:tcW w:w="1191" w:type="dxa"/>
            <w:tcBorders>
              <w:left w:val="single" w:sz="1" w:space="0" w:color="000000"/>
              <w:bottom w:val="single" w:sz="1" w:space="0" w:color="000000"/>
            </w:tcBorders>
            <w:vAlign w:val="center"/>
          </w:tcPr>
          <w:p w:rsidR="00CE5E6F" w:rsidRDefault="00CE5E6F" w:rsidP="0078232E">
            <w:pPr>
              <w:pStyle w:val="Reisetabelle"/>
            </w:pPr>
            <w:r>
              <w:t>Worcester</w:t>
            </w:r>
            <w:r w:rsidR="00363C1C">
              <w:fldChar w:fldCharType="begin"/>
            </w:r>
            <w:r w:rsidR="00710612">
              <w:instrText xml:space="preserve"> XE "</w:instrText>
            </w:r>
            <w:r w:rsidR="00710612" w:rsidRPr="009D2AA9">
              <w:rPr>
                <w:lang w:val="en-GB"/>
              </w:rPr>
              <w:instrText>Worcester</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r>
              <w:br/>
            </w:r>
            <w:r>
              <w:rPr>
                <w:i/>
              </w:rPr>
              <w:t>(Konferenz)</w:t>
            </w:r>
          </w:p>
        </w:tc>
        <w:tc>
          <w:tcPr>
            <w:tcW w:w="1191" w:type="dxa"/>
            <w:tcBorders>
              <w:left w:val="single" w:sz="1" w:space="0" w:color="000000"/>
              <w:bottom w:val="single" w:sz="1" w:space="0" w:color="000000"/>
            </w:tcBorders>
            <w:vAlign w:val="center"/>
          </w:tcPr>
          <w:p w:rsidR="00CE5E6F" w:rsidRDefault="00CE5E6F" w:rsidP="0078232E">
            <w:pPr>
              <w:pStyle w:val="Reisetabelle"/>
            </w:pPr>
            <w:r>
              <w:t>Br.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163</w:t>
            </w:r>
          </w:p>
        </w:tc>
        <w:tc>
          <w:tcPr>
            <w:tcW w:w="1190" w:type="dxa"/>
            <w:tcBorders>
              <w:left w:val="single" w:sz="1" w:space="0" w:color="000000"/>
              <w:bottom w:val="single" w:sz="1" w:space="0" w:color="000000"/>
            </w:tcBorders>
            <w:vAlign w:val="center"/>
          </w:tcPr>
          <w:p w:rsidR="00CE5E6F" w:rsidRDefault="00CE5E6F" w:rsidP="0078232E">
            <w:pPr>
              <w:pStyle w:val="Reisetabelle"/>
            </w:pPr>
            <w:r>
              <w:t>16. Nov.</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172</w:t>
            </w:r>
          </w:p>
        </w:tc>
        <w:tc>
          <w:tcPr>
            <w:tcW w:w="1190" w:type="dxa"/>
            <w:tcBorders>
              <w:left w:val="single" w:sz="1" w:space="0" w:color="000000"/>
              <w:bottom w:val="single" w:sz="1" w:space="0" w:color="000000"/>
            </w:tcBorders>
            <w:vAlign w:val="center"/>
          </w:tcPr>
          <w:p w:rsidR="00CE5E6F" w:rsidRDefault="00CE5E6F" w:rsidP="0078232E">
            <w:pPr>
              <w:pStyle w:val="Reisetabelle"/>
            </w:pPr>
            <w:r>
              <w:t>17. Nov.</w:t>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Holzapfel</w:t>
            </w:r>
            <w:r w:rsidR="00363C1C">
              <w:fldChar w:fldCharType="begin"/>
            </w:r>
            <w:r w:rsidR="00710612">
              <w:instrText xml:space="preserve"> XE "</w:instrText>
            </w:r>
            <w:r w:rsidR="00710612" w:rsidRPr="00E95864">
              <w:instrText>Holzapfel, Geschw.</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 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174</w:t>
            </w:r>
          </w:p>
        </w:tc>
        <w:tc>
          <w:tcPr>
            <w:tcW w:w="1190" w:type="dxa"/>
            <w:tcBorders>
              <w:left w:val="single" w:sz="1" w:space="0" w:color="000000"/>
              <w:bottom w:val="single" w:sz="1" w:space="0" w:color="000000"/>
            </w:tcBorders>
            <w:vAlign w:val="center"/>
          </w:tcPr>
          <w:p w:rsidR="00CE5E6F" w:rsidRDefault="00CE5E6F" w:rsidP="0078232E">
            <w:pPr>
              <w:pStyle w:val="Reisetabelle"/>
            </w:pPr>
            <w:r>
              <w:t>18. Nov.</w:t>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 / 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178</w:t>
            </w:r>
          </w:p>
        </w:tc>
        <w:tc>
          <w:tcPr>
            <w:tcW w:w="1190" w:type="dxa"/>
            <w:tcBorders>
              <w:left w:val="single" w:sz="1" w:space="0" w:color="000000"/>
              <w:bottom w:val="single" w:sz="1" w:space="0" w:color="000000"/>
            </w:tcBorders>
            <w:vAlign w:val="center"/>
          </w:tcPr>
          <w:p w:rsidR="00CE5E6F" w:rsidRDefault="00CE5E6F" w:rsidP="0078232E">
            <w:pPr>
              <w:pStyle w:val="Reisetabelle"/>
            </w:pPr>
            <w:r>
              <w:t>18. Nov.</w:t>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 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184</w:t>
            </w:r>
          </w:p>
        </w:tc>
        <w:tc>
          <w:tcPr>
            <w:tcW w:w="1190" w:type="dxa"/>
            <w:tcBorders>
              <w:left w:val="single" w:sz="1" w:space="0" w:color="000000"/>
              <w:bottom w:val="single" w:sz="1" w:space="0" w:color="000000"/>
            </w:tcBorders>
            <w:vAlign w:val="center"/>
          </w:tcPr>
          <w:p w:rsidR="00CE5E6F" w:rsidRDefault="00CE5E6F" w:rsidP="0078232E">
            <w:pPr>
              <w:pStyle w:val="Reisetabelle"/>
            </w:pPr>
            <w:r>
              <w:t>20. Nov.</w:t>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 / 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231f</w:t>
            </w:r>
          </w:p>
        </w:tc>
        <w:tc>
          <w:tcPr>
            <w:tcW w:w="1190" w:type="dxa"/>
            <w:tcBorders>
              <w:left w:val="single" w:sz="1" w:space="0" w:color="000000"/>
              <w:bottom w:val="single" w:sz="1" w:space="0" w:color="000000"/>
            </w:tcBorders>
            <w:vAlign w:val="center"/>
          </w:tcPr>
          <w:p w:rsidR="00CE5E6F" w:rsidRDefault="00CE5E6F" w:rsidP="0078232E">
            <w:pPr>
              <w:pStyle w:val="Reisetabelle"/>
            </w:pPr>
            <w:r>
              <w:t>27. Nov.</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Gnadenthal</w:t>
            </w:r>
            <w:r w:rsidR="00363C1C">
              <w:fldChar w:fldCharType="begin"/>
            </w:r>
            <w:r w:rsidR="00D20257">
              <w:instrText xml:space="preserve"> XE "</w:instrText>
            </w:r>
            <w:r w:rsidR="00D20257" w:rsidRPr="007A5372">
              <w:instrText>Gnadenthal</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Miss. Nitschmann</w:t>
            </w:r>
            <w:r w:rsidR="00363C1C">
              <w:fldChar w:fldCharType="begin"/>
            </w:r>
            <w:r w:rsidR="00D20257">
              <w:instrText xml:space="preserve"> XE "</w:instrText>
            </w:r>
            <w:r w:rsidR="00D20257" w:rsidRPr="009C18FE">
              <w:instrText>Nitschmann, Miss.</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 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242</w:t>
            </w:r>
            <w:r w:rsidR="00081453">
              <w:t xml:space="preserve"> – </w:t>
            </w:r>
            <w:r>
              <w:t>245</w:t>
            </w:r>
          </w:p>
        </w:tc>
        <w:tc>
          <w:tcPr>
            <w:tcW w:w="1190" w:type="dxa"/>
            <w:tcBorders>
              <w:left w:val="single" w:sz="1" w:space="0" w:color="000000"/>
              <w:bottom w:val="single" w:sz="1" w:space="0" w:color="000000"/>
            </w:tcBorders>
            <w:vAlign w:val="center"/>
          </w:tcPr>
          <w:p w:rsidR="00CE5E6F" w:rsidRDefault="00CE5E6F" w:rsidP="0078232E">
            <w:pPr>
              <w:pStyle w:val="Reisetabelle"/>
            </w:pPr>
            <w:r>
              <w:t>29. Nov.</w:t>
            </w:r>
          </w:p>
        </w:tc>
        <w:tc>
          <w:tcPr>
            <w:tcW w:w="1191" w:type="dxa"/>
            <w:tcBorders>
              <w:left w:val="single" w:sz="1" w:space="0" w:color="000000"/>
              <w:bottom w:val="single" w:sz="1" w:space="0" w:color="000000"/>
            </w:tcBorders>
            <w:vAlign w:val="center"/>
          </w:tcPr>
          <w:p w:rsidR="00CE5E6F" w:rsidRDefault="00CE5E6F" w:rsidP="0078232E">
            <w:pPr>
              <w:pStyle w:val="Reisetabelle"/>
            </w:pPr>
            <w:r>
              <w:t>Gnadenthal</w:t>
            </w:r>
            <w:r w:rsidR="00363C1C">
              <w:fldChar w:fldCharType="begin"/>
            </w:r>
            <w:r w:rsidR="00D20257">
              <w:instrText xml:space="preserve"> XE "</w:instrText>
            </w:r>
            <w:r w:rsidR="00D20257" w:rsidRPr="007A5372">
              <w:instrText>Gnadenthal</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 / 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250f</w:t>
            </w:r>
          </w:p>
        </w:tc>
        <w:tc>
          <w:tcPr>
            <w:tcW w:w="1190" w:type="dxa"/>
            <w:tcBorders>
              <w:left w:val="single" w:sz="1" w:space="0" w:color="000000"/>
              <w:bottom w:val="single" w:sz="1" w:space="0" w:color="000000"/>
            </w:tcBorders>
            <w:vAlign w:val="center"/>
          </w:tcPr>
          <w:p w:rsidR="00CE5E6F" w:rsidRDefault="00CE5E6F" w:rsidP="0078232E">
            <w:pPr>
              <w:pStyle w:val="Reisetabelle"/>
            </w:pPr>
            <w:r>
              <w:t>1.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Hartwig</w:t>
            </w:r>
            <w:r w:rsidR="00363C1C">
              <w:fldChar w:fldCharType="begin"/>
            </w:r>
            <w:r w:rsidR="00D20257">
              <w:instrText xml:space="preserve"> XE "</w:instrText>
            </w:r>
            <w:r w:rsidR="00D20257" w:rsidRPr="00683415">
              <w:instrText>Hartwig,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266</w:t>
            </w:r>
            <w:r w:rsidR="00081453">
              <w:t xml:space="preserve"> – </w:t>
            </w:r>
            <w:r>
              <w:t>268</w:t>
            </w:r>
          </w:p>
        </w:tc>
        <w:tc>
          <w:tcPr>
            <w:tcW w:w="1190" w:type="dxa"/>
            <w:tcBorders>
              <w:left w:val="single" w:sz="1" w:space="0" w:color="000000"/>
              <w:bottom w:val="single" w:sz="1" w:space="0" w:color="000000"/>
            </w:tcBorders>
            <w:vAlign w:val="center"/>
          </w:tcPr>
          <w:p w:rsidR="00CE5E6F" w:rsidRDefault="00CE5E6F" w:rsidP="0078232E">
            <w:pPr>
              <w:pStyle w:val="Reisetabelle"/>
            </w:pPr>
            <w:r>
              <w:t>4. Dez.</w:t>
            </w:r>
          </w:p>
        </w:tc>
        <w:tc>
          <w:tcPr>
            <w:tcW w:w="1191" w:type="dxa"/>
            <w:tcBorders>
              <w:left w:val="single" w:sz="1" w:space="0" w:color="000000"/>
              <w:bottom w:val="single" w:sz="1" w:space="0" w:color="000000"/>
            </w:tcBorders>
            <w:vAlign w:val="center"/>
          </w:tcPr>
          <w:p w:rsidR="00CE5E6F" w:rsidRDefault="00CE5E6F" w:rsidP="0078232E">
            <w:pPr>
              <w:pStyle w:val="Reisetabelle"/>
            </w:pPr>
            <w:r>
              <w:t>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271f</w:t>
            </w:r>
          </w:p>
        </w:tc>
        <w:tc>
          <w:tcPr>
            <w:tcW w:w="1190" w:type="dxa"/>
            <w:tcBorders>
              <w:left w:val="single" w:sz="1" w:space="0" w:color="000000"/>
              <w:bottom w:val="single" w:sz="1" w:space="0" w:color="000000"/>
            </w:tcBorders>
            <w:vAlign w:val="center"/>
          </w:tcPr>
          <w:p w:rsidR="00CE5E6F" w:rsidRDefault="00CE5E6F" w:rsidP="0078232E">
            <w:pPr>
              <w:pStyle w:val="Reisetabelle"/>
            </w:pPr>
            <w:r>
              <w:t>5.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instrText xml:space="preserve"> XE "</w:instrText>
            </w:r>
            <w:r>
              <w:rPr>
                <w:lang w:val="en-GB"/>
              </w:rPr>
              <w:instrText>Kapstadt</w:instrText>
            </w:r>
            <w:r>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277</w:t>
            </w:r>
            <w:r w:rsidR="00081453">
              <w:t xml:space="preserve"> – </w:t>
            </w:r>
            <w:r>
              <w:t>284</w:t>
            </w:r>
          </w:p>
        </w:tc>
        <w:tc>
          <w:tcPr>
            <w:tcW w:w="1190" w:type="dxa"/>
            <w:tcBorders>
              <w:left w:val="single" w:sz="1" w:space="0" w:color="000000"/>
              <w:bottom w:val="single" w:sz="1" w:space="0" w:color="000000"/>
            </w:tcBorders>
            <w:vAlign w:val="center"/>
          </w:tcPr>
          <w:p w:rsidR="00CE5E6F" w:rsidRDefault="00CE5E6F" w:rsidP="0078232E">
            <w:pPr>
              <w:pStyle w:val="Reisetabelle"/>
            </w:pPr>
            <w:r>
              <w:t>5.</w:t>
            </w:r>
            <w:r w:rsidR="00081453">
              <w:t xml:space="preserve"> – </w:t>
            </w:r>
            <w:r>
              <w:t>7. Dez.</w:t>
            </w:r>
          </w:p>
        </w:tc>
        <w:tc>
          <w:tcPr>
            <w:tcW w:w="1191" w:type="dxa"/>
            <w:tcBorders>
              <w:left w:val="single" w:sz="1" w:space="0" w:color="000000"/>
              <w:bottom w:val="single" w:sz="1" w:space="0" w:color="000000"/>
            </w:tcBorders>
            <w:vAlign w:val="center"/>
          </w:tcPr>
          <w:p w:rsidR="00CE5E6F" w:rsidRDefault="00710612" w:rsidP="0078232E">
            <w:pPr>
              <w:pStyle w:val="Reisetabelle"/>
              <w:rPr>
                <w:lang w:val="fr-FR"/>
              </w:rPr>
            </w:pPr>
            <w:r>
              <w:rPr>
                <w:lang w:val="fr-FR"/>
              </w:rPr>
              <w:t>Kapstadt</w:t>
            </w:r>
            <w:r w:rsidR="00363C1C">
              <w:rPr>
                <w:lang w:val="fr-FR"/>
              </w:rPr>
              <w:fldChar w:fldCharType="begin"/>
            </w:r>
            <w:r>
              <w:instrText xml:space="preserve"> XE "</w:instrText>
            </w:r>
            <w:r>
              <w:rPr>
                <w:lang w:val="en-GB"/>
              </w:rPr>
              <w:instrText>Kapstadt</w:instrText>
            </w:r>
            <w:r>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Port Nolloth</w:t>
            </w:r>
            <w:r w:rsidR="00363C1C">
              <w:rPr>
                <w:lang w:val="fr-FR"/>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fr-FR"/>
              </w:rPr>
            </w:pPr>
          </w:p>
        </w:tc>
        <w:tc>
          <w:tcPr>
            <w:tcW w:w="1191" w:type="dxa"/>
            <w:tcBorders>
              <w:left w:val="single" w:sz="1" w:space="0" w:color="000000"/>
              <w:bottom w:val="single" w:sz="1" w:space="0" w:color="000000"/>
              <w:right w:val="single" w:sz="1" w:space="0" w:color="000000"/>
            </w:tcBorders>
            <w:vAlign w:val="center"/>
          </w:tcPr>
          <w:p w:rsidR="00CE5E6F" w:rsidRDefault="00CE5E6F" w:rsidP="001717EE">
            <w:pPr>
              <w:pStyle w:val="Reisetabelle"/>
              <w:rPr>
                <w:lang w:val="fr-FR"/>
              </w:rPr>
            </w:pPr>
            <w:r>
              <w:rPr>
                <w:lang w:val="fr-FR"/>
              </w:rPr>
              <w:t>Schiff</w:t>
            </w:r>
            <w:r w:rsidR="001717EE">
              <w:rPr>
                <w:lang w:val="fr-FR"/>
              </w:rPr>
              <w:t xml:space="preserve"> („</w:t>
            </w:r>
            <w:r w:rsidR="001717EE">
              <w:t>Eduard Bohlen“)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287</w:t>
            </w:r>
            <w:r w:rsidR="00081453">
              <w:rPr>
                <w:lang w:val="fr-FR"/>
              </w:rPr>
              <w:t xml:space="preserve"> – </w:t>
            </w:r>
            <w:r>
              <w:rPr>
                <w:lang w:val="fr-FR"/>
              </w:rPr>
              <w:t>292</w:t>
            </w:r>
          </w:p>
        </w:tc>
        <w:tc>
          <w:tcPr>
            <w:tcW w:w="119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8. Dez.</w:t>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Port Nolloth</w:t>
            </w:r>
            <w:r w:rsidR="00363C1C">
              <w:rPr>
                <w:lang w:val="fr-FR"/>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Meisenholl</w:t>
            </w:r>
            <w:r w:rsidR="00363C1C">
              <w:fldChar w:fldCharType="begin"/>
            </w:r>
            <w:r w:rsidR="00D20257">
              <w:instrText xml:space="preserve"> XE "</w:instrText>
            </w:r>
            <w:r w:rsidR="00D20257" w:rsidRPr="009F60CD">
              <w:instrText>Meisenholl,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307</w:t>
            </w:r>
          </w:p>
        </w:tc>
        <w:tc>
          <w:tcPr>
            <w:tcW w:w="1190" w:type="dxa"/>
            <w:tcBorders>
              <w:left w:val="single" w:sz="1" w:space="0" w:color="000000"/>
              <w:bottom w:val="single" w:sz="1" w:space="0" w:color="000000"/>
            </w:tcBorders>
            <w:vAlign w:val="center"/>
          </w:tcPr>
          <w:p w:rsidR="00CE5E6F" w:rsidRDefault="00CE5E6F" w:rsidP="0078232E">
            <w:pPr>
              <w:pStyle w:val="Reisetabelle"/>
            </w:pPr>
            <w:r>
              <w:t>11.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Springbock</w:t>
            </w:r>
            <w:r w:rsidR="00363C1C">
              <w:fldChar w:fldCharType="begin"/>
            </w:r>
            <w:r w:rsidR="00D20257">
              <w:instrText xml:space="preserve"> XE "</w:instrText>
            </w:r>
            <w:r w:rsidR="00D20257" w:rsidRPr="00B67991">
              <w:instrText>Springbock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Mauleselkarre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314</w:t>
            </w:r>
            <w:r w:rsidR="00081453">
              <w:t xml:space="preserve"> – </w:t>
            </w:r>
            <w:r>
              <w:t>318</w:t>
            </w:r>
          </w:p>
        </w:tc>
        <w:tc>
          <w:tcPr>
            <w:tcW w:w="1190" w:type="dxa"/>
            <w:tcBorders>
              <w:left w:val="single" w:sz="1" w:space="0" w:color="000000"/>
              <w:bottom w:val="single" w:sz="1" w:space="0" w:color="000000"/>
            </w:tcBorders>
            <w:vAlign w:val="center"/>
          </w:tcPr>
          <w:p w:rsidR="00CE5E6F" w:rsidRDefault="00CE5E6F" w:rsidP="0078232E">
            <w:pPr>
              <w:pStyle w:val="Reisetabelle"/>
            </w:pPr>
            <w:r>
              <w:t>11. Dez.</w:t>
            </w:r>
          </w:p>
        </w:tc>
        <w:tc>
          <w:tcPr>
            <w:tcW w:w="1191" w:type="dxa"/>
            <w:tcBorders>
              <w:left w:val="single" w:sz="1" w:space="0" w:color="000000"/>
              <w:bottom w:val="single" w:sz="1" w:space="0" w:color="000000"/>
            </w:tcBorders>
            <w:vAlign w:val="center"/>
          </w:tcPr>
          <w:p w:rsidR="00CE5E6F" w:rsidRDefault="00CE5E6F" w:rsidP="0078232E">
            <w:pPr>
              <w:pStyle w:val="Reisetabelle"/>
            </w:pPr>
            <w:r>
              <w:t>Springbock</w:t>
            </w:r>
            <w:r w:rsidR="00363C1C">
              <w:fldChar w:fldCharType="begin"/>
            </w:r>
            <w:r w:rsidR="00D20257">
              <w:instrText xml:space="preserve"> XE "</w:instrText>
            </w:r>
            <w:r w:rsidR="00D20257" w:rsidRPr="00B67991">
              <w:instrText>Springbock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Mauleselkarre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319</w:t>
            </w:r>
            <w:r w:rsidR="00081453">
              <w:t xml:space="preserve"> – </w:t>
            </w:r>
            <w:r>
              <w:t>328</w:t>
            </w:r>
          </w:p>
        </w:tc>
        <w:tc>
          <w:tcPr>
            <w:tcW w:w="1190" w:type="dxa"/>
            <w:tcBorders>
              <w:left w:val="single" w:sz="1" w:space="0" w:color="000000"/>
              <w:bottom w:val="single" w:sz="1" w:space="0" w:color="000000"/>
            </w:tcBorders>
            <w:vAlign w:val="center"/>
          </w:tcPr>
          <w:p w:rsidR="00CE5E6F" w:rsidRDefault="00CE5E6F" w:rsidP="0078232E">
            <w:pPr>
              <w:pStyle w:val="Reisetabelle"/>
            </w:pPr>
            <w:r>
              <w:t>12.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Kommaggas</w:t>
            </w:r>
            <w:r w:rsidR="00363C1C">
              <w:fldChar w:fldCharType="begin"/>
            </w:r>
            <w:r w:rsidR="00D20257">
              <w:instrText xml:space="preserve"> XE "</w:instrText>
            </w:r>
            <w:r w:rsidR="00D20257" w:rsidRPr="006171F4">
              <w:instrText>Kommaggas</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Meyer</w:t>
            </w:r>
            <w:r w:rsidR="00363C1C">
              <w:fldChar w:fldCharType="begin"/>
            </w:r>
            <w:r w:rsidR="00D20257">
              <w:instrText xml:space="preserve"> XE "</w:instrText>
            </w:r>
            <w:r w:rsidR="00D20257" w:rsidRPr="00D438D6">
              <w:instrText>Meyer,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 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365</w:t>
            </w:r>
            <w:r w:rsidR="00081453">
              <w:t xml:space="preserve"> – </w:t>
            </w:r>
            <w:r>
              <w:t>372</w:t>
            </w:r>
          </w:p>
        </w:tc>
        <w:tc>
          <w:tcPr>
            <w:tcW w:w="1190" w:type="dxa"/>
            <w:tcBorders>
              <w:left w:val="single" w:sz="1" w:space="0" w:color="000000"/>
              <w:bottom w:val="single" w:sz="1" w:space="0" w:color="000000"/>
            </w:tcBorders>
            <w:vAlign w:val="center"/>
          </w:tcPr>
          <w:p w:rsidR="00CE5E6F" w:rsidRDefault="00CE5E6F" w:rsidP="0078232E">
            <w:pPr>
              <w:pStyle w:val="Reisetabelle"/>
            </w:pPr>
            <w:r>
              <w:t>20.</w:t>
            </w:r>
            <w:r w:rsidR="00081453">
              <w:t xml:space="preserve"> – </w:t>
            </w:r>
            <w:r>
              <w:t>21. Dez.</w:t>
            </w:r>
          </w:p>
        </w:tc>
        <w:tc>
          <w:tcPr>
            <w:tcW w:w="1191" w:type="dxa"/>
            <w:tcBorders>
              <w:left w:val="single" w:sz="1" w:space="0" w:color="000000"/>
              <w:bottom w:val="single" w:sz="1" w:space="0" w:color="000000"/>
            </w:tcBorders>
            <w:vAlign w:val="center"/>
          </w:tcPr>
          <w:p w:rsidR="00CE5E6F" w:rsidRDefault="00CE5E6F" w:rsidP="0078232E">
            <w:pPr>
              <w:pStyle w:val="Reisetabelle"/>
            </w:pPr>
            <w:r>
              <w:t>Kommaggas</w:t>
            </w:r>
            <w:r w:rsidR="00363C1C">
              <w:fldChar w:fldCharType="begin"/>
            </w:r>
            <w:r w:rsidR="00D20257">
              <w:instrText xml:space="preserve"> XE "</w:instrText>
            </w:r>
            <w:r w:rsidR="00D20257" w:rsidRPr="006171F4">
              <w:instrText>Kommaggas</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 / 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404</w:t>
            </w:r>
            <w:r w:rsidR="00081453">
              <w:t xml:space="preserve"> – </w:t>
            </w:r>
            <w:r>
              <w:t>406</w:t>
            </w:r>
          </w:p>
        </w:tc>
        <w:tc>
          <w:tcPr>
            <w:tcW w:w="1190" w:type="dxa"/>
            <w:tcBorders>
              <w:left w:val="single" w:sz="1" w:space="0" w:color="000000"/>
              <w:bottom w:val="single" w:sz="1" w:space="0" w:color="000000"/>
            </w:tcBorders>
            <w:vAlign w:val="center"/>
          </w:tcPr>
          <w:p w:rsidR="00CE5E6F" w:rsidRDefault="00CE5E6F" w:rsidP="0078232E">
            <w:pPr>
              <w:pStyle w:val="Reisetabelle"/>
            </w:pPr>
            <w:r>
              <w:t>27.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Concordia</w:t>
            </w:r>
            <w:r w:rsidR="00363C1C">
              <w:fldChar w:fldCharType="begin"/>
            </w:r>
            <w:r w:rsidR="00FD439D">
              <w:instrText xml:space="preserve"> XE "</w:instrText>
            </w:r>
            <w:r w:rsidR="00FD439D" w:rsidRPr="00B43315">
              <w:instrText>Concordia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Hanefeld</w:t>
            </w:r>
            <w:r w:rsidR="00363C1C">
              <w:fldChar w:fldCharType="begin"/>
            </w:r>
            <w:r w:rsidR="00D20257">
              <w:instrText xml:space="preserve"> XE "</w:instrText>
            </w:r>
            <w:r w:rsidR="00D20257" w:rsidRPr="001450CC">
              <w:instrText>Hanefeld,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419</w:t>
            </w:r>
            <w:r w:rsidR="00081453">
              <w:t xml:space="preserve"> – </w:t>
            </w:r>
            <w:r>
              <w:t>422</w:t>
            </w:r>
          </w:p>
        </w:tc>
        <w:tc>
          <w:tcPr>
            <w:tcW w:w="1190" w:type="dxa"/>
            <w:tcBorders>
              <w:left w:val="single" w:sz="1" w:space="0" w:color="000000"/>
              <w:bottom w:val="single" w:sz="1" w:space="0" w:color="000000"/>
            </w:tcBorders>
            <w:vAlign w:val="center"/>
          </w:tcPr>
          <w:p w:rsidR="00CE5E6F" w:rsidRDefault="00CE5E6F" w:rsidP="0078232E">
            <w:pPr>
              <w:pStyle w:val="Reisetabelle"/>
            </w:pPr>
            <w:r>
              <w:t>31. Dez.</w:t>
            </w:r>
          </w:p>
        </w:tc>
        <w:tc>
          <w:tcPr>
            <w:tcW w:w="1191" w:type="dxa"/>
            <w:tcBorders>
              <w:left w:val="single" w:sz="1" w:space="0" w:color="000000"/>
              <w:bottom w:val="single" w:sz="1" w:space="0" w:color="000000"/>
            </w:tcBorders>
            <w:vAlign w:val="center"/>
          </w:tcPr>
          <w:p w:rsidR="00CE5E6F" w:rsidRDefault="00CE5E6F" w:rsidP="0078232E">
            <w:pPr>
              <w:pStyle w:val="Reisetabelle"/>
            </w:pPr>
            <w:r>
              <w:t xml:space="preserve">Tagesausflug nach </w:t>
            </w:r>
            <w:r w:rsidR="004D5F2A">
              <w:t>Nababip</w:t>
            </w:r>
            <w:r w:rsidR="00363C1C">
              <w:fldChar w:fldCharType="begin"/>
            </w:r>
            <w:r w:rsidR="00D20257">
              <w:instrText xml:space="preserve"> XE "</w:instrText>
            </w:r>
            <w:r w:rsidR="004D5F2A">
              <w:instrText>Nababip</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430</w:t>
            </w:r>
          </w:p>
        </w:tc>
        <w:tc>
          <w:tcPr>
            <w:tcW w:w="1190" w:type="dxa"/>
            <w:tcBorders>
              <w:left w:val="single" w:sz="1" w:space="0" w:color="000000"/>
              <w:bottom w:val="single" w:sz="1" w:space="0" w:color="000000"/>
            </w:tcBorders>
            <w:vAlign w:val="center"/>
          </w:tcPr>
          <w:p w:rsidR="00CE5E6F" w:rsidRDefault="00CE5E6F" w:rsidP="0078232E">
            <w:pPr>
              <w:pStyle w:val="Reisetabelle"/>
            </w:pPr>
            <w:r>
              <w:t>3. Jan. 1906</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Springbockfontein</w:t>
            </w:r>
            <w:r w:rsidR="00363C1C">
              <w:fldChar w:fldCharType="begin"/>
            </w:r>
            <w:r w:rsidR="00D20257">
              <w:instrText xml:space="preserve"> XE "</w:instrText>
            </w:r>
            <w:r w:rsidR="00D20257" w:rsidRPr="00707127">
              <w:instrText>Springbockfontein</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en-GB"/>
              </w:rPr>
            </w:pPr>
            <w:r>
              <w:rPr>
                <w:lang w:val="en-GB"/>
              </w:rP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436</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4. Jan.</w:t>
            </w:r>
          </w:p>
        </w:tc>
        <w:tc>
          <w:tcPr>
            <w:tcW w:w="1191" w:type="dxa"/>
            <w:tcBorders>
              <w:left w:val="single" w:sz="1" w:space="0" w:color="000000"/>
              <w:bottom w:val="single" w:sz="1" w:space="0" w:color="000000"/>
            </w:tcBorders>
            <w:vAlign w:val="center"/>
          </w:tcPr>
          <w:p w:rsidR="00CE5E6F" w:rsidRDefault="00CE5E6F" w:rsidP="004229CF">
            <w:pPr>
              <w:pStyle w:val="Reisetabelle"/>
              <w:rPr>
                <w:lang w:val="en-GB"/>
              </w:rPr>
            </w:pPr>
            <w:r>
              <w:rPr>
                <w:lang w:val="en-GB"/>
              </w:rPr>
              <w:t>Con</w:t>
            </w:r>
            <w:r w:rsidR="004229CF">
              <w:rPr>
                <w:lang w:val="en-GB"/>
              </w:rPr>
              <w:t>c</w:t>
            </w:r>
            <w:r>
              <w:rPr>
                <w:lang w:val="en-GB"/>
              </w:rPr>
              <w:t>ordia</w:t>
            </w:r>
            <w:r w:rsidR="00363C1C">
              <w:rPr>
                <w:lang w:val="en-GB"/>
              </w:rPr>
              <w:fldChar w:fldCharType="begin"/>
            </w:r>
            <w:r w:rsidR="00D20257">
              <w:instrText xml:space="preserve"> XE "</w:instrText>
            </w:r>
            <w:r w:rsidR="00D20257" w:rsidRPr="00C91F97">
              <w:rPr>
                <w:lang w:val="en-GB"/>
              </w:rPr>
              <w:instrText>Con</w:instrText>
            </w:r>
            <w:r w:rsidR="004229CF">
              <w:rPr>
                <w:lang w:val="en-GB"/>
              </w:rPr>
              <w:instrText>c</w:instrText>
            </w:r>
            <w:r w:rsidR="00D20257" w:rsidRPr="00C91F97">
              <w:rPr>
                <w:lang w:val="en-GB"/>
              </w:rPr>
              <w:instrText>ordia</w:instrText>
            </w:r>
            <w:r w:rsidR="00D2025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449f</w:t>
            </w:r>
          </w:p>
        </w:tc>
        <w:tc>
          <w:tcPr>
            <w:tcW w:w="1190" w:type="dxa"/>
            <w:tcBorders>
              <w:left w:val="single" w:sz="1" w:space="0" w:color="000000"/>
              <w:bottom w:val="single" w:sz="1" w:space="0" w:color="000000"/>
            </w:tcBorders>
            <w:vAlign w:val="center"/>
          </w:tcPr>
          <w:p w:rsidR="00CE5E6F" w:rsidRDefault="00CE5E6F" w:rsidP="0078232E">
            <w:pPr>
              <w:pStyle w:val="Reisetabelle"/>
            </w:pPr>
            <w:r>
              <w:t>6. Jan.</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Port Nolloth</w:t>
            </w:r>
            <w:r w:rsidR="00363C1C">
              <w:fldChar w:fldCharType="begin"/>
            </w:r>
            <w:r w:rsidR="00D20257">
              <w:instrText xml:space="preserve"> XE "</w:instrText>
            </w:r>
            <w:r w:rsidR="00D20257" w:rsidRPr="00CA1DE2">
              <w:rPr>
                <w:lang w:val="fr-FR"/>
              </w:rPr>
              <w:instrText>Port Nolloth</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456</w:t>
            </w:r>
            <w:r w:rsidR="00081453">
              <w:rPr>
                <w:lang w:val="en-GB"/>
              </w:rPr>
              <w:t xml:space="preserve"> – </w:t>
            </w:r>
            <w:r>
              <w:rPr>
                <w:lang w:val="en-GB"/>
              </w:rPr>
              <w:t>460</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7.</w:t>
            </w:r>
            <w:r w:rsidR="00081453">
              <w:rPr>
                <w:lang w:val="en-GB"/>
              </w:rPr>
              <w:t xml:space="preserve"> – </w:t>
            </w:r>
            <w:r>
              <w:rPr>
                <w:lang w:val="en-GB"/>
              </w:rPr>
              <w:t>8. Jan.</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Port Nolloth</w:t>
            </w:r>
            <w:r w:rsidR="00363C1C">
              <w:rPr>
                <w:lang w:val="en-GB"/>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469</w:t>
            </w:r>
            <w:r w:rsidR="00081453">
              <w:t xml:space="preserve"> – </w:t>
            </w:r>
            <w:r>
              <w:t>475</w:t>
            </w:r>
          </w:p>
        </w:tc>
        <w:tc>
          <w:tcPr>
            <w:tcW w:w="1190" w:type="dxa"/>
            <w:tcBorders>
              <w:left w:val="single" w:sz="1" w:space="0" w:color="000000"/>
              <w:bottom w:val="single" w:sz="1" w:space="0" w:color="000000"/>
            </w:tcBorders>
            <w:vAlign w:val="center"/>
          </w:tcPr>
          <w:p w:rsidR="00CE5E6F" w:rsidRDefault="00CE5E6F" w:rsidP="0078232E">
            <w:pPr>
              <w:pStyle w:val="Reisetabelle"/>
            </w:pPr>
            <w:r>
              <w:t>9.</w:t>
            </w:r>
            <w:r w:rsidR="00081453">
              <w:t xml:space="preserve"> – </w:t>
            </w:r>
            <w:r>
              <w:t>10. Jan.</w:t>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Vedder</w:t>
            </w:r>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483</w:t>
            </w:r>
            <w:r w:rsidR="00081453">
              <w:t xml:space="preserve"> – </w:t>
            </w:r>
            <w:r>
              <w:t>489</w:t>
            </w:r>
          </w:p>
        </w:tc>
        <w:tc>
          <w:tcPr>
            <w:tcW w:w="1190" w:type="dxa"/>
            <w:tcBorders>
              <w:left w:val="single" w:sz="1" w:space="0" w:color="000000"/>
              <w:bottom w:val="single" w:sz="1" w:space="0" w:color="000000"/>
            </w:tcBorders>
            <w:vAlign w:val="center"/>
          </w:tcPr>
          <w:p w:rsidR="00CE5E6F" w:rsidRDefault="00CE5E6F" w:rsidP="0078232E">
            <w:pPr>
              <w:pStyle w:val="Reisetabelle"/>
            </w:pPr>
            <w:r>
              <w:t>12.</w:t>
            </w:r>
            <w:r w:rsidR="00081453">
              <w:t xml:space="preserve"> – </w:t>
            </w:r>
            <w:r>
              <w:t>13. Jan.</w:t>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lastRenderedPageBreak/>
              <w:t>508</w:t>
            </w:r>
            <w:r w:rsidR="00081453">
              <w:t xml:space="preserve"> – </w:t>
            </w:r>
            <w:r>
              <w:t>510</w:t>
            </w:r>
          </w:p>
        </w:tc>
        <w:tc>
          <w:tcPr>
            <w:tcW w:w="1190" w:type="dxa"/>
            <w:tcBorders>
              <w:left w:val="single" w:sz="1" w:space="0" w:color="000000"/>
              <w:bottom w:val="single" w:sz="1" w:space="0" w:color="000000"/>
            </w:tcBorders>
            <w:vAlign w:val="center"/>
          </w:tcPr>
          <w:p w:rsidR="00CE5E6F" w:rsidRDefault="00CE5E6F" w:rsidP="0078232E">
            <w:pPr>
              <w:pStyle w:val="Reisetabelle"/>
            </w:pPr>
            <w:r>
              <w:t>18. Jan.</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 Br. W.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(Präses im Hereroland)</w:t>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525f</w:t>
            </w:r>
          </w:p>
        </w:tc>
        <w:tc>
          <w:tcPr>
            <w:tcW w:w="1190" w:type="dxa"/>
            <w:tcBorders>
              <w:left w:val="single" w:sz="1" w:space="0" w:color="000000"/>
              <w:bottom w:val="single" w:sz="1" w:space="0" w:color="000000"/>
            </w:tcBorders>
            <w:vAlign w:val="center"/>
          </w:tcPr>
          <w:p w:rsidR="00CE5E6F" w:rsidRDefault="00CE5E6F" w:rsidP="0078232E">
            <w:pPr>
              <w:pStyle w:val="Reisetabelle"/>
            </w:pPr>
            <w:r>
              <w:t>21. Jan.</w:t>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Meier</w:t>
            </w:r>
            <w:r w:rsidR="00363C1C">
              <w:fldChar w:fldCharType="begin"/>
            </w:r>
            <w:r w:rsidR="00D20257">
              <w:instrText xml:space="preserve"> XE "</w:instrText>
            </w:r>
            <w:r w:rsidR="00D20257" w:rsidRPr="00476C89">
              <w:instrText>Meier, Br.</w:instrText>
            </w:r>
            <w:r w:rsidR="00D20257">
              <w:instrText xml:space="preserve">" </w:instrText>
            </w:r>
            <w:r w:rsidR="00363C1C">
              <w:fldChar w:fldCharType="end"/>
            </w:r>
            <w:r>
              <w:t xml:space="preserve"> / Br. Wandres</w:t>
            </w:r>
            <w:r w:rsidR="00363C1C">
              <w:fldChar w:fldCharType="begin"/>
            </w:r>
            <w:r w:rsidR="00D20257">
              <w:instrText xml:space="preserve"> XE "</w:instrText>
            </w:r>
            <w:r w:rsidR="00D20257" w:rsidRPr="0034069E">
              <w:instrText>Wandres,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540</w:t>
            </w:r>
          </w:p>
        </w:tc>
        <w:tc>
          <w:tcPr>
            <w:tcW w:w="1190" w:type="dxa"/>
            <w:tcBorders>
              <w:left w:val="single" w:sz="1" w:space="0" w:color="000000"/>
              <w:bottom w:val="single" w:sz="1" w:space="0" w:color="000000"/>
            </w:tcBorders>
            <w:vAlign w:val="center"/>
          </w:tcPr>
          <w:p w:rsidR="00CE5E6F" w:rsidRDefault="00CE5E6F" w:rsidP="0078232E">
            <w:pPr>
              <w:pStyle w:val="Reisetabelle"/>
            </w:pPr>
            <w:r>
              <w:t>24. Jan.</w:t>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564</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29. Jan.</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Okahandja</w:t>
            </w:r>
            <w:r w:rsidR="00363C1C">
              <w:rPr>
                <w:lang w:val="en-GB"/>
              </w:rPr>
              <w:fldChar w:fldCharType="begin"/>
            </w:r>
            <w:r w:rsidR="00D20257">
              <w:instrText xml:space="preserve"> XE "</w:instrText>
            </w:r>
            <w:r w:rsidR="00D20257" w:rsidRPr="0056475F">
              <w:instrText>Okahandja</w:instrText>
            </w:r>
            <w:r w:rsidR="00D2025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Karibib</w:t>
            </w:r>
            <w:r w:rsidR="00363C1C">
              <w:rPr>
                <w:lang w:val="en-GB"/>
              </w:rPr>
              <w:fldChar w:fldCharType="begin"/>
            </w:r>
            <w:r w:rsidR="00D20257">
              <w:instrText xml:space="preserve"> XE "</w:instrText>
            </w:r>
            <w:r w:rsidR="00D20257" w:rsidRPr="00EB7643">
              <w:instrText>Karibib</w:instrText>
            </w:r>
            <w:r w:rsidR="00D2025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en-GB"/>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575</w:t>
            </w:r>
            <w:r w:rsidR="00081453">
              <w:t xml:space="preserve"> – </w:t>
            </w:r>
            <w:r>
              <w:t>582</w:t>
            </w:r>
          </w:p>
        </w:tc>
        <w:tc>
          <w:tcPr>
            <w:tcW w:w="1190" w:type="dxa"/>
            <w:tcBorders>
              <w:left w:val="single" w:sz="1" w:space="0" w:color="000000"/>
              <w:bottom w:val="single" w:sz="1" w:space="0" w:color="000000"/>
            </w:tcBorders>
            <w:vAlign w:val="center"/>
          </w:tcPr>
          <w:p w:rsidR="00CE5E6F" w:rsidRDefault="00CE5E6F" w:rsidP="0078232E">
            <w:pPr>
              <w:pStyle w:val="Reisetabelle"/>
            </w:pPr>
            <w:r>
              <w:t>31. Jan.</w:t>
            </w:r>
            <w:r w:rsidR="00081453">
              <w:t xml:space="preserve"> – </w:t>
            </w:r>
            <w:r>
              <w:t>1. Feb.</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Dannert</w:t>
            </w:r>
            <w:r w:rsidR="00363C1C">
              <w:fldChar w:fldCharType="begin"/>
            </w:r>
            <w:r w:rsidR="00FD439D">
              <w:instrText xml:space="preserve"> XE "</w:instrText>
            </w:r>
            <w:r w:rsidR="00FD439D" w:rsidRPr="002D35B6">
              <w:instrText>Dannert, Geschw.</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604</w:t>
            </w:r>
            <w:r w:rsidR="00081453">
              <w:t xml:space="preserve"> – </w:t>
            </w:r>
            <w:r>
              <w:t>607</w:t>
            </w:r>
          </w:p>
        </w:tc>
        <w:tc>
          <w:tcPr>
            <w:tcW w:w="1190" w:type="dxa"/>
            <w:tcBorders>
              <w:left w:val="single" w:sz="1" w:space="0" w:color="000000"/>
              <w:bottom w:val="single" w:sz="1" w:space="0" w:color="000000"/>
            </w:tcBorders>
            <w:vAlign w:val="center"/>
          </w:tcPr>
          <w:p w:rsidR="00CE5E6F" w:rsidRDefault="00CE5E6F" w:rsidP="0078232E">
            <w:pPr>
              <w:pStyle w:val="Reisetabelle"/>
            </w:pPr>
            <w:r>
              <w:t>6. Feb.</w:t>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xml:space="preserve"> (Sammelstelle</w:t>
            </w:r>
            <w:r w:rsidR="00363C1C">
              <w:fldChar w:fldCharType="begin"/>
            </w:r>
            <w:r w:rsidR="00E01EA7">
              <w:instrText xml:space="preserve"> XE "</w:instrText>
            </w:r>
            <w:r w:rsidR="00E01EA7" w:rsidRPr="00152922">
              <w:instrText>Sammelstelle</w:instrText>
            </w:r>
            <w:r w:rsidR="00E01EA7">
              <w:instrText xml:space="preserve">" </w:instrText>
            </w:r>
            <w:r w:rsidR="00363C1C">
              <w:fldChar w:fldCharType="end"/>
            </w:r>
            <w:r>
              <w:t>)</w:t>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Mauleselkarre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619</w:t>
            </w:r>
            <w:r w:rsidR="00081453">
              <w:t xml:space="preserve"> – </w:t>
            </w:r>
            <w:r>
              <w:t>627</w:t>
            </w:r>
          </w:p>
        </w:tc>
        <w:tc>
          <w:tcPr>
            <w:tcW w:w="1190" w:type="dxa"/>
            <w:tcBorders>
              <w:left w:val="single" w:sz="1" w:space="0" w:color="000000"/>
              <w:bottom w:val="single" w:sz="1" w:space="0" w:color="000000"/>
            </w:tcBorders>
            <w:vAlign w:val="center"/>
          </w:tcPr>
          <w:p w:rsidR="00CE5E6F" w:rsidRDefault="00CE5E6F" w:rsidP="0078232E">
            <w:pPr>
              <w:pStyle w:val="Reisetabelle"/>
            </w:pPr>
            <w:r>
              <w:t>8.</w:t>
            </w:r>
            <w:r w:rsidR="00081453">
              <w:t xml:space="preserve"> – </w:t>
            </w:r>
            <w:r>
              <w:t>9. Feb.</w:t>
            </w:r>
          </w:p>
        </w:tc>
        <w:tc>
          <w:tcPr>
            <w:tcW w:w="1191" w:type="dxa"/>
            <w:tcBorders>
              <w:left w:val="single" w:sz="1" w:space="0" w:color="000000"/>
              <w:bottom w:val="single" w:sz="1" w:space="0" w:color="000000"/>
            </w:tcBorders>
            <w:vAlign w:val="center"/>
          </w:tcPr>
          <w:p w:rsidR="00CE5E6F" w:rsidRDefault="00CE5E6F" w:rsidP="0078232E">
            <w:pPr>
              <w:pStyle w:val="Reisetabelle"/>
            </w:pPr>
            <w:r>
              <w:t>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Baumann</w:t>
            </w:r>
            <w:r w:rsidR="00363C1C">
              <w:fldChar w:fldCharType="begin"/>
            </w:r>
            <w:r w:rsidR="00FD439D">
              <w:instrText xml:space="preserve"> XE "</w:instrText>
            </w:r>
            <w:r w:rsidR="00FD439D" w:rsidRPr="004572FE">
              <w:instrText>Baumann, Br.</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673</w:t>
            </w:r>
            <w:r w:rsidR="00081453">
              <w:t xml:space="preserve"> – </w:t>
            </w:r>
            <w:r>
              <w:t>680</w:t>
            </w:r>
          </w:p>
        </w:tc>
        <w:tc>
          <w:tcPr>
            <w:tcW w:w="1190" w:type="dxa"/>
            <w:tcBorders>
              <w:left w:val="single" w:sz="1" w:space="0" w:color="000000"/>
              <w:bottom w:val="single" w:sz="1" w:space="0" w:color="000000"/>
            </w:tcBorders>
            <w:vAlign w:val="center"/>
          </w:tcPr>
          <w:p w:rsidR="00CE5E6F" w:rsidRDefault="00CE5E6F" w:rsidP="0078232E">
            <w:pPr>
              <w:pStyle w:val="Reisetabelle"/>
            </w:pPr>
            <w:r>
              <w:t>5.</w:t>
            </w:r>
            <w:r w:rsidR="00081453">
              <w:t xml:space="preserve"> – </w:t>
            </w:r>
            <w:r>
              <w:t>6.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699</w:t>
            </w:r>
            <w:r w:rsidR="00081453">
              <w:t xml:space="preserve"> – </w:t>
            </w:r>
            <w:r>
              <w:t>702</w:t>
            </w:r>
          </w:p>
        </w:tc>
        <w:tc>
          <w:tcPr>
            <w:tcW w:w="1190" w:type="dxa"/>
            <w:tcBorders>
              <w:left w:val="single" w:sz="1" w:space="0" w:color="000000"/>
              <w:bottom w:val="single" w:sz="1" w:space="0" w:color="000000"/>
            </w:tcBorders>
            <w:vAlign w:val="center"/>
          </w:tcPr>
          <w:p w:rsidR="00CE5E6F" w:rsidRDefault="00CE5E6F" w:rsidP="0078232E">
            <w:pPr>
              <w:pStyle w:val="Reisetabelle"/>
            </w:pPr>
            <w:r>
              <w:t>9.</w:t>
            </w:r>
            <w:r w:rsidR="00081453">
              <w:t xml:space="preserve"> – </w:t>
            </w:r>
            <w:r>
              <w:t>10.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717</w:t>
            </w:r>
            <w:r w:rsidR="00081453">
              <w:t xml:space="preserve"> – </w:t>
            </w:r>
            <w:r>
              <w:t>722</w:t>
            </w:r>
          </w:p>
        </w:tc>
        <w:tc>
          <w:tcPr>
            <w:tcW w:w="1190" w:type="dxa"/>
            <w:tcBorders>
              <w:left w:val="single" w:sz="1" w:space="0" w:color="000000"/>
              <w:bottom w:val="single" w:sz="1" w:space="0" w:color="000000"/>
            </w:tcBorders>
            <w:vAlign w:val="center"/>
          </w:tcPr>
          <w:p w:rsidR="00CE5E6F" w:rsidRDefault="00CE5E6F" w:rsidP="0078232E">
            <w:pPr>
              <w:pStyle w:val="Reisetabelle"/>
            </w:pPr>
            <w:r>
              <w:t>14.</w:t>
            </w:r>
            <w:r w:rsidR="00081453">
              <w:t xml:space="preserve"> – </w:t>
            </w:r>
            <w:r>
              <w:t>15.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rPr>
                <w:lang w:val="en-GB"/>
              </w:rPr>
              <w:t>Br. Olpp</w:t>
            </w:r>
            <w:r w:rsidR="00363C1C">
              <w:rPr>
                <w:lang w:val="en-GB"/>
              </w:rPr>
              <w:fldChar w:fldCharType="begin"/>
            </w:r>
            <w:r w:rsidR="00FD439D">
              <w:instrText xml:space="preserve"> XE "</w:instrText>
            </w:r>
            <w:r w:rsidR="00FD439D" w:rsidRPr="00575A54">
              <w:rPr>
                <w:lang w:val="en-GB"/>
              </w:rPr>
              <w:instrText>Olpp, Br.</w:instrText>
            </w:r>
            <w:r w:rsidR="00FD439D">
              <w:instrText xml:space="preserve">" </w:instrText>
            </w:r>
            <w:r w:rsidR="00363C1C">
              <w:rPr>
                <w:lang w:val="en-GB"/>
              </w:rPr>
              <w:fldChar w:fldCharType="end"/>
            </w:r>
            <w:r>
              <w:rPr>
                <w:lang w:val="en-GB"/>
              </w:rPr>
              <w:t xml:space="preserve"> / Br. </w:t>
            </w:r>
            <w:r>
              <w:t>Bernsmann</w:t>
            </w:r>
            <w:r w:rsidR="00363C1C">
              <w:fldChar w:fldCharType="begin"/>
            </w:r>
            <w:r w:rsidR="00FD439D">
              <w:instrText xml:space="preserve"> XE "</w:instrText>
            </w:r>
            <w:r w:rsidR="00FD439D" w:rsidRPr="00310DEE">
              <w:instrText>Bernsmann, Br.</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749f</w:t>
            </w:r>
          </w:p>
        </w:tc>
        <w:tc>
          <w:tcPr>
            <w:tcW w:w="1190" w:type="dxa"/>
            <w:tcBorders>
              <w:left w:val="single" w:sz="1" w:space="0" w:color="000000"/>
              <w:bottom w:val="single" w:sz="1" w:space="0" w:color="000000"/>
            </w:tcBorders>
            <w:vAlign w:val="center"/>
          </w:tcPr>
          <w:p w:rsidR="00CE5E6F" w:rsidRDefault="00CE5E6F" w:rsidP="0078232E">
            <w:pPr>
              <w:pStyle w:val="Reisetabelle"/>
            </w:pPr>
            <w:r>
              <w:t>21.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776</w:t>
            </w:r>
          </w:p>
        </w:tc>
        <w:tc>
          <w:tcPr>
            <w:tcW w:w="1190" w:type="dxa"/>
            <w:tcBorders>
              <w:left w:val="single" w:sz="1" w:space="0" w:color="000000"/>
              <w:bottom w:val="single" w:sz="1" w:space="0" w:color="000000"/>
            </w:tcBorders>
            <w:vAlign w:val="center"/>
          </w:tcPr>
          <w:p w:rsidR="00CE5E6F" w:rsidRDefault="00CE5E6F" w:rsidP="0078232E">
            <w:pPr>
              <w:pStyle w:val="Reisetabelle"/>
            </w:pPr>
            <w:r>
              <w:t>27.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781f</w:t>
            </w:r>
          </w:p>
        </w:tc>
        <w:tc>
          <w:tcPr>
            <w:tcW w:w="1190" w:type="dxa"/>
            <w:tcBorders>
              <w:left w:val="single" w:sz="1" w:space="0" w:color="000000"/>
              <w:bottom w:val="single" w:sz="1" w:space="0" w:color="000000"/>
            </w:tcBorders>
            <w:vAlign w:val="center"/>
          </w:tcPr>
          <w:p w:rsidR="00CE5E6F" w:rsidRDefault="00CE5E6F" w:rsidP="0078232E">
            <w:pPr>
              <w:pStyle w:val="Reisetabelle"/>
            </w:pPr>
            <w:r>
              <w:t>29. März</w:t>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823</w:t>
            </w:r>
            <w:r w:rsidR="00081453">
              <w:t xml:space="preserve"> – </w:t>
            </w:r>
            <w:r>
              <w:t>831</w:t>
            </w:r>
          </w:p>
        </w:tc>
        <w:tc>
          <w:tcPr>
            <w:tcW w:w="1190" w:type="dxa"/>
            <w:tcBorders>
              <w:left w:val="single" w:sz="1" w:space="0" w:color="000000"/>
              <w:bottom w:val="single" w:sz="1" w:space="0" w:color="000000"/>
            </w:tcBorders>
            <w:vAlign w:val="center"/>
          </w:tcPr>
          <w:p w:rsidR="00CE5E6F" w:rsidRDefault="00CE5E6F" w:rsidP="0078232E">
            <w:pPr>
              <w:pStyle w:val="Reisetabelle"/>
            </w:pPr>
            <w:r>
              <w:t>7.</w:t>
            </w:r>
            <w:r w:rsidR="00081453">
              <w:t xml:space="preserve"> – </w:t>
            </w:r>
            <w:r>
              <w:t>9. April</w:t>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871</w:t>
            </w:r>
            <w:r w:rsidR="00081453">
              <w:t xml:space="preserve"> – </w:t>
            </w:r>
            <w:r>
              <w:t>880</w:t>
            </w:r>
          </w:p>
        </w:tc>
        <w:tc>
          <w:tcPr>
            <w:tcW w:w="1190" w:type="dxa"/>
            <w:tcBorders>
              <w:left w:val="single" w:sz="1" w:space="0" w:color="000000"/>
              <w:bottom w:val="single" w:sz="1" w:space="0" w:color="000000"/>
            </w:tcBorders>
            <w:vAlign w:val="center"/>
          </w:tcPr>
          <w:p w:rsidR="00CE5E6F" w:rsidRDefault="00CE5E6F" w:rsidP="0078232E">
            <w:pPr>
              <w:pStyle w:val="Reisetabelle"/>
            </w:pPr>
            <w:r>
              <w:t>18.</w:t>
            </w:r>
            <w:r w:rsidR="00081453">
              <w:t xml:space="preserve"> – </w:t>
            </w:r>
            <w:r>
              <w:t>20. April</w:t>
            </w:r>
          </w:p>
        </w:tc>
        <w:tc>
          <w:tcPr>
            <w:tcW w:w="1191" w:type="dxa"/>
            <w:tcBorders>
              <w:left w:val="single" w:sz="1" w:space="0" w:color="000000"/>
              <w:bottom w:val="single" w:sz="1" w:space="0" w:color="000000"/>
            </w:tcBorders>
            <w:vAlign w:val="center"/>
          </w:tcPr>
          <w:p w:rsidR="00CE5E6F" w:rsidRDefault="00CE5E6F" w:rsidP="0078232E">
            <w:pPr>
              <w:pStyle w:val="Reisetabelle"/>
            </w:pPr>
            <w:r>
              <w:t>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Niemeier</w:t>
            </w:r>
            <w:r w:rsidR="00363C1C">
              <w:fldChar w:fldCharType="begin"/>
            </w:r>
            <w:r w:rsidR="00FD439D">
              <w:instrText xml:space="preserve"> XE "</w:instrText>
            </w:r>
            <w:r w:rsidR="00FD439D" w:rsidRPr="006A50D0">
              <w:instrText>Niemeier, Br.</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896</w:t>
            </w:r>
            <w:r w:rsidR="00081453">
              <w:t xml:space="preserve"> – </w:t>
            </w:r>
            <w:r>
              <w:t>901</w:t>
            </w:r>
          </w:p>
        </w:tc>
        <w:tc>
          <w:tcPr>
            <w:tcW w:w="1190" w:type="dxa"/>
            <w:tcBorders>
              <w:left w:val="single" w:sz="1" w:space="0" w:color="000000"/>
              <w:bottom w:val="single" w:sz="1" w:space="0" w:color="000000"/>
            </w:tcBorders>
            <w:vAlign w:val="center"/>
          </w:tcPr>
          <w:p w:rsidR="00CE5E6F" w:rsidRDefault="00CE5E6F" w:rsidP="0078232E">
            <w:pPr>
              <w:pStyle w:val="Reisetabelle"/>
            </w:pPr>
            <w:r>
              <w:t>25.</w:t>
            </w:r>
            <w:r w:rsidR="00081453">
              <w:t xml:space="preserve"> – </w:t>
            </w:r>
            <w:r>
              <w:t>27. April</w:t>
            </w:r>
          </w:p>
        </w:tc>
        <w:tc>
          <w:tcPr>
            <w:tcW w:w="1191" w:type="dxa"/>
            <w:tcBorders>
              <w:left w:val="single" w:sz="1" w:space="0" w:color="000000"/>
              <w:bottom w:val="single" w:sz="1" w:space="0" w:color="000000"/>
            </w:tcBorders>
            <w:vAlign w:val="center"/>
          </w:tcPr>
          <w:p w:rsidR="00CE5E6F" w:rsidRDefault="00CE5E6F" w:rsidP="0078232E">
            <w:pPr>
              <w:pStyle w:val="Reisetabelle"/>
            </w:pPr>
            <w:r>
              <w:t>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904</w:t>
            </w:r>
            <w:r w:rsidR="00081453">
              <w:t xml:space="preserve"> – </w:t>
            </w:r>
            <w:r>
              <w:t>909</w:t>
            </w:r>
          </w:p>
        </w:tc>
        <w:tc>
          <w:tcPr>
            <w:tcW w:w="1190" w:type="dxa"/>
            <w:tcBorders>
              <w:left w:val="single" w:sz="1" w:space="0" w:color="000000"/>
              <w:bottom w:val="single" w:sz="1" w:space="0" w:color="000000"/>
            </w:tcBorders>
            <w:vAlign w:val="center"/>
          </w:tcPr>
          <w:p w:rsidR="00CE5E6F" w:rsidRDefault="00CE5E6F" w:rsidP="0078232E">
            <w:pPr>
              <w:pStyle w:val="Reisetabelle"/>
            </w:pPr>
            <w:r>
              <w:t>30. April</w:t>
            </w:r>
            <w:r w:rsidR="00081453">
              <w:t xml:space="preserve"> – </w:t>
            </w:r>
            <w:r>
              <w:t>2. Mai</w:t>
            </w:r>
          </w:p>
        </w:tc>
        <w:tc>
          <w:tcPr>
            <w:tcW w:w="1191" w:type="dxa"/>
            <w:tcBorders>
              <w:left w:val="single" w:sz="1" w:space="0" w:color="000000"/>
              <w:bottom w:val="single" w:sz="1" w:space="0" w:color="000000"/>
            </w:tcBorders>
            <w:vAlign w:val="center"/>
          </w:tcPr>
          <w:p w:rsidR="00CE5E6F" w:rsidRDefault="00CE5E6F" w:rsidP="0078232E">
            <w:pPr>
              <w:pStyle w:val="Reisetabelle"/>
            </w:pPr>
            <w:r>
              <w:t>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910</w:t>
            </w:r>
            <w:r w:rsidR="00081453">
              <w:t xml:space="preserve"> – </w:t>
            </w:r>
            <w:r>
              <w:t>912</w:t>
            </w:r>
          </w:p>
        </w:tc>
        <w:tc>
          <w:tcPr>
            <w:tcW w:w="1190" w:type="dxa"/>
            <w:tcBorders>
              <w:left w:val="single" w:sz="1" w:space="0" w:color="000000"/>
              <w:bottom w:val="single" w:sz="1" w:space="0" w:color="000000"/>
            </w:tcBorders>
            <w:vAlign w:val="center"/>
          </w:tcPr>
          <w:p w:rsidR="00CE5E6F" w:rsidRDefault="00CE5E6F" w:rsidP="0078232E">
            <w:pPr>
              <w:pStyle w:val="Reisetabelle"/>
            </w:pPr>
            <w:r>
              <w:t>3.</w:t>
            </w:r>
            <w:r w:rsidR="00081453">
              <w:t xml:space="preserve"> – </w:t>
            </w:r>
            <w:r>
              <w:t>5. Mai</w:t>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(Sa</w:t>
            </w:r>
            <w:r>
              <w:t>m</w:t>
            </w:r>
            <w:r>
              <w:t>melstelle</w:t>
            </w:r>
            <w:r w:rsidR="00363C1C">
              <w:fldChar w:fldCharType="begin"/>
            </w:r>
            <w:r w:rsidR="00E01EA7">
              <w:instrText xml:space="preserve"> XE "</w:instrText>
            </w:r>
            <w:r w:rsidR="00E01EA7" w:rsidRPr="00152922">
              <w:instrText>Sammelstelle</w:instrText>
            </w:r>
            <w:r w:rsidR="00E01EA7">
              <w:instrText xml:space="preserve">" </w:instrText>
            </w:r>
            <w:r w:rsidR="00363C1C">
              <w:fldChar w:fldCharType="end"/>
            </w:r>
            <w:r>
              <w:t>)</w:t>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920</w:t>
            </w:r>
            <w:r w:rsidR="00081453">
              <w:t xml:space="preserve"> – </w:t>
            </w:r>
            <w:r>
              <w:t>923</w:t>
            </w:r>
          </w:p>
        </w:tc>
        <w:tc>
          <w:tcPr>
            <w:tcW w:w="1190" w:type="dxa"/>
            <w:tcBorders>
              <w:left w:val="single" w:sz="1" w:space="0" w:color="000000"/>
              <w:bottom w:val="single" w:sz="1" w:space="0" w:color="000000"/>
            </w:tcBorders>
            <w:vAlign w:val="center"/>
          </w:tcPr>
          <w:p w:rsidR="00CE5E6F" w:rsidRDefault="00CE5E6F" w:rsidP="0078232E">
            <w:pPr>
              <w:pStyle w:val="Reisetabelle"/>
            </w:pPr>
            <w:r>
              <w:t>7.</w:t>
            </w:r>
            <w:r w:rsidR="00081453">
              <w:t xml:space="preserve"> – </w:t>
            </w:r>
            <w:r>
              <w:t>9. Mai</w:t>
            </w:r>
          </w:p>
        </w:tc>
        <w:tc>
          <w:tcPr>
            <w:tcW w:w="1191" w:type="dxa"/>
            <w:tcBorders>
              <w:left w:val="single" w:sz="1" w:space="0" w:color="000000"/>
              <w:bottom w:val="single" w:sz="1" w:space="0" w:color="000000"/>
            </w:tcBorders>
            <w:vAlign w:val="center"/>
          </w:tcPr>
          <w:p w:rsidR="00CE5E6F" w:rsidRDefault="00CE5E6F" w:rsidP="0078232E">
            <w:pPr>
              <w:pStyle w:val="Reisetabelle"/>
            </w:pPr>
            <w:r>
              <w:t>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931</w:t>
            </w:r>
          </w:p>
        </w:tc>
        <w:tc>
          <w:tcPr>
            <w:tcW w:w="1190" w:type="dxa"/>
            <w:tcBorders>
              <w:left w:val="single" w:sz="1" w:space="0" w:color="000000"/>
              <w:bottom w:val="single" w:sz="1" w:space="0" w:color="000000"/>
            </w:tcBorders>
            <w:vAlign w:val="center"/>
          </w:tcPr>
          <w:p w:rsidR="00CE5E6F" w:rsidRDefault="00CE5E6F" w:rsidP="0078232E">
            <w:pPr>
              <w:pStyle w:val="Reisetabelle"/>
            </w:pPr>
            <w:r>
              <w:t>12. Mai</w:t>
            </w:r>
          </w:p>
        </w:tc>
        <w:tc>
          <w:tcPr>
            <w:tcW w:w="1191" w:type="dxa"/>
            <w:tcBorders>
              <w:left w:val="single" w:sz="1" w:space="0" w:color="000000"/>
              <w:bottom w:val="single" w:sz="1" w:space="0" w:color="000000"/>
            </w:tcBorders>
            <w:vAlign w:val="center"/>
          </w:tcPr>
          <w:p w:rsidR="00CE5E6F" w:rsidRDefault="00CE5E6F" w:rsidP="0078232E">
            <w:pPr>
              <w:pStyle w:val="Reisetabelle"/>
            </w:pPr>
            <w:r>
              <w:t>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936</w:t>
            </w:r>
          </w:p>
        </w:tc>
        <w:tc>
          <w:tcPr>
            <w:tcW w:w="1190" w:type="dxa"/>
            <w:tcBorders>
              <w:left w:val="single" w:sz="1" w:space="0" w:color="000000"/>
              <w:bottom w:val="single" w:sz="1" w:space="0" w:color="000000"/>
            </w:tcBorders>
            <w:vAlign w:val="center"/>
          </w:tcPr>
          <w:p w:rsidR="00CE5E6F" w:rsidRDefault="00CE5E6F" w:rsidP="0078232E">
            <w:pPr>
              <w:pStyle w:val="Reisetabelle"/>
            </w:pPr>
            <w:r>
              <w:t>15. Mai</w:t>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938</w:t>
            </w:r>
          </w:p>
        </w:tc>
        <w:tc>
          <w:tcPr>
            <w:tcW w:w="1190" w:type="dxa"/>
            <w:tcBorders>
              <w:left w:val="single" w:sz="1" w:space="0" w:color="000000"/>
              <w:bottom w:val="single" w:sz="1" w:space="0" w:color="000000"/>
            </w:tcBorders>
            <w:vAlign w:val="center"/>
          </w:tcPr>
          <w:p w:rsidR="00CE5E6F" w:rsidRDefault="00CE5E6F" w:rsidP="0078232E">
            <w:pPr>
              <w:pStyle w:val="Reisetabelle"/>
            </w:pPr>
            <w:r>
              <w:t>16. Mai</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Usakos</w:t>
            </w:r>
            <w:r w:rsidR="00363C1C">
              <w:fldChar w:fldCharType="begin"/>
            </w:r>
            <w:r w:rsidR="00FD439D">
              <w:instrText xml:space="preserve"> XE "</w:instrText>
            </w:r>
            <w:r w:rsidR="00FD439D" w:rsidRPr="00A0642A">
              <w:instrText>Usakos</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939</w:t>
            </w:r>
          </w:p>
        </w:tc>
        <w:tc>
          <w:tcPr>
            <w:tcW w:w="1190" w:type="dxa"/>
            <w:tcBorders>
              <w:left w:val="single" w:sz="1" w:space="0" w:color="000000"/>
              <w:bottom w:val="single" w:sz="1" w:space="0" w:color="000000"/>
            </w:tcBorders>
            <w:vAlign w:val="center"/>
          </w:tcPr>
          <w:p w:rsidR="00CE5E6F" w:rsidRDefault="00CE5E6F" w:rsidP="0078232E">
            <w:pPr>
              <w:pStyle w:val="Reisetabelle"/>
            </w:pPr>
            <w:r>
              <w:t>17. Mai</w:t>
            </w:r>
          </w:p>
        </w:tc>
        <w:tc>
          <w:tcPr>
            <w:tcW w:w="1191" w:type="dxa"/>
            <w:tcBorders>
              <w:left w:val="single" w:sz="1" w:space="0" w:color="000000"/>
              <w:bottom w:val="single" w:sz="1" w:space="0" w:color="000000"/>
            </w:tcBorders>
            <w:vAlign w:val="center"/>
          </w:tcPr>
          <w:p w:rsidR="00CE5E6F" w:rsidRDefault="00CE5E6F" w:rsidP="0078232E">
            <w:pPr>
              <w:pStyle w:val="Reisetabelle"/>
            </w:pPr>
            <w:r>
              <w:t>Usakos</w:t>
            </w:r>
            <w:r w:rsidR="00363C1C">
              <w:fldChar w:fldCharType="begin"/>
            </w:r>
            <w:r w:rsidR="00FD439D">
              <w:instrText xml:space="preserve"> XE "</w:instrText>
            </w:r>
            <w:r w:rsidR="00FD439D" w:rsidRPr="00A0642A">
              <w:instrText>Usakos</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940f</w:t>
            </w:r>
          </w:p>
        </w:tc>
        <w:tc>
          <w:tcPr>
            <w:tcW w:w="1190" w:type="dxa"/>
            <w:tcBorders>
              <w:left w:val="single" w:sz="1" w:space="0" w:color="000000"/>
              <w:bottom w:val="single" w:sz="1" w:space="0" w:color="000000"/>
            </w:tcBorders>
            <w:vAlign w:val="center"/>
          </w:tcPr>
          <w:p w:rsidR="00CE5E6F" w:rsidRDefault="00CE5E6F" w:rsidP="0078232E">
            <w:pPr>
              <w:pStyle w:val="Reisetabelle"/>
            </w:pPr>
            <w:r>
              <w:t>18. Mai</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Frachtwagen (mit Mauleseln)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944</w:t>
            </w:r>
            <w:r w:rsidR="00081453">
              <w:t xml:space="preserve"> – </w:t>
            </w:r>
            <w:r>
              <w:t>947</w:t>
            </w:r>
          </w:p>
        </w:tc>
        <w:tc>
          <w:tcPr>
            <w:tcW w:w="1190" w:type="dxa"/>
            <w:tcBorders>
              <w:left w:val="single" w:sz="1" w:space="0" w:color="000000"/>
              <w:bottom w:val="single" w:sz="1" w:space="0" w:color="000000"/>
            </w:tcBorders>
            <w:vAlign w:val="center"/>
          </w:tcPr>
          <w:p w:rsidR="00CE5E6F" w:rsidRDefault="00CE5E6F" w:rsidP="0078232E">
            <w:pPr>
              <w:pStyle w:val="Reisetabelle"/>
            </w:pPr>
            <w:r>
              <w:t>19.</w:t>
            </w:r>
            <w:r w:rsidR="00081453">
              <w:t xml:space="preserve"> – </w:t>
            </w:r>
            <w:r>
              <w:t>21. Mai</w:t>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Okaputa</w:t>
            </w:r>
            <w:r w:rsidR="00363C1C">
              <w:fldChar w:fldCharType="begin"/>
            </w:r>
            <w:r w:rsidR="00FD439D">
              <w:instrText xml:space="preserve"> XE "</w:instrText>
            </w:r>
            <w:r w:rsidR="00FD439D" w:rsidRPr="00F00073">
              <w:instrText>Okaputa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948</w:t>
            </w:r>
            <w:r w:rsidR="00081453">
              <w:t xml:space="preserve"> – </w:t>
            </w:r>
            <w:r>
              <w:t>955</w:t>
            </w:r>
          </w:p>
        </w:tc>
        <w:tc>
          <w:tcPr>
            <w:tcW w:w="1190" w:type="dxa"/>
            <w:tcBorders>
              <w:left w:val="single" w:sz="1" w:space="0" w:color="000000"/>
              <w:bottom w:val="single" w:sz="1" w:space="0" w:color="000000"/>
            </w:tcBorders>
            <w:vAlign w:val="center"/>
          </w:tcPr>
          <w:p w:rsidR="00CE5E6F" w:rsidRDefault="00CE5E6F" w:rsidP="0078232E">
            <w:pPr>
              <w:pStyle w:val="Reisetabelle"/>
            </w:pPr>
            <w:r>
              <w:t>22.</w:t>
            </w:r>
            <w:r w:rsidR="00081453">
              <w:t xml:space="preserve"> – </w:t>
            </w:r>
            <w:r>
              <w:t>24. Mai</w:t>
            </w:r>
          </w:p>
        </w:tc>
        <w:tc>
          <w:tcPr>
            <w:tcW w:w="1191" w:type="dxa"/>
            <w:tcBorders>
              <w:left w:val="single" w:sz="1" w:space="0" w:color="000000"/>
              <w:bottom w:val="single" w:sz="1" w:space="0" w:color="000000"/>
            </w:tcBorders>
            <w:vAlign w:val="center"/>
          </w:tcPr>
          <w:p w:rsidR="00CE5E6F" w:rsidRDefault="00CE5E6F" w:rsidP="0078232E">
            <w:pPr>
              <w:pStyle w:val="Reisetabelle"/>
            </w:pPr>
            <w:r>
              <w:t>Okaputa</w:t>
            </w:r>
            <w:r w:rsidR="00363C1C">
              <w:fldChar w:fldCharType="begin"/>
            </w:r>
            <w:r w:rsidR="00FD439D">
              <w:instrText xml:space="preserve"> XE "</w:instrText>
            </w:r>
            <w:r w:rsidR="00FD439D" w:rsidRPr="00F00073">
              <w:instrText>Okaputa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Otawi</w:t>
            </w:r>
            <w:r w:rsidR="00363C1C">
              <w:fldChar w:fldCharType="begin"/>
            </w:r>
            <w:r w:rsidR="00FD439D">
              <w:instrText xml:space="preserve"> XE "</w:instrText>
            </w:r>
            <w:r w:rsidR="00FD439D" w:rsidRPr="00681891">
              <w:instrText>Otawi</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956</w:t>
            </w:r>
            <w:r w:rsidR="00081453">
              <w:rPr>
                <w:lang w:val="it-IT"/>
              </w:rPr>
              <w:t xml:space="preserve"> – </w:t>
            </w:r>
            <w:r>
              <w:rPr>
                <w:lang w:val="it-IT"/>
              </w:rPr>
              <w:t>958</w:t>
            </w:r>
          </w:p>
        </w:tc>
        <w:tc>
          <w:tcPr>
            <w:tcW w:w="119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24.</w:t>
            </w:r>
            <w:r w:rsidR="00081453">
              <w:rPr>
                <w:lang w:val="it-IT"/>
              </w:rPr>
              <w:t xml:space="preserve"> – </w:t>
            </w:r>
            <w:r>
              <w:rPr>
                <w:lang w:val="it-IT"/>
              </w:rPr>
              <w:t>25. Mai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Otawi</w:t>
            </w:r>
            <w:r w:rsidR="00363C1C">
              <w:rPr>
                <w:lang w:val="it-IT"/>
              </w:rPr>
              <w:fldChar w:fldCharType="begin"/>
            </w:r>
            <w:r w:rsidR="00FD439D">
              <w:instrText xml:space="preserve"> XE "</w:instrText>
            </w:r>
            <w:r w:rsidR="00FD439D" w:rsidRPr="00681891">
              <w:instrText>Otawi</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Gaub</w:t>
            </w:r>
            <w:r w:rsidR="00363C1C">
              <w:rPr>
                <w:lang w:val="it-IT"/>
              </w:rPr>
              <w:fldChar w:fldCharType="begin"/>
            </w:r>
            <w:r w:rsidR="00FD439D">
              <w:instrText xml:space="preserve"> XE "</w:instrText>
            </w:r>
            <w:r w:rsidR="00FD439D" w:rsidRPr="0045100C">
              <w:rPr>
                <w:lang w:val="it-IT"/>
              </w:rPr>
              <w:instrText>Gaub</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Detering</w:t>
            </w:r>
            <w:r w:rsidR="00363C1C">
              <w:fldChar w:fldCharType="begin"/>
            </w:r>
            <w:r w:rsidR="00FD439D">
              <w:instrText xml:space="preserve"> XE "</w:instrText>
            </w:r>
            <w:r w:rsidR="00FD439D" w:rsidRPr="0026317F">
              <w:instrText>Detering, Br.</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962</w:t>
            </w:r>
            <w:r w:rsidR="00081453">
              <w:rPr>
                <w:lang w:val="it-IT"/>
              </w:rPr>
              <w:t xml:space="preserve"> – </w:t>
            </w:r>
            <w:r>
              <w:rPr>
                <w:lang w:val="it-IT"/>
              </w:rPr>
              <w:t>964</w:t>
            </w:r>
          </w:p>
        </w:tc>
        <w:tc>
          <w:tcPr>
            <w:tcW w:w="119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28.</w:t>
            </w:r>
            <w:r w:rsidR="00081453">
              <w:rPr>
                <w:lang w:val="it-IT"/>
              </w:rPr>
              <w:t xml:space="preserve"> – </w:t>
            </w:r>
            <w:r>
              <w:rPr>
                <w:lang w:val="it-IT"/>
              </w:rPr>
              <w:t>29. Mai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Gaub</w:t>
            </w:r>
            <w:r w:rsidR="00363C1C">
              <w:rPr>
                <w:lang w:val="it-IT"/>
              </w:rPr>
              <w:fldChar w:fldCharType="begin"/>
            </w:r>
            <w:r w:rsidR="00FD439D">
              <w:instrText xml:space="preserve"> XE "</w:instrText>
            </w:r>
            <w:r w:rsidR="00FD439D" w:rsidRPr="0045100C">
              <w:rPr>
                <w:lang w:val="it-IT"/>
              </w:rPr>
              <w:instrText>Gaub</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Tsumeb</w:t>
            </w:r>
            <w:r w:rsidR="00363C1C">
              <w:rPr>
                <w:lang w:val="it-IT"/>
              </w:rPr>
              <w:fldChar w:fldCharType="begin"/>
            </w:r>
            <w:r w:rsidR="00FD439D">
              <w:instrText xml:space="preserve"> XE "</w:instrText>
            </w:r>
            <w:r w:rsidR="00FD439D" w:rsidRPr="004D34CC">
              <w:rPr>
                <w:lang w:val="it-IT"/>
              </w:rPr>
              <w:instrText>Tsumeb</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it-IT"/>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lastRenderedPageBreak/>
              <w:t>967f</w:t>
            </w:r>
          </w:p>
        </w:tc>
        <w:tc>
          <w:tcPr>
            <w:tcW w:w="1190" w:type="dxa"/>
            <w:tcBorders>
              <w:left w:val="single" w:sz="1" w:space="0" w:color="000000"/>
              <w:bottom w:val="single" w:sz="1" w:space="0" w:color="000000"/>
            </w:tcBorders>
            <w:vAlign w:val="center"/>
          </w:tcPr>
          <w:p w:rsidR="00CE5E6F" w:rsidRDefault="00CE5E6F" w:rsidP="0078232E">
            <w:pPr>
              <w:pStyle w:val="Reisetabelle"/>
            </w:pPr>
            <w:r>
              <w:t>31. Mai</w:t>
            </w:r>
            <w:r w:rsidR="00081453">
              <w:t xml:space="preserve"> – </w:t>
            </w:r>
            <w:r>
              <w:t>1. Juni</w:t>
            </w:r>
          </w:p>
        </w:tc>
        <w:tc>
          <w:tcPr>
            <w:tcW w:w="1191" w:type="dxa"/>
            <w:tcBorders>
              <w:left w:val="single" w:sz="1" w:space="0" w:color="000000"/>
              <w:bottom w:val="single" w:sz="1" w:space="0" w:color="000000"/>
            </w:tcBorders>
            <w:vAlign w:val="center"/>
          </w:tcPr>
          <w:p w:rsidR="00CE5E6F" w:rsidRDefault="00CE5E6F" w:rsidP="0078232E">
            <w:pPr>
              <w:pStyle w:val="Reisetabelle"/>
            </w:pPr>
            <w:r>
              <w:t>Tsumeb</w:t>
            </w:r>
            <w:r w:rsidR="00363C1C">
              <w:fldChar w:fldCharType="begin"/>
            </w:r>
            <w:r w:rsidR="00FD439D">
              <w:instrText xml:space="preserve"> XE "</w:instrText>
            </w:r>
            <w:r w:rsidR="00FD439D" w:rsidRPr="004D34CC">
              <w:rPr>
                <w:lang w:val="it-IT"/>
              </w:rPr>
              <w:instrText>Tsumeb</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Grootfontein</w:t>
            </w:r>
            <w:r w:rsidR="00363C1C">
              <w:fldChar w:fldCharType="begin"/>
            </w:r>
            <w:r w:rsidR="00FD439D">
              <w:instrText xml:space="preserve"> XE "</w:instrText>
            </w:r>
            <w:r w:rsidR="00FD439D" w:rsidRPr="00F824E7">
              <w:instrText>Grootfontein</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973f</w:t>
            </w:r>
          </w:p>
        </w:tc>
        <w:tc>
          <w:tcPr>
            <w:tcW w:w="1190" w:type="dxa"/>
            <w:tcBorders>
              <w:left w:val="single" w:sz="1" w:space="0" w:color="000000"/>
              <w:bottom w:val="single" w:sz="1" w:space="0" w:color="000000"/>
            </w:tcBorders>
            <w:vAlign w:val="center"/>
          </w:tcPr>
          <w:p w:rsidR="00CE5E6F" w:rsidRDefault="00CE5E6F" w:rsidP="0078232E">
            <w:pPr>
              <w:pStyle w:val="Reisetabelle"/>
            </w:pPr>
            <w:r>
              <w:t>1.</w:t>
            </w:r>
            <w:r w:rsidR="00081453">
              <w:t xml:space="preserve"> – </w:t>
            </w:r>
            <w:r>
              <w:t>2. Juni</w:t>
            </w:r>
          </w:p>
        </w:tc>
        <w:tc>
          <w:tcPr>
            <w:tcW w:w="1191" w:type="dxa"/>
            <w:tcBorders>
              <w:left w:val="single" w:sz="1" w:space="0" w:color="000000"/>
              <w:bottom w:val="single" w:sz="1" w:space="0" w:color="000000"/>
            </w:tcBorders>
            <w:vAlign w:val="center"/>
          </w:tcPr>
          <w:p w:rsidR="00CE5E6F" w:rsidRDefault="00CE5E6F" w:rsidP="0078232E">
            <w:pPr>
              <w:pStyle w:val="Reisetabelle"/>
            </w:pPr>
            <w:r>
              <w:t>Grootfontein</w:t>
            </w:r>
            <w:r w:rsidR="00363C1C">
              <w:fldChar w:fldCharType="begin"/>
            </w:r>
            <w:r w:rsidR="00FD439D">
              <w:instrText xml:space="preserve"> XE "</w:instrText>
            </w:r>
            <w:r w:rsidR="00FD439D" w:rsidRPr="00F824E7">
              <w:instrText>Grootfontein</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Gaub</w:t>
            </w:r>
            <w:r w:rsidR="00363C1C">
              <w:fldChar w:fldCharType="begin"/>
            </w:r>
            <w:r w:rsidR="00FD439D">
              <w:instrText xml:space="preserve"> XE "</w:instrText>
            </w:r>
            <w:r w:rsidR="00FD439D" w:rsidRPr="0045100C">
              <w:rPr>
                <w:lang w:val="it-IT"/>
              </w:rPr>
              <w:instrText>Gaub</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980</w:t>
            </w:r>
            <w:r w:rsidR="00081453">
              <w:rPr>
                <w:lang w:val="it-IT"/>
              </w:rPr>
              <w:t xml:space="preserve"> – </w:t>
            </w:r>
            <w:r>
              <w:rPr>
                <w:lang w:val="it-IT"/>
              </w:rPr>
              <w:t>982</w:t>
            </w:r>
          </w:p>
        </w:tc>
        <w:tc>
          <w:tcPr>
            <w:tcW w:w="119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5.</w:t>
            </w:r>
            <w:r w:rsidR="00081453">
              <w:rPr>
                <w:lang w:val="it-IT"/>
              </w:rPr>
              <w:t xml:space="preserve"> – </w:t>
            </w:r>
            <w:r>
              <w:rPr>
                <w:lang w:val="it-IT"/>
              </w:rPr>
              <w:t>6. Juni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Gaub</w:t>
            </w:r>
            <w:r w:rsidR="00363C1C">
              <w:rPr>
                <w:lang w:val="it-IT"/>
              </w:rPr>
              <w:fldChar w:fldCharType="begin"/>
            </w:r>
            <w:r w:rsidR="00FD439D">
              <w:instrText xml:space="preserve"> XE "</w:instrText>
            </w:r>
            <w:r w:rsidR="00FD439D" w:rsidRPr="0045100C">
              <w:rPr>
                <w:lang w:val="it-IT"/>
              </w:rPr>
              <w:instrText>Gaub</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Otavi</w:t>
            </w:r>
            <w:r w:rsidR="00363C1C">
              <w:rPr>
                <w:lang w:val="it-IT"/>
              </w:rPr>
              <w:fldChar w:fldCharType="begin"/>
            </w:r>
            <w:r w:rsidR="00FD439D">
              <w:instrText xml:space="preserve"> XE "</w:instrText>
            </w:r>
            <w:r w:rsidR="00FD439D" w:rsidRPr="00237638">
              <w:rPr>
                <w:lang w:val="it-IT"/>
              </w:rPr>
              <w:instrText>Otavi</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it-IT"/>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983</w:t>
            </w:r>
            <w:r w:rsidR="00081453">
              <w:t xml:space="preserve"> – </w:t>
            </w:r>
            <w:r>
              <w:t>991</w:t>
            </w:r>
          </w:p>
        </w:tc>
        <w:tc>
          <w:tcPr>
            <w:tcW w:w="1190" w:type="dxa"/>
            <w:tcBorders>
              <w:left w:val="single" w:sz="1" w:space="0" w:color="000000"/>
              <w:bottom w:val="single" w:sz="1" w:space="0" w:color="000000"/>
            </w:tcBorders>
            <w:vAlign w:val="center"/>
          </w:tcPr>
          <w:p w:rsidR="00CE5E6F" w:rsidRDefault="00CE5E6F" w:rsidP="0078232E">
            <w:pPr>
              <w:pStyle w:val="Reisetabelle"/>
            </w:pPr>
            <w:r>
              <w:t>6.</w:t>
            </w:r>
            <w:r w:rsidR="00081453">
              <w:t xml:space="preserve"> – </w:t>
            </w:r>
            <w:r>
              <w:t>11. Juni</w:t>
            </w:r>
          </w:p>
        </w:tc>
        <w:tc>
          <w:tcPr>
            <w:tcW w:w="1191" w:type="dxa"/>
            <w:tcBorders>
              <w:left w:val="single" w:sz="1" w:space="0" w:color="000000"/>
              <w:bottom w:val="single" w:sz="1" w:space="0" w:color="000000"/>
            </w:tcBorders>
            <w:vAlign w:val="center"/>
          </w:tcPr>
          <w:p w:rsidR="00CE5E6F" w:rsidRDefault="00CE5E6F" w:rsidP="0078232E">
            <w:pPr>
              <w:pStyle w:val="Reisetabelle"/>
            </w:pPr>
            <w:r>
              <w:t>Otavi</w:t>
            </w:r>
            <w:r w:rsidR="00363C1C">
              <w:fldChar w:fldCharType="begin"/>
            </w:r>
            <w:r w:rsidR="00FD439D">
              <w:instrText xml:space="preserve"> XE "</w:instrText>
            </w:r>
            <w:r w:rsidR="00FD439D" w:rsidRPr="00237638">
              <w:rPr>
                <w:lang w:val="it-IT"/>
              </w:rPr>
              <w:instrText>Otavi</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1033</w:t>
            </w:r>
            <w:r w:rsidR="00081453">
              <w:t xml:space="preserve"> – </w:t>
            </w:r>
            <w:r>
              <w:t>1043</w:t>
            </w:r>
          </w:p>
        </w:tc>
        <w:tc>
          <w:tcPr>
            <w:tcW w:w="1190" w:type="dxa"/>
            <w:tcBorders>
              <w:left w:val="single" w:sz="1" w:space="0" w:color="000000"/>
              <w:bottom w:val="single" w:sz="1" w:space="0" w:color="000000"/>
            </w:tcBorders>
            <w:vAlign w:val="center"/>
          </w:tcPr>
          <w:p w:rsidR="00CE5E6F" w:rsidRDefault="00CE5E6F" w:rsidP="0078232E">
            <w:pPr>
              <w:pStyle w:val="Reisetabelle"/>
            </w:pPr>
            <w:r>
              <w:t>25.</w:t>
            </w:r>
            <w:r w:rsidR="00081453">
              <w:t xml:space="preserve"> – </w:t>
            </w:r>
            <w:r>
              <w:t>30. Juni</w:t>
            </w:r>
          </w:p>
        </w:tc>
        <w:tc>
          <w:tcPr>
            <w:tcW w:w="1191" w:type="dxa"/>
            <w:tcBorders>
              <w:left w:val="single" w:sz="1" w:space="0" w:color="000000"/>
              <w:bottom w:val="single" w:sz="1" w:space="0" w:color="000000"/>
            </w:tcBorders>
            <w:vAlign w:val="center"/>
          </w:tcPr>
          <w:p w:rsidR="00CE5E6F" w:rsidRDefault="00CE5E6F" w:rsidP="0078232E">
            <w:pPr>
              <w:pStyle w:val="Reisetabelle"/>
            </w:pPr>
            <w:r>
              <w:t>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Okaukuejo</w:t>
            </w:r>
            <w:r w:rsidR="00363C1C">
              <w:fldChar w:fldCharType="begin"/>
            </w:r>
            <w:r w:rsidR="00C05598">
              <w:instrText xml:space="preserve"> XE "</w:instrText>
            </w:r>
            <w:r w:rsidR="00C05598" w:rsidRPr="00351C34">
              <w:instrText>Okaukuejo</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1047</w:t>
            </w:r>
            <w:r w:rsidR="00081453">
              <w:t xml:space="preserve"> – </w:t>
            </w:r>
            <w:r>
              <w:t>1065</w:t>
            </w:r>
          </w:p>
        </w:tc>
        <w:tc>
          <w:tcPr>
            <w:tcW w:w="1190" w:type="dxa"/>
            <w:tcBorders>
              <w:left w:val="single" w:sz="1" w:space="0" w:color="000000"/>
              <w:bottom w:val="single" w:sz="1" w:space="0" w:color="000000"/>
            </w:tcBorders>
            <w:vAlign w:val="center"/>
          </w:tcPr>
          <w:p w:rsidR="00CE5E6F" w:rsidRDefault="00CE5E6F" w:rsidP="0078232E">
            <w:pPr>
              <w:pStyle w:val="Reisetabelle"/>
            </w:pPr>
            <w:r>
              <w:t>1.</w:t>
            </w:r>
            <w:r w:rsidR="00081453">
              <w:t xml:space="preserve"> – </w:t>
            </w:r>
            <w:r>
              <w:t>7. Juli</w:t>
            </w:r>
          </w:p>
        </w:tc>
        <w:tc>
          <w:tcPr>
            <w:tcW w:w="1191" w:type="dxa"/>
            <w:tcBorders>
              <w:left w:val="single" w:sz="1" w:space="0" w:color="000000"/>
              <w:bottom w:val="single" w:sz="1" w:space="0" w:color="000000"/>
            </w:tcBorders>
            <w:vAlign w:val="center"/>
          </w:tcPr>
          <w:p w:rsidR="00CE5E6F" w:rsidRDefault="00CE5E6F" w:rsidP="0078232E">
            <w:pPr>
              <w:pStyle w:val="Reisetabelle"/>
            </w:pPr>
            <w:r>
              <w:t>Okaukuejo</w:t>
            </w:r>
            <w:r w:rsidR="00363C1C">
              <w:fldChar w:fldCharType="begin"/>
            </w:r>
            <w:r w:rsidR="00C05598">
              <w:instrText xml:space="preserve"> XE "</w:instrText>
            </w:r>
            <w:r w:rsidR="00C05598" w:rsidRPr="00351C34">
              <w:instrText>Okaukuejo</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Olukonda</w:t>
            </w:r>
            <w:r w:rsidR="00363C1C">
              <w:fldChar w:fldCharType="begin"/>
            </w:r>
            <w:r w:rsidR="00C05598">
              <w:instrText xml:space="preserve"> XE "</w:instrText>
            </w:r>
            <w:r w:rsidR="00C05598" w:rsidRPr="00285499">
              <w:instrText>Olukonda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Rantauen</w:t>
            </w:r>
            <w:r w:rsidR="00363C1C">
              <w:fldChar w:fldCharType="begin"/>
            </w:r>
            <w:r w:rsidR="00C05598">
              <w:instrText xml:space="preserve"> XE "</w:instrText>
            </w:r>
            <w:r w:rsidR="00C05598" w:rsidRPr="001C6C3D">
              <w:instrText>Rantauen, Br.</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1072</w:t>
            </w:r>
            <w:r w:rsidR="00081453">
              <w:t xml:space="preserve"> – </w:t>
            </w:r>
            <w:r>
              <w:t>1076</w:t>
            </w:r>
          </w:p>
        </w:tc>
        <w:tc>
          <w:tcPr>
            <w:tcW w:w="1190" w:type="dxa"/>
            <w:tcBorders>
              <w:left w:val="single" w:sz="1" w:space="0" w:color="000000"/>
              <w:bottom w:val="single" w:sz="1" w:space="0" w:color="000000"/>
            </w:tcBorders>
            <w:vAlign w:val="center"/>
          </w:tcPr>
          <w:p w:rsidR="00CE5E6F" w:rsidRDefault="00CE5E6F" w:rsidP="0078232E">
            <w:pPr>
              <w:pStyle w:val="Reisetabelle"/>
            </w:pPr>
            <w:r>
              <w:t>9. Juli</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Ontananga</w:t>
            </w:r>
            <w:r w:rsidR="00363C1C">
              <w:fldChar w:fldCharType="begin"/>
            </w:r>
            <w:r w:rsidR="00C05598">
              <w:instrText xml:space="preserve"> XE "</w:instrText>
            </w:r>
            <w:r w:rsidR="00C05598" w:rsidRPr="00F824EC">
              <w:instrText>Ontananga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Reisetabelle"/>
            </w:pPr>
            <w:r>
              <w:rPr>
                <w:lang w:val="en-GB"/>
              </w:rPr>
              <w:t>Miss. Liljeblad</w:t>
            </w:r>
            <w:r w:rsidR="00363C1C">
              <w:rPr>
                <w:lang w:val="en-GB"/>
              </w:rPr>
              <w:fldChar w:fldCharType="begin"/>
            </w:r>
            <w:r w:rsidR="00C05598">
              <w:instrText xml:space="preserve"> XE "</w:instrText>
            </w:r>
            <w:r w:rsidR="00C05598" w:rsidRPr="00BC0A5A">
              <w:rPr>
                <w:lang w:val="en-GB"/>
              </w:rPr>
              <w:instrText>Liljeblad, Miss.</w:instrText>
            </w:r>
            <w:r w:rsidR="00C05598">
              <w:instrText xml:space="preserve">" </w:instrText>
            </w:r>
            <w:r w:rsidR="00363C1C">
              <w:rPr>
                <w:lang w:val="en-GB"/>
              </w:rPr>
              <w:fldChar w:fldCharType="end"/>
            </w:r>
            <w:r>
              <w:rPr>
                <w:lang w:val="en-GB"/>
              </w:rPr>
              <w:t xml:space="preserve"> / Br. </w:t>
            </w:r>
            <w:r>
              <w:t>Nenga</w:t>
            </w:r>
            <w:r w:rsidR="00363C1C">
              <w:fldChar w:fldCharType="begin"/>
            </w:r>
            <w:r w:rsidR="00C05598">
              <w:instrText xml:space="preserve"> XE "</w:instrText>
            </w:r>
            <w:r w:rsidR="00C05598" w:rsidRPr="00A55184">
              <w:instrText>Nenga, Br.</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1077 </w:t>
            </w:r>
          </w:p>
        </w:tc>
        <w:tc>
          <w:tcPr>
            <w:tcW w:w="1190" w:type="dxa"/>
            <w:tcBorders>
              <w:left w:val="single" w:sz="1" w:space="0" w:color="000000"/>
              <w:bottom w:val="single" w:sz="1" w:space="0" w:color="000000"/>
            </w:tcBorders>
            <w:vAlign w:val="center"/>
          </w:tcPr>
          <w:p w:rsidR="00CE5E6F" w:rsidRDefault="00CE5E6F" w:rsidP="005B61A5">
            <w:pPr>
              <w:pStyle w:val="Reisetabelle"/>
            </w:pPr>
            <w:r>
              <w:t>1</w:t>
            </w:r>
            <w:r w:rsidR="005B61A5">
              <w:t>0</w:t>
            </w:r>
            <w:r>
              <w:t>. Juli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Olukonda</w:t>
            </w:r>
            <w:r w:rsidR="00363C1C">
              <w:rPr>
                <w:lang w:val="it-IT"/>
              </w:rPr>
              <w:fldChar w:fldCharType="begin"/>
            </w:r>
            <w:r w:rsidR="00C05598">
              <w:instrText xml:space="preserve"> XE "</w:instrText>
            </w:r>
            <w:r w:rsidR="00C05598" w:rsidRPr="00285499">
              <w:instrText>Olukonda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Ondangua</w:t>
            </w:r>
            <w:r w:rsidR="00363C1C">
              <w:rPr>
                <w:lang w:val="it-IT"/>
              </w:rPr>
              <w:fldChar w:fldCharType="begin"/>
            </w:r>
            <w:r w:rsidR="00C05598">
              <w:instrText xml:space="preserve"> XE "</w:instrText>
            </w:r>
            <w:r w:rsidR="00C05598" w:rsidRPr="00833546">
              <w:rPr>
                <w:lang w:val="it-IT"/>
              </w:rPr>
              <w:instrText>Ondangua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rPr>
                <w:lang w:val="it-IT"/>
              </w:rPr>
              <w:t xml:space="preserve">Geschw. </w:t>
            </w:r>
            <w:r>
              <w:t>Pettinen</w:t>
            </w:r>
            <w:r w:rsidR="00363C1C">
              <w:fldChar w:fldCharType="begin"/>
            </w:r>
            <w:r w:rsidR="00C05598">
              <w:instrText xml:space="preserve"> XE "</w:instrText>
            </w:r>
            <w:r w:rsidR="00C05598" w:rsidRPr="003318A3">
              <w:instrText>Pettinen, Geschw.</w:instrText>
            </w:r>
            <w:r w:rsidR="00C05598">
              <w:instrText xml:space="preserve">" </w:instrText>
            </w:r>
            <w:r w:rsidR="00363C1C">
              <w:fldChar w:fldCharType="end"/>
            </w:r>
            <w:r>
              <w:t xml:space="preserve"> / Br. Kainu</w:t>
            </w:r>
            <w:r w:rsidR="00363C1C">
              <w:fldChar w:fldCharType="begin"/>
            </w:r>
            <w:r w:rsidR="00C05598">
              <w:instrText xml:space="preserve"> XE "</w:instrText>
            </w:r>
            <w:r w:rsidR="00C05598" w:rsidRPr="00D35D62">
              <w:instrText>Kainu, Br.</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1082</w:t>
            </w:r>
            <w:r w:rsidR="00081453">
              <w:t xml:space="preserve"> – </w:t>
            </w:r>
            <w:r>
              <w:t>1088</w:t>
            </w:r>
          </w:p>
        </w:tc>
        <w:tc>
          <w:tcPr>
            <w:tcW w:w="1190" w:type="dxa"/>
            <w:tcBorders>
              <w:left w:val="single" w:sz="1" w:space="0" w:color="000000"/>
              <w:bottom w:val="single" w:sz="1" w:space="0" w:color="000000"/>
            </w:tcBorders>
            <w:vAlign w:val="center"/>
          </w:tcPr>
          <w:p w:rsidR="00CE5E6F" w:rsidRDefault="00CE5E6F" w:rsidP="0078232E">
            <w:pPr>
              <w:pStyle w:val="Reisetabelle"/>
            </w:pPr>
            <w:r>
              <w:t>11.</w:t>
            </w:r>
            <w:r w:rsidR="00081453">
              <w:t xml:space="preserve"> – </w:t>
            </w:r>
            <w:r>
              <w:t>13. Juli</w:t>
            </w:r>
          </w:p>
        </w:tc>
        <w:tc>
          <w:tcPr>
            <w:tcW w:w="1191" w:type="dxa"/>
            <w:tcBorders>
              <w:left w:val="single" w:sz="1" w:space="0" w:color="000000"/>
              <w:bottom w:val="single" w:sz="1" w:space="0" w:color="000000"/>
            </w:tcBorders>
            <w:vAlign w:val="center"/>
          </w:tcPr>
          <w:p w:rsidR="00CE5E6F" w:rsidRDefault="00CE5E6F" w:rsidP="0078232E">
            <w:pPr>
              <w:pStyle w:val="Reisetabelle"/>
            </w:pPr>
            <w:r>
              <w:t>Ondangua</w:t>
            </w:r>
            <w:r w:rsidR="00363C1C">
              <w:fldChar w:fldCharType="begin"/>
            </w:r>
            <w:r w:rsidR="00C05598">
              <w:instrText xml:space="preserve"> XE "</w:instrText>
            </w:r>
            <w:r w:rsidR="00C05598" w:rsidRPr="00833546">
              <w:rPr>
                <w:lang w:val="it-IT"/>
              </w:rPr>
              <w:instrText>Ondangua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1113f</w:t>
            </w:r>
          </w:p>
        </w:tc>
        <w:tc>
          <w:tcPr>
            <w:tcW w:w="1190" w:type="dxa"/>
            <w:tcBorders>
              <w:left w:val="single" w:sz="1" w:space="0" w:color="000000"/>
              <w:bottom w:val="single" w:sz="1" w:space="0" w:color="000000"/>
            </w:tcBorders>
            <w:vAlign w:val="center"/>
          </w:tcPr>
          <w:p w:rsidR="00CE5E6F" w:rsidRDefault="00CE5E6F" w:rsidP="0078232E">
            <w:pPr>
              <w:pStyle w:val="Reisetabelle"/>
            </w:pPr>
            <w:r>
              <w:t>18. Juli</w:t>
            </w:r>
          </w:p>
        </w:tc>
        <w:tc>
          <w:tcPr>
            <w:tcW w:w="1191" w:type="dxa"/>
            <w:tcBorders>
              <w:left w:val="single" w:sz="1" w:space="0" w:color="000000"/>
              <w:bottom w:val="single" w:sz="1" w:space="0" w:color="000000"/>
            </w:tcBorders>
            <w:vAlign w:val="center"/>
          </w:tcPr>
          <w:p w:rsidR="00CE5E6F" w:rsidRDefault="00CE5E6F" w:rsidP="0078232E">
            <w:pPr>
              <w:pStyle w:val="Reisetabelle"/>
            </w:pPr>
            <w:r>
              <w:t>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Omupanda</w:t>
            </w:r>
            <w:r w:rsidR="00363C1C">
              <w:fldChar w:fldCharType="begin"/>
            </w:r>
            <w:r w:rsidR="00C05598">
              <w:instrText xml:space="preserve"> XE "</w:instrText>
            </w:r>
            <w:r w:rsidR="00C05598" w:rsidRPr="00FA4932">
              <w:instrText>Omupanda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Wulfhorst</w:t>
            </w:r>
            <w:r w:rsidR="00363C1C">
              <w:fldChar w:fldCharType="begin"/>
            </w:r>
            <w:r w:rsidR="00C05598">
              <w:instrText xml:space="preserve"> XE "</w:instrText>
            </w:r>
            <w:r w:rsidR="00C05598" w:rsidRPr="001C031A">
              <w:instrText>Wulfhorst, Geschw.</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Reitpferde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1117</w:t>
            </w:r>
            <w:r w:rsidR="00081453">
              <w:t xml:space="preserve"> – </w:t>
            </w:r>
            <w:r>
              <w:t>1121</w:t>
            </w:r>
          </w:p>
        </w:tc>
        <w:tc>
          <w:tcPr>
            <w:tcW w:w="1190" w:type="dxa"/>
            <w:tcBorders>
              <w:left w:val="single" w:sz="1" w:space="0" w:color="000000"/>
              <w:bottom w:val="single" w:sz="1" w:space="0" w:color="000000"/>
            </w:tcBorders>
            <w:vAlign w:val="center"/>
          </w:tcPr>
          <w:p w:rsidR="00CE5E6F" w:rsidRDefault="00CE5E6F" w:rsidP="0078232E">
            <w:pPr>
              <w:pStyle w:val="Reisetabelle"/>
            </w:pPr>
            <w:r>
              <w:t>19. Juli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Omupanda</w:t>
            </w:r>
            <w:r w:rsidR="00363C1C">
              <w:rPr>
                <w:lang w:val="it-IT"/>
              </w:rPr>
              <w:fldChar w:fldCharType="begin"/>
            </w:r>
            <w:r w:rsidR="00C05598">
              <w:instrText xml:space="preserve"> XE "</w:instrText>
            </w:r>
            <w:r w:rsidR="00C05598" w:rsidRPr="00FA4932">
              <w:instrText>Omupanda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Ondjiva</w:t>
            </w:r>
            <w:r w:rsidR="00363C1C">
              <w:rPr>
                <w:lang w:val="it-IT"/>
              </w:rPr>
              <w:fldChar w:fldCharType="begin"/>
            </w:r>
            <w:r w:rsidR="00C05598">
              <w:instrText xml:space="preserve"> XE "</w:instrText>
            </w:r>
            <w:r w:rsidR="00C05598" w:rsidRPr="00754908">
              <w:rPr>
                <w:lang w:val="it-IT"/>
              </w:rPr>
              <w:instrText>Ondjiva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rPr>
                <w:lang w:val="it-IT"/>
              </w:rPr>
              <w:t xml:space="preserve">Geschw. </w:t>
            </w:r>
            <w:r>
              <w:t>Sckaer</w:t>
            </w:r>
            <w:r w:rsidR="00363C1C">
              <w:fldChar w:fldCharType="begin"/>
            </w:r>
            <w:r w:rsidR="00C05598">
              <w:instrText xml:space="preserve"> XE "</w:instrText>
            </w:r>
            <w:r w:rsidR="00C05598" w:rsidRPr="0063740E">
              <w:instrText>Sckaer, Geschw.</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1138 </w:t>
            </w:r>
          </w:p>
        </w:tc>
        <w:tc>
          <w:tcPr>
            <w:tcW w:w="1190" w:type="dxa"/>
            <w:tcBorders>
              <w:left w:val="single" w:sz="1" w:space="0" w:color="000000"/>
              <w:bottom w:val="single" w:sz="1" w:space="0" w:color="000000"/>
            </w:tcBorders>
            <w:vAlign w:val="center"/>
          </w:tcPr>
          <w:p w:rsidR="00CE5E6F" w:rsidRDefault="00CE5E6F" w:rsidP="0078232E">
            <w:pPr>
              <w:pStyle w:val="Reisetabelle"/>
            </w:pPr>
            <w:r>
              <w:t>24. Juli</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Ondjiva</w:t>
            </w:r>
            <w:r w:rsidR="00363C1C">
              <w:rPr>
                <w:lang w:val="it-IT"/>
              </w:rPr>
              <w:fldChar w:fldCharType="begin"/>
            </w:r>
            <w:r w:rsidR="00C05598">
              <w:instrText xml:space="preserve"> XE "</w:instrText>
            </w:r>
            <w:r w:rsidR="00C05598" w:rsidRPr="00754908">
              <w:rPr>
                <w:lang w:val="it-IT"/>
              </w:rPr>
              <w:instrText>Ondjiva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Omupanda</w:t>
            </w:r>
            <w:r w:rsidR="00F00154">
              <w:br/>
            </w:r>
            <w:r w:rsidR="00F00154">
              <w:rPr>
                <w:i/>
              </w:rPr>
              <w:t>(Konferenz)</w:t>
            </w:r>
            <w:r w:rsidR="00363C1C">
              <w:rPr>
                <w:lang w:val="it-IT"/>
              </w:rPr>
              <w:fldChar w:fldCharType="begin"/>
            </w:r>
            <w:r w:rsidR="00C05598">
              <w:instrText xml:space="preserve"> XE "</w:instrText>
            </w:r>
            <w:r w:rsidR="00C05598" w:rsidRPr="00FA4932">
              <w:instrText>Omupanda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it-IT"/>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it-IT"/>
              </w:rPr>
            </w:pPr>
            <w:r>
              <w:rPr>
                <w:lang w:val="it-IT"/>
              </w:rPr>
              <w:t>Reitpferde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1191f</w:t>
            </w:r>
          </w:p>
        </w:tc>
        <w:tc>
          <w:tcPr>
            <w:tcW w:w="119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1. Aug.</w:t>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Omupanda</w:t>
            </w:r>
            <w:r w:rsidR="00363C1C">
              <w:rPr>
                <w:lang w:val="fr-FR"/>
              </w:rPr>
              <w:fldChar w:fldCharType="begin"/>
            </w:r>
            <w:r w:rsidR="00C05598">
              <w:instrText xml:space="preserve"> XE "</w:instrText>
            </w:r>
            <w:r w:rsidR="00C05598" w:rsidRPr="00FA4932">
              <w:instrText>Omupanda</w:instrText>
            </w:r>
            <w:r w:rsidR="00C05598">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Reitpferde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1193</w:t>
            </w:r>
            <w:r w:rsidR="00081453">
              <w:t xml:space="preserve"> – </w:t>
            </w:r>
            <w:r>
              <w:t>1203</w:t>
            </w:r>
          </w:p>
        </w:tc>
        <w:tc>
          <w:tcPr>
            <w:tcW w:w="1190" w:type="dxa"/>
            <w:tcBorders>
              <w:left w:val="single" w:sz="1" w:space="0" w:color="000000"/>
              <w:bottom w:val="single" w:sz="1" w:space="0" w:color="000000"/>
            </w:tcBorders>
            <w:vAlign w:val="center"/>
          </w:tcPr>
          <w:p w:rsidR="00CE5E6F" w:rsidRDefault="00CE5E6F" w:rsidP="0078232E">
            <w:pPr>
              <w:pStyle w:val="Reisetabelle"/>
            </w:pPr>
            <w:r>
              <w:t>2.</w:t>
            </w:r>
            <w:r w:rsidR="00081453">
              <w:t xml:space="preserve"> – </w:t>
            </w:r>
            <w:r>
              <w:t>4. Aug.</w:t>
            </w:r>
          </w:p>
        </w:tc>
        <w:tc>
          <w:tcPr>
            <w:tcW w:w="1191" w:type="dxa"/>
            <w:tcBorders>
              <w:left w:val="single" w:sz="1" w:space="0" w:color="000000"/>
              <w:bottom w:val="single" w:sz="1" w:space="0" w:color="000000"/>
            </w:tcBorders>
            <w:vAlign w:val="center"/>
          </w:tcPr>
          <w:p w:rsidR="00CE5E6F" w:rsidRDefault="00CE5E6F" w:rsidP="0078232E">
            <w:pPr>
              <w:pStyle w:val="Reisetabelle"/>
            </w:pPr>
            <w:r>
              <w:t>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Ondangua</w:t>
            </w:r>
            <w:r w:rsidR="00363C1C">
              <w:fldChar w:fldCharType="begin"/>
            </w:r>
            <w:r w:rsidR="00C05598">
              <w:instrText xml:space="preserve"> XE "</w:instrText>
            </w:r>
            <w:r w:rsidR="00C05598" w:rsidRPr="00833546">
              <w:rPr>
                <w:lang w:val="it-IT"/>
              </w:rPr>
              <w:instrText>Ondangua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1204f</w:t>
            </w:r>
          </w:p>
        </w:tc>
        <w:tc>
          <w:tcPr>
            <w:tcW w:w="1190" w:type="dxa"/>
            <w:tcBorders>
              <w:left w:val="single" w:sz="1" w:space="0" w:color="000000"/>
              <w:bottom w:val="single" w:sz="1" w:space="0" w:color="000000"/>
            </w:tcBorders>
            <w:vAlign w:val="center"/>
          </w:tcPr>
          <w:p w:rsidR="00CE5E6F" w:rsidRDefault="00CE5E6F" w:rsidP="0078232E">
            <w:pPr>
              <w:pStyle w:val="Reisetabelle"/>
            </w:pPr>
            <w:r>
              <w:t>4. Aug.</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Omipa</w:t>
            </w:r>
            <w:r w:rsidR="00363C1C">
              <w:fldChar w:fldCharType="begin"/>
            </w:r>
            <w:r w:rsidR="00C05598">
              <w:instrText xml:space="preserve"> XE "</w:instrText>
            </w:r>
            <w:r w:rsidR="00C05598" w:rsidRPr="00C25D1B">
              <w:instrText>Omipa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Reisetabelle"/>
            </w:pPr>
            <w:r>
              <w:t>Br. Grönland</w:t>
            </w:r>
            <w:r w:rsidR="00363C1C">
              <w:fldChar w:fldCharType="begin"/>
            </w:r>
            <w:r w:rsidR="00C05598">
              <w:instrText xml:space="preserve"> XE "</w:instrText>
            </w:r>
            <w:r w:rsidR="00C05598" w:rsidRPr="006A2554">
              <w:instrText>Grönland, Br.</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1210 </w:t>
            </w:r>
          </w:p>
        </w:tc>
        <w:tc>
          <w:tcPr>
            <w:tcW w:w="1190" w:type="dxa"/>
            <w:tcBorders>
              <w:left w:val="single" w:sz="1" w:space="0" w:color="000000"/>
              <w:bottom w:val="single" w:sz="1" w:space="0" w:color="000000"/>
            </w:tcBorders>
            <w:vAlign w:val="center"/>
          </w:tcPr>
          <w:p w:rsidR="00CE5E6F" w:rsidRDefault="00CE5E6F" w:rsidP="0078232E">
            <w:pPr>
              <w:pStyle w:val="Reisetabelle"/>
            </w:pPr>
            <w:r>
              <w:t>6. Aug.</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Omulanga</w:t>
            </w:r>
            <w:r w:rsidR="00363C1C">
              <w:fldChar w:fldCharType="begin"/>
            </w:r>
            <w:r w:rsidR="00C05598">
              <w:instrText xml:space="preserve"> XE "</w:instrText>
            </w:r>
            <w:r w:rsidR="00C05598" w:rsidRPr="001640EF">
              <w:instrText>Omulanga</w:instrText>
            </w:r>
            <w:r w:rsidR="00C05598">
              <w:instrText xml:space="preserve">" </w:instrText>
            </w:r>
            <w:r w:rsidR="00363C1C">
              <w:fldChar w:fldCharType="end"/>
            </w:r>
            <w:r>
              <w:t xml:space="preserve"> und Onajena</w:t>
            </w:r>
            <w:r w:rsidR="00363C1C">
              <w:fldChar w:fldCharType="begin"/>
            </w:r>
            <w:r w:rsidR="00C05598">
              <w:instrText xml:space="preserve"> XE "</w:instrText>
            </w:r>
            <w:r w:rsidR="00C05598" w:rsidRPr="00E905ED">
              <w:instrText>Onajena</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Br. Tuttar</w:t>
            </w:r>
            <w:r w:rsidR="00363C1C">
              <w:rPr>
                <w:lang w:val="it-IT"/>
              </w:rPr>
              <w:fldChar w:fldCharType="begin"/>
            </w:r>
            <w:r w:rsidR="00C05598">
              <w:instrText xml:space="preserve"> XE "</w:instrText>
            </w:r>
            <w:r w:rsidR="00C05598" w:rsidRPr="00043124">
              <w:rPr>
                <w:lang w:val="it-IT"/>
              </w:rPr>
              <w:instrText>Tuttar, Br.</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it-IT"/>
              </w:rPr>
            </w:pPr>
            <w:r>
              <w:rPr>
                <w:lang w:val="it-IT"/>
              </w:rP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1214</w:t>
            </w:r>
            <w:r w:rsidR="00081453">
              <w:rPr>
                <w:lang w:val="it-IT"/>
              </w:rPr>
              <w:t xml:space="preserve"> – </w:t>
            </w:r>
            <w:r>
              <w:rPr>
                <w:lang w:val="it-IT"/>
              </w:rPr>
              <w:t>1241</w:t>
            </w:r>
          </w:p>
        </w:tc>
        <w:tc>
          <w:tcPr>
            <w:tcW w:w="1190"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7.</w:t>
            </w:r>
            <w:r w:rsidR="00081453">
              <w:rPr>
                <w:lang w:val="it-IT"/>
              </w:rPr>
              <w:t xml:space="preserve"> – </w:t>
            </w:r>
            <w:r>
              <w:rPr>
                <w:lang w:val="it-IT"/>
              </w:rPr>
              <w:t>16. Aug.</w:t>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Olukonda</w:t>
            </w:r>
            <w:r w:rsidR="00363C1C">
              <w:rPr>
                <w:lang w:val="it-IT"/>
              </w:rPr>
              <w:fldChar w:fldCharType="begin"/>
            </w:r>
            <w:r w:rsidR="00C05598">
              <w:instrText xml:space="preserve"> XE "</w:instrText>
            </w:r>
            <w:r w:rsidR="00C05598" w:rsidRPr="00285499">
              <w:instrText>Olukonda</w:instrText>
            </w:r>
            <w:r w:rsidR="00C05598">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it-IT"/>
              </w:rPr>
            </w:pPr>
            <w:r>
              <w:rPr>
                <w:lang w:val="it-IT"/>
              </w:rPr>
              <w:t>Outjo</w:t>
            </w:r>
            <w:r w:rsidR="00363C1C">
              <w:rPr>
                <w:lang w:val="it-IT"/>
              </w:rPr>
              <w:fldChar w:fldCharType="begin"/>
            </w:r>
            <w:r w:rsidR="00FD439D">
              <w:instrText xml:space="preserve"> XE "</w:instrText>
            </w:r>
            <w:r w:rsidR="00FD439D" w:rsidRPr="00F55CAF">
              <w:instrText>Outjo</w:instrText>
            </w:r>
            <w:r w:rsidR="00FD439D">
              <w:instrText xml:space="preserve">" </w:instrText>
            </w:r>
            <w:r w:rsidR="00363C1C">
              <w:rPr>
                <w:lang w:val="it-IT"/>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it-IT"/>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1247</w:t>
            </w:r>
            <w:r w:rsidR="00081453">
              <w:t xml:space="preserve"> – </w:t>
            </w:r>
            <w:r>
              <w:t>1265</w:t>
            </w:r>
          </w:p>
        </w:tc>
        <w:tc>
          <w:tcPr>
            <w:tcW w:w="1190" w:type="dxa"/>
            <w:tcBorders>
              <w:left w:val="single" w:sz="1" w:space="0" w:color="000000"/>
              <w:bottom w:val="single" w:sz="1" w:space="0" w:color="000000"/>
            </w:tcBorders>
            <w:vAlign w:val="center"/>
          </w:tcPr>
          <w:p w:rsidR="00CE5E6F" w:rsidRDefault="00CE5E6F" w:rsidP="0078232E">
            <w:pPr>
              <w:pStyle w:val="Reisetabelle"/>
            </w:pPr>
            <w:r>
              <w:t>17.</w:t>
            </w:r>
            <w:r w:rsidR="00081453">
              <w:t xml:space="preserve"> – </w:t>
            </w:r>
            <w:r>
              <w:t>22. Aug.</w:t>
            </w:r>
          </w:p>
        </w:tc>
        <w:tc>
          <w:tcPr>
            <w:tcW w:w="1191" w:type="dxa"/>
            <w:tcBorders>
              <w:left w:val="single" w:sz="1" w:space="0" w:color="000000"/>
              <w:bottom w:val="single" w:sz="1" w:space="0" w:color="000000"/>
            </w:tcBorders>
            <w:vAlign w:val="center"/>
          </w:tcPr>
          <w:p w:rsidR="00CE5E6F" w:rsidRDefault="00CE5E6F" w:rsidP="0078232E">
            <w:pPr>
              <w:pStyle w:val="Reisetabelle"/>
            </w:pPr>
            <w:r>
              <w:t>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Dannert</w:t>
            </w:r>
            <w:r w:rsidR="00363C1C">
              <w:fldChar w:fldCharType="begin"/>
            </w:r>
            <w:r w:rsidR="00FD439D">
              <w:instrText xml:space="preserve"> XE "</w:instrText>
            </w:r>
            <w:r w:rsidR="00FD439D" w:rsidRPr="002D35B6">
              <w:instrText>Dannert, Geschw.</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1276</w:t>
            </w:r>
            <w:r w:rsidR="00081453">
              <w:t xml:space="preserve"> – </w:t>
            </w:r>
            <w:r>
              <w:t>1279</w:t>
            </w:r>
          </w:p>
        </w:tc>
        <w:tc>
          <w:tcPr>
            <w:tcW w:w="1190" w:type="dxa"/>
            <w:tcBorders>
              <w:left w:val="single" w:sz="1" w:space="0" w:color="000000"/>
              <w:bottom w:val="single" w:sz="1" w:space="0" w:color="000000"/>
            </w:tcBorders>
            <w:vAlign w:val="center"/>
          </w:tcPr>
          <w:p w:rsidR="00CE5E6F" w:rsidRDefault="00CE5E6F" w:rsidP="0078232E">
            <w:pPr>
              <w:pStyle w:val="Reisetabelle"/>
            </w:pPr>
            <w:r>
              <w:t>24.</w:t>
            </w:r>
            <w:r w:rsidR="00081453">
              <w:t xml:space="preserve"> – </w:t>
            </w:r>
            <w:r>
              <w:t>25. Aug.</w:t>
            </w:r>
          </w:p>
        </w:tc>
        <w:tc>
          <w:tcPr>
            <w:tcW w:w="1191" w:type="dxa"/>
            <w:tcBorders>
              <w:left w:val="single" w:sz="1" w:space="0" w:color="000000"/>
              <w:bottom w:val="single" w:sz="1" w:space="0" w:color="000000"/>
            </w:tcBorders>
            <w:vAlign w:val="center"/>
          </w:tcPr>
          <w:p w:rsidR="00CE5E6F" w:rsidRDefault="00CE5E6F" w:rsidP="0078232E">
            <w:pPr>
              <w:pStyle w:val="Reisetabelle"/>
            </w:pPr>
            <w:r>
              <w:t>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Vedder</w:t>
            </w:r>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1298</w:t>
            </w:r>
            <w:r w:rsidR="00081453">
              <w:t xml:space="preserve"> – </w:t>
            </w:r>
            <w:r>
              <w:t>1304</w:t>
            </w:r>
          </w:p>
        </w:tc>
        <w:tc>
          <w:tcPr>
            <w:tcW w:w="1190" w:type="dxa"/>
            <w:tcBorders>
              <w:left w:val="single" w:sz="1" w:space="0" w:color="000000"/>
              <w:bottom w:val="single" w:sz="1" w:space="0" w:color="000000"/>
            </w:tcBorders>
            <w:vAlign w:val="center"/>
          </w:tcPr>
          <w:p w:rsidR="00CE5E6F" w:rsidRDefault="00CE5E6F" w:rsidP="0078232E">
            <w:pPr>
              <w:pStyle w:val="Reisetabelle"/>
            </w:pPr>
            <w:r>
              <w:t>29.</w:t>
            </w:r>
            <w:r w:rsidR="00081453">
              <w:t xml:space="preserve"> – </w:t>
            </w:r>
            <w:r>
              <w:t>31. Aug.</w:t>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1318</w:t>
            </w:r>
            <w:r w:rsidR="00081453">
              <w:t xml:space="preserve"> – </w:t>
            </w:r>
            <w:r>
              <w:t>1323</w:t>
            </w:r>
          </w:p>
        </w:tc>
        <w:tc>
          <w:tcPr>
            <w:tcW w:w="1190" w:type="dxa"/>
            <w:tcBorders>
              <w:left w:val="single" w:sz="1" w:space="0" w:color="000000"/>
              <w:bottom w:val="single" w:sz="1" w:space="0" w:color="000000"/>
            </w:tcBorders>
            <w:vAlign w:val="center"/>
          </w:tcPr>
          <w:p w:rsidR="00CE5E6F" w:rsidRDefault="00CE5E6F" w:rsidP="0078232E">
            <w:pPr>
              <w:pStyle w:val="Reisetabelle"/>
            </w:pPr>
            <w:r>
              <w:t>3.</w:t>
            </w:r>
            <w:r w:rsidR="00081453">
              <w:t xml:space="preserve"> – </w:t>
            </w:r>
            <w:r>
              <w:t>4. Sept.</w:t>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1329f</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5. Sept.</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Swakopmund</w:t>
            </w:r>
            <w:r w:rsidR="00363C1C">
              <w:rPr>
                <w:lang w:val="en-GB"/>
              </w:rPr>
              <w:fldChar w:fldCharType="begin"/>
            </w:r>
            <w:r w:rsidR="00D20257">
              <w:instrText xml:space="preserve"> XE "</w:instrText>
            </w:r>
            <w:r w:rsidR="00D20257" w:rsidRPr="00655FF6">
              <w:instrText>Swakopmund</w:instrText>
            </w:r>
            <w:r w:rsidR="00D2025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Walfishbay</w:t>
            </w:r>
            <w:r w:rsidR="00363C1C">
              <w:rPr>
                <w:lang w:val="en-GB"/>
              </w:rPr>
              <w:fldChar w:fldCharType="begin"/>
            </w:r>
            <w:r w:rsidR="00C05598">
              <w:instrText xml:space="preserve"> XE "</w:instrText>
            </w:r>
            <w:r w:rsidR="00C05598" w:rsidRPr="0085666F">
              <w:rPr>
                <w:lang w:val="en-GB"/>
              </w:rPr>
              <w:instrText>Walfishbay</w:instrText>
            </w:r>
            <w:r w:rsidR="00C05598">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Maultierkarre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1345f</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10. Sept.</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Walfishbay</w:t>
            </w:r>
            <w:r w:rsidR="00363C1C">
              <w:rPr>
                <w:lang w:val="en-GB"/>
              </w:rPr>
              <w:fldChar w:fldCharType="begin"/>
            </w:r>
            <w:r w:rsidR="00C05598">
              <w:instrText xml:space="preserve"> XE "</w:instrText>
            </w:r>
            <w:r w:rsidR="00C05598" w:rsidRPr="0085666F">
              <w:rPr>
                <w:lang w:val="en-GB"/>
              </w:rPr>
              <w:instrText>Walfishbay</w:instrText>
            </w:r>
            <w:r w:rsidR="00C05598">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1356</w:t>
            </w:r>
            <w:r w:rsidR="00081453">
              <w:t xml:space="preserve"> – </w:t>
            </w:r>
            <w:r>
              <w:t>1359</w:t>
            </w:r>
          </w:p>
        </w:tc>
        <w:tc>
          <w:tcPr>
            <w:tcW w:w="1190" w:type="dxa"/>
            <w:tcBorders>
              <w:left w:val="single" w:sz="1" w:space="0" w:color="000000"/>
              <w:bottom w:val="single" w:sz="1" w:space="0" w:color="000000"/>
            </w:tcBorders>
            <w:vAlign w:val="center"/>
          </w:tcPr>
          <w:p w:rsidR="00CE5E6F" w:rsidRDefault="00CE5E6F" w:rsidP="0078232E">
            <w:pPr>
              <w:pStyle w:val="Reisetabelle"/>
            </w:pPr>
            <w:r>
              <w:t>12.</w:t>
            </w:r>
            <w:r w:rsidR="00081453">
              <w:t xml:space="preserve"> – </w:t>
            </w:r>
            <w:r>
              <w:t>13. Sept.</w:t>
            </w:r>
          </w:p>
        </w:tc>
        <w:tc>
          <w:tcPr>
            <w:tcW w:w="1191" w:type="dxa"/>
            <w:tcBorders>
              <w:left w:val="single" w:sz="1" w:space="0" w:color="000000"/>
              <w:bottom w:val="single" w:sz="1" w:space="0" w:color="000000"/>
            </w:tcBorders>
            <w:vAlign w:val="center"/>
          </w:tcPr>
          <w:p w:rsidR="00CE5E6F" w:rsidRDefault="00CE5E6F" w:rsidP="0078232E">
            <w:pPr>
              <w:pStyle w:val="Reisetabelle"/>
            </w:pPr>
            <w:r>
              <w:t>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1364</w:t>
            </w:r>
            <w:r w:rsidR="00081453">
              <w:t xml:space="preserve"> – </w:t>
            </w:r>
            <w:r>
              <w:t>1366</w:t>
            </w:r>
          </w:p>
        </w:tc>
        <w:tc>
          <w:tcPr>
            <w:tcW w:w="1190" w:type="dxa"/>
            <w:tcBorders>
              <w:left w:val="single" w:sz="1" w:space="0" w:color="000000"/>
              <w:bottom w:val="single" w:sz="1" w:space="0" w:color="000000"/>
            </w:tcBorders>
            <w:vAlign w:val="center"/>
          </w:tcPr>
          <w:p w:rsidR="00CE5E6F" w:rsidRDefault="00CE5E6F" w:rsidP="0078232E">
            <w:pPr>
              <w:pStyle w:val="Reisetabelle"/>
            </w:pPr>
            <w:r>
              <w:t>14. Sept.</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br/>
            </w:r>
            <w:r>
              <w:rPr>
                <w:i/>
              </w:rPr>
              <w:t>(Konferenz)</w:t>
            </w:r>
          </w:p>
        </w:tc>
        <w:tc>
          <w:tcPr>
            <w:tcW w:w="1191" w:type="dxa"/>
            <w:tcBorders>
              <w:left w:val="single" w:sz="1" w:space="0" w:color="000000"/>
              <w:bottom w:val="single" w:sz="1" w:space="0" w:color="000000"/>
            </w:tcBorders>
            <w:vAlign w:val="center"/>
          </w:tcPr>
          <w:p w:rsidR="00CE5E6F" w:rsidRDefault="00CE5E6F" w:rsidP="0078232E">
            <w:pPr>
              <w:pStyle w:val="Reisetabelle"/>
            </w:pPr>
            <w:r>
              <w:rPr>
                <w:lang w:val="en-GB"/>
              </w:rPr>
              <w:t>Br. Olpp</w:t>
            </w:r>
            <w:r w:rsidR="00363C1C">
              <w:rPr>
                <w:lang w:val="en-GB"/>
              </w:rPr>
              <w:fldChar w:fldCharType="begin"/>
            </w:r>
            <w:r w:rsidR="00FD439D">
              <w:instrText xml:space="preserve"> XE "</w:instrText>
            </w:r>
            <w:r w:rsidR="00FD439D" w:rsidRPr="00575A54">
              <w:rPr>
                <w:lang w:val="en-GB"/>
              </w:rPr>
              <w:instrText>Olpp, Br.</w:instrText>
            </w:r>
            <w:r w:rsidR="00FD439D">
              <w:instrText xml:space="preserve">" </w:instrText>
            </w:r>
            <w:r w:rsidR="00363C1C">
              <w:rPr>
                <w:lang w:val="en-GB"/>
              </w:rPr>
              <w:fldChar w:fldCharType="end"/>
            </w:r>
            <w:r>
              <w:rPr>
                <w:lang w:val="en-GB"/>
              </w:rPr>
              <w:t xml:space="preserve"> / Br. </w:t>
            </w:r>
            <w:r>
              <w:t>Bernsmann</w:t>
            </w:r>
            <w:r w:rsidR="00363C1C">
              <w:fldChar w:fldCharType="begin"/>
            </w:r>
            <w:r w:rsidR="00FD439D">
              <w:instrText xml:space="preserve"> XE "</w:instrText>
            </w:r>
            <w:r w:rsidR="00FD439D" w:rsidRPr="00310DEE">
              <w:instrText>Bernsmann, Br.</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1444</w:t>
            </w:r>
            <w:r w:rsidR="00081453">
              <w:t xml:space="preserve"> – </w:t>
            </w:r>
            <w:r>
              <w:t>1447</w:t>
            </w:r>
          </w:p>
        </w:tc>
        <w:tc>
          <w:tcPr>
            <w:tcW w:w="1190" w:type="dxa"/>
            <w:tcBorders>
              <w:left w:val="single" w:sz="1" w:space="0" w:color="000000"/>
              <w:bottom w:val="single" w:sz="1" w:space="0" w:color="000000"/>
            </w:tcBorders>
            <w:vAlign w:val="center"/>
          </w:tcPr>
          <w:p w:rsidR="00CE5E6F" w:rsidRDefault="00CE5E6F" w:rsidP="0078232E">
            <w:pPr>
              <w:pStyle w:val="Reisetabelle"/>
            </w:pPr>
            <w:r>
              <w:t>27. Sept.</w:t>
            </w:r>
          </w:p>
        </w:tc>
        <w:tc>
          <w:tcPr>
            <w:tcW w:w="1191" w:type="dxa"/>
            <w:tcBorders>
              <w:left w:val="single" w:sz="1" w:space="0" w:color="000000"/>
              <w:bottom w:val="single" w:sz="1" w:space="0" w:color="000000"/>
            </w:tcBorders>
            <w:vAlign w:val="center"/>
          </w:tcPr>
          <w:p w:rsidR="00CE5E6F" w:rsidRDefault="00CE5E6F" w:rsidP="0078232E">
            <w:pPr>
              <w:pStyle w:val="Reisetabelle"/>
            </w:pPr>
            <w:r>
              <w:t>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1469</w:t>
            </w:r>
            <w:r w:rsidR="00081453">
              <w:t xml:space="preserve"> – </w:t>
            </w:r>
            <w:r>
              <w:t>1481</w:t>
            </w:r>
          </w:p>
        </w:tc>
        <w:tc>
          <w:tcPr>
            <w:tcW w:w="1190" w:type="dxa"/>
            <w:tcBorders>
              <w:left w:val="single" w:sz="1" w:space="0" w:color="000000"/>
              <w:bottom w:val="single" w:sz="1" w:space="0" w:color="000000"/>
            </w:tcBorders>
            <w:vAlign w:val="center"/>
          </w:tcPr>
          <w:p w:rsidR="00CE5E6F" w:rsidRDefault="00CE5E6F" w:rsidP="0078232E">
            <w:pPr>
              <w:pStyle w:val="Reisetabelle"/>
            </w:pPr>
            <w:r>
              <w:t>4. Okt.</w:t>
            </w:r>
          </w:p>
        </w:tc>
        <w:tc>
          <w:tcPr>
            <w:tcW w:w="1191" w:type="dxa"/>
            <w:tcBorders>
              <w:left w:val="single" w:sz="1" w:space="0" w:color="000000"/>
              <w:bottom w:val="single" w:sz="1" w:space="0" w:color="000000"/>
            </w:tcBorders>
            <w:vAlign w:val="center"/>
          </w:tcPr>
          <w:p w:rsidR="00CE5E6F" w:rsidRDefault="00CE5E6F" w:rsidP="0078232E">
            <w:pPr>
              <w:pStyle w:val="Reisetabelle"/>
            </w:pPr>
            <w:r>
              <w:t>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 Br. W.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Bahn (Zug des Gouverneurs)</w:t>
            </w:r>
          </w:p>
        </w:tc>
      </w:tr>
      <w:tr w:rsidR="00CE5E6F" w:rsidTr="0078232E">
        <w:trPr>
          <w:cantSplit/>
        </w:trPr>
        <w:tc>
          <w:tcPr>
            <w:tcW w:w="6804" w:type="dxa"/>
            <w:gridSpan w:val="6"/>
            <w:tcBorders>
              <w:left w:val="single" w:sz="1" w:space="0" w:color="000000"/>
              <w:bottom w:val="single" w:sz="1" w:space="0" w:color="000000"/>
              <w:right w:val="single" w:sz="1" w:space="0" w:color="000000"/>
            </w:tcBorders>
            <w:vAlign w:val="center"/>
          </w:tcPr>
          <w:p w:rsidR="00CE5E6F" w:rsidRDefault="00CE5E6F" w:rsidP="00021E0E">
            <w:pPr>
              <w:pStyle w:val="Reisetabelle"/>
            </w:pPr>
            <w:r>
              <w:t>1485</w:t>
            </w:r>
            <w:r w:rsidR="00081453">
              <w:t xml:space="preserve"> – </w:t>
            </w:r>
            <w:r>
              <w:t>1519 fehlen.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lastRenderedPageBreak/>
              <w:t>?</w:t>
            </w:r>
            <w:r w:rsidR="00081453">
              <w:t xml:space="preserve"> – </w:t>
            </w:r>
            <w:r>
              <w:t xml:space="preserve">1520 </w:t>
            </w:r>
          </w:p>
        </w:tc>
        <w:tc>
          <w:tcPr>
            <w:tcW w:w="1190" w:type="dxa"/>
            <w:tcBorders>
              <w:left w:val="single" w:sz="1" w:space="0" w:color="000000"/>
              <w:bottom w:val="single" w:sz="1" w:space="0" w:color="000000"/>
            </w:tcBorders>
            <w:vAlign w:val="center"/>
          </w:tcPr>
          <w:p w:rsidR="00CE5E6F" w:rsidRDefault="00CE5E6F" w:rsidP="0078232E">
            <w:pPr>
              <w:pStyle w:val="Reisetabelle"/>
            </w:pPr>
            <w:r>
              <w:t>?</w:t>
            </w:r>
            <w:r w:rsidR="00081453">
              <w:t xml:space="preserve"> – </w:t>
            </w:r>
            <w:r>
              <w:t>13. Okt.</w:t>
            </w:r>
          </w:p>
        </w:tc>
        <w:tc>
          <w:tcPr>
            <w:tcW w:w="1191" w:type="dxa"/>
            <w:tcBorders>
              <w:left w:val="single" w:sz="1" w:space="0" w:color="000000"/>
              <w:bottom w:val="single" w:sz="1" w:space="0" w:color="000000"/>
            </w:tcBorders>
            <w:vAlign w:val="center"/>
          </w:tcPr>
          <w:p w:rsidR="00CE5E6F" w:rsidRDefault="00CE5E6F" w:rsidP="0078232E">
            <w:pPr>
              <w:pStyle w:val="Reisetabelle"/>
            </w:pPr>
            <w:r>
              <w:t>?</w:t>
            </w:r>
          </w:p>
        </w:tc>
        <w:tc>
          <w:tcPr>
            <w:tcW w:w="1191" w:type="dxa"/>
            <w:tcBorders>
              <w:left w:val="single" w:sz="1" w:space="0" w:color="000000"/>
              <w:bottom w:val="single" w:sz="1" w:space="0" w:color="000000"/>
            </w:tcBorders>
            <w:vAlign w:val="center"/>
          </w:tcPr>
          <w:p w:rsidR="00CE5E6F" w:rsidRDefault="00CE5E6F" w:rsidP="0078232E">
            <w:pPr>
              <w:pStyle w:val="Reisetabelle"/>
            </w:pPr>
            <w:r>
              <w:t>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en-GB"/>
              </w:rPr>
            </w:pPr>
            <w:r>
              <w:rPr>
                <w:lang w:val="en-GB"/>
              </w:rPr>
              <w:t>?</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1532</w:t>
            </w:r>
            <w:r w:rsidR="00081453">
              <w:rPr>
                <w:lang w:val="en-GB"/>
              </w:rPr>
              <w:t xml:space="preserve"> – </w:t>
            </w:r>
            <w:r>
              <w:rPr>
                <w:lang w:val="en-GB"/>
              </w:rPr>
              <w:t>1574</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16.</w:t>
            </w:r>
            <w:r w:rsidR="00081453">
              <w:rPr>
                <w:lang w:val="en-GB"/>
              </w:rPr>
              <w:t xml:space="preserve"> – </w:t>
            </w:r>
            <w:r>
              <w:rPr>
                <w:lang w:val="en-GB"/>
              </w:rPr>
              <w:t>25. Okt.</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Rehoboth</w:t>
            </w:r>
            <w:r w:rsidR="00363C1C">
              <w:rPr>
                <w:lang w:val="en-GB"/>
              </w:rPr>
              <w:fldChar w:fldCharType="begin"/>
            </w:r>
            <w:r w:rsidR="00FD439D">
              <w:instrText xml:space="preserve"> XE "</w:instrText>
            </w:r>
            <w:r w:rsidR="00FD439D" w:rsidRPr="00E8657B">
              <w:instrText>Rehoboth</w:instrText>
            </w:r>
            <w:r w:rsidR="00FD439D">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Gibeon</w:t>
            </w:r>
            <w:r w:rsidR="00363C1C">
              <w:rPr>
                <w:lang w:val="en-GB"/>
              </w:rPr>
              <w:fldChar w:fldCharType="begin"/>
            </w:r>
            <w:r w:rsidR="00C05598">
              <w:instrText xml:space="preserve"> XE "</w:instrText>
            </w:r>
            <w:r w:rsidR="00C05598" w:rsidRPr="005C7520">
              <w:rPr>
                <w:lang w:val="en-GB"/>
              </w:rPr>
              <w:instrText>Gibeon</w:instrText>
            </w:r>
            <w:r w:rsidR="00C05598">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Spellmeyer</w:t>
            </w:r>
            <w:r w:rsidR="00363C1C">
              <w:fldChar w:fldCharType="begin"/>
            </w:r>
            <w:r w:rsidR="001F21DF">
              <w:instrText xml:space="preserve"> XE "</w:instrText>
            </w:r>
            <w:r w:rsidR="001F21DF" w:rsidRPr="00535EB8">
              <w:instrText>Spellmeyer, Br.</w:instrText>
            </w:r>
            <w:r w:rsidR="001F21DF">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1602</w:t>
            </w:r>
            <w:r w:rsidR="00081453">
              <w:t xml:space="preserve"> – </w:t>
            </w:r>
            <w:r>
              <w:t>1611</w:t>
            </w:r>
          </w:p>
        </w:tc>
        <w:tc>
          <w:tcPr>
            <w:tcW w:w="1190" w:type="dxa"/>
            <w:tcBorders>
              <w:left w:val="single" w:sz="1" w:space="0" w:color="000000"/>
              <w:bottom w:val="single" w:sz="1" w:space="0" w:color="000000"/>
            </w:tcBorders>
            <w:vAlign w:val="center"/>
          </w:tcPr>
          <w:p w:rsidR="00CE5E6F" w:rsidRDefault="00CE5E6F" w:rsidP="0078232E">
            <w:pPr>
              <w:pStyle w:val="Reisetabelle"/>
            </w:pPr>
            <w:r>
              <w:t>30. Okt.</w:t>
            </w:r>
            <w:r w:rsidR="00081453">
              <w:t xml:space="preserve"> – </w:t>
            </w:r>
            <w:r>
              <w:t>2. Nov.</w:t>
            </w:r>
          </w:p>
        </w:tc>
        <w:tc>
          <w:tcPr>
            <w:tcW w:w="1191" w:type="dxa"/>
            <w:tcBorders>
              <w:left w:val="single" w:sz="1" w:space="0" w:color="000000"/>
              <w:bottom w:val="single" w:sz="1" w:space="0" w:color="000000"/>
            </w:tcBorders>
            <w:vAlign w:val="center"/>
          </w:tcPr>
          <w:p w:rsidR="00CE5E6F" w:rsidRDefault="00CE5E6F" w:rsidP="0078232E">
            <w:pPr>
              <w:pStyle w:val="Reisetabelle"/>
            </w:pPr>
            <w:r>
              <w:t>Gibeon</w:t>
            </w:r>
            <w:r w:rsidR="00363C1C">
              <w:fldChar w:fldCharType="begin"/>
            </w:r>
            <w:r w:rsidR="00C05598">
              <w:instrText xml:space="preserve"> XE "</w:instrText>
            </w:r>
            <w:r w:rsidR="00C05598" w:rsidRPr="005C7520">
              <w:rPr>
                <w:lang w:val="en-GB"/>
              </w:rPr>
              <w:instrText>Gibeon</w:instrText>
            </w:r>
            <w:r w:rsidR="00C05598">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Berseba</w:t>
            </w:r>
            <w:r w:rsidR="00363C1C">
              <w:fldChar w:fldCharType="begin"/>
            </w:r>
            <w:r w:rsidR="001F21DF">
              <w:instrText xml:space="preserve"> XE "</w:instrText>
            </w:r>
            <w:r w:rsidR="001F21DF" w:rsidRPr="001B2AB2">
              <w:instrText>Berseba</w:instrText>
            </w:r>
            <w:r w:rsidR="001F21DF">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Eisenberg</w:t>
            </w:r>
            <w:r w:rsidR="00363C1C">
              <w:fldChar w:fldCharType="begin"/>
            </w:r>
            <w:r w:rsidR="001F21DF">
              <w:instrText xml:space="preserve"> XE "</w:instrText>
            </w:r>
            <w:r w:rsidR="001F21DF" w:rsidRPr="007B33DC">
              <w:instrText>Eisenberg, Br.</w:instrText>
            </w:r>
            <w:r w:rsidR="001F21DF">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1645</w:t>
            </w:r>
            <w:r w:rsidR="00081453">
              <w:t xml:space="preserve"> – </w:t>
            </w:r>
            <w:r>
              <w:t>1652</w:t>
            </w:r>
          </w:p>
        </w:tc>
        <w:tc>
          <w:tcPr>
            <w:tcW w:w="1190" w:type="dxa"/>
            <w:tcBorders>
              <w:left w:val="single" w:sz="1" w:space="0" w:color="000000"/>
              <w:bottom w:val="single" w:sz="1" w:space="0" w:color="000000"/>
            </w:tcBorders>
            <w:vAlign w:val="center"/>
          </w:tcPr>
          <w:p w:rsidR="00CE5E6F" w:rsidRDefault="00CE5E6F" w:rsidP="0078232E">
            <w:pPr>
              <w:pStyle w:val="Reisetabelle"/>
            </w:pPr>
            <w:r>
              <w:t>8.</w:t>
            </w:r>
            <w:r w:rsidR="00081453">
              <w:t xml:space="preserve"> – </w:t>
            </w:r>
            <w:r>
              <w:t>9. Nov.</w:t>
            </w:r>
          </w:p>
        </w:tc>
        <w:tc>
          <w:tcPr>
            <w:tcW w:w="1191" w:type="dxa"/>
            <w:tcBorders>
              <w:left w:val="single" w:sz="1" w:space="0" w:color="000000"/>
              <w:bottom w:val="single" w:sz="1" w:space="0" w:color="000000"/>
            </w:tcBorders>
            <w:vAlign w:val="center"/>
          </w:tcPr>
          <w:p w:rsidR="00CE5E6F" w:rsidRDefault="00CE5E6F" w:rsidP="0078232E">
            <w:pPr>
              <w:pStyle w:val="Reisetabelle"/>
            </w:pPr>
            <w:r>
              <w:t>Berseba</w:t>
            </w:r>
            <w:r w:rsidR="00363C1C">
              <w:fldChar w:fldCharType="begin"/>
            </w:r>
            <w:r w:rsidR="001F21DF">
              <w:instrText xml:space="preserve"> XE "</w:instrText>
            </w:r>
            <w:r w:rsidR="001F21DF" w:rsidRPr="001B2AB2">
              <w:instrText>Berseba</w:instrText>
            </w:r>
            <w:r w:rsidR="001F21DF">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Keetmanshoop</w:t>
            </w:r>
            <w:r w:rsidR="00363C1C">
              <w:fldChar w:fldCharType="begin"/>
            </w:r>
            <w:r w:rsidR="001F21DF">
              <w:instrText xml:space="preserve"> XE "</w:instrText>
            </w:r>
            <w:r w:rsidR="001F21DF" w:rsidRPr="003B7CCD">
              <w:rPr>
                <w:lang w:val="en-GB"/>
              </w:rPr>
              <w:instrText>Keetmanshoop</w:instrText>
            </w:r>
            <w:r w:rsidR="001F21DF">
              <w:instrText xml:space="preserve">" </w:instrText>
            </w:r>
            <w:r w:rsidR="00363C1C">
              <w:fldChar w:fldCharType="end"/>
            </w:r>
            <w:r>
              <w:br/>
            </w:r>
            <w:r>
              <w:rPr>
                <w:i/>
              </w:rPr>
              <w:t>(Konferenz)</w:t>
            </w:r>
          </w:p>
        </w:tc>
        <w:tc>
          <w:tcPr>
            <w:tcW w:w="1191" w:type="dxa"/>
            <w:tcBorders>
              <w:left w:val="single" w:sz="1" w:space="0" w:color="000000"/>
              <w:bottom w:val="single" w:sz="1" w:space="0" w:color="000000"/>
            </w:tcBorders>
            <w:vAlign w:val="center"/>
          </w:tcPr>
          <w:p w:rsidR="00CE5E6F" w:rsidRDefault="00CE5E6F" w:rsidP="0078232E">
            <w:pPr>
              <w:pStyle w:val="Reisetabelle"/>
            </w:pPr>
            <w:r>
              <w:t>Br. Fenchel</w:t>
            </w:r>
            <w:r w:rsidR="00363C1C">
              <w:fldChar w:fldCharType="begin"/>
            </w:r>
            <w:r w:rsidR="008304E5">
              <w:instrText xml:space="preserve"> XE "</w:instrText>
            </w:r>
            <w:r w:rsidR="008304E5" w:rsidRPr="00407A48">
              <w:instrText>Fenchel, Br. (Präses im Groß-Namaland)</w:instrText>
            </w:r>
            <w:r w:rsidR="008304E5">
              <w:instrText xml:space="preserve">" </w:instrText>
            </w:r>
            <w:r w:rsidR="00363C1C">
              <w:fldChar w:fldCharType="end"/>
            </w:r>
            <w:r>
              <w:t xml:space="preserve"> (Präses im Groß-Namaland)</w:t>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en-GB"/>
              </w:rPr>
            </w:pPr>
            <w:r>
              <w:rPr>
                <w:lang w:val="en-GB"/>
              </w:rP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1748</w:t>
            </w:r>
            <w:r w:rsidR="00081453">
              <w:rPr>
                <w:lang w:val="en-GB"/>
              </w:rPr>
              <w:t xml:space="preserve"> – </w:t>
            </w:r>
            <w:r>
              <w:rPr>
                <w:lang w:val="en-GB"/>
              </w:rPr>
              <w:t>1762</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23.</w:t>
            </w:r>
            <w:r w:rsidR="00081453">
              <w:rPr>
                <w:lang w:val="en-GB"/>
              </w:rPr>
              <w:t xml:space="preserve"> – </w:t>
            </w:r>
            <w:r>
              <w:rPr>
                <w:lang w:val="en-GB"/>
              </w:rPr>
              <w:t>27. Nov.</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Keetmanshoop</w:t>
            </w:r>
            <w:r w:rsidR="00363C1C">
              <w:rPr>
                <w:lang w:val="en-GB"/>
              </w:rPr>
              <w:fldChar w:fldCharType="begin"/>
            </w:r>
            <w:r w:rsidR="001F21DF">
              <w:instrText xml:space="preserve"> XE "</w:instrText>
            </w:r>
            <w:r w:rsidR="001F21DF" w:rsidRPr="003B7CCD">
              <w:rPr>
                <w:lang w:val="en-GB"/>
              </w:rPr>
              <w:instrText>Keetmanshoop</w:instrText>
            </w:r>
            <w:r w:rsidR="001F21DF">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Bethanien</w:t>
            </w:r>
            <w:r w:rsidR="00363C1C">
              <w:rPr>
                <w:lang w:val="en-GB"/>
              </w:rPr>
              <w:fldChar w:fldCharType="begin"/>
            </w:r>
            <w:r w:rsidR="001F21DF">
              <w:instrText xml:space="preserve"> XE "</w:instrText>
            </w:r>
            <w:r w:rsidR="001F21DF" w:rsidRPr="00C8324A">
              <w:rPr>
                <w:lang w:val="en-GB"/>
              </w:rPr>
              <w:instrText>Bethanien</w:instrText>
            </w:r>
            <w:r w:rsidR="001F21DF">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Heinrich</w:t>
            </w:r>
            <w:r w:rsidR="008F3A4E">
              <w:t>s</w:t>
            </w:r>
            <w:r w:rsidR="00363C1C">
              <w:fldChar w:fldCharType="begin"/>
            </w:r>
            <w:r w:rsidR="001F21DF">
              <w:instrText xml:space="preserve"> XE "</w:instrText>
            </w:r>
            <w:r w:rsidR="001F21DF" w:rsidRPr="00294A51">
              <w:instrText>Heinrich</w:instrText>
            </w:r>
            <w:r w:rsidR="008F3A4E">
              <w:instrText>s</w:instrText>
            </w:r>
            <w:r w:rsidR="001F21DF" w:rsidRPr="00294A51">
              <w:instrText>, Br.</w:instrText>
            </w:r>
            <w:r w:rsidR="001F21DF">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1797</w:t>
            </w:r>
            <w:r w:rsidR="00081453">
              <w:t xml:space="preserve"> – </w:t>
            </w:r>
            <w:r>
              <w:t>1807</w:t>
            </w:r>
          </w:p>
        </w:tc>
        <w:tc>
          <w:tcPr>
            <w:tcW w:w="1190" w:type="dxa"/>
            <w:tcBorders>
              <w:left w:val="single" w:sz="1" w:space="0" w:color="000000"/>
              <w:bottom w:val="single" w:sz="1" w:space="0" w:color="000000"/>
            </w:tcBorders>
            <w:vAlign w:val="center"/>
          </w:tcPr>
          <w:p w:rsidR="00CE5E6F" w:rsidRDefault="00CE5E6F" w:rsidP="0078232E">
            <w:pPr>
              <w:pStyle w:val="Reisetabelle"/>
            </w:pPr>
            <w:r>
              <w:t>2.</w:t>
            </w:r>
            <w:r w:rsidR="00081453">
              <w:t xml:space="preserve"> – </w:t>
            </w:r>
            <w:r>
              <w:t>5. Dez.</w:t>
            </w:r>
          </w:p>
        </w:tc>
        <w:tc>
          <w:tcPr>
            <w:tcW w:w="1191" w:type="dxa"/>
            <w:tcBorders>
              <w:left w:val="single" w:sz="1" w:space="0" w:color="000000"/>
              <w:bottom w:val="single" w:sz="1" w:space="0" w:color="000000"/>
            </w:tcBorders>
            <w:vAlign w:val="center"/>
          </w:tcPr>
          <w:p w:rsidR="00CE5E6F" w:rsidRDefault="00CE5E6F" w:rsidP="0078232E">
            <w:pPr>
              <w:pStyle w:val="Reisetabelle"/>
            </w:pPr>
            <w:r>
              <w:t>Bethanien</w:t>
            </w:r>
            <w:r w:rsidR="00363C1C">
              <w:fldChar w:fldCharType="begin"/>
            </w:r>
            <w:r w:rsidR="001F21DF">
              <w:instrText xml:space="preserve"> XE "</w:instrText>
            </w:r>
            <w:r w:rsidR="001F21DF" w:rsidRPr="00C8324A">
              <w:rPr>
                <w:lang w:val="en-GB"/>
              </w:rPr>
              <w:instrText>Bethanien</w:instrText>
            </w:r>
            <w:r w:rsidR="001F21DF">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Aus</w:t>
            </w:r>
            <w:r w:rsidR="00363C1C">
              <w:fldChar w:fldCharType="begin"/>
            </w:r>
            <w:r w:rsidR="00E01EA7">
              <w:instrText xml:space="preserve"> XE "</w:instrText>
            </w:r>
            <w:r w:rsidR="00E01EA7" w:rsidRPr="003C5CA6">
              <w:instrText>Aus</w:instrText>
            </w:r>
            <w:r w:rsidR="00E01EA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Ochsenwagen</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1809</w:t>
            </w:r>
            <w:r w:rsidR="00081453">
              <w:t xml:space="preserve"> – </w:t>
            </w:r>
            <w:r>
              <w:t>1811</w:t>
            </w:r>
          </w:p>
        </w:tc>
        <w:tc>
          <w:tcPr>
            <w:tcW w:w="1190" w:type="dxa"/>
            <w:tcBorders>
              <w:left w:val="single" w:sz="1" w:space="0" w:color="000000"/>
              <w:bottom w:val="single" w:sz="1" w:space="0" w:color="000000"/>
            </w:tcBorders>
            <w:vAlign w:val="center"/>
          </w:tcPr>
          <w:p w:rsidR="00CE5E6F" w:rsidRDefault="00CE5E6F" w:rsidP="0078232E">
            <w:pPr>
              <w:pStyle w:val="Reisetabelle"/>
            </w:pPr>
            <w:r>
              <w:t>5. Dez.</w:t>
            </w:r>
          </w:p>
        </w:tc>
        <w:tc>
          <w:tcPr>
            <w:tcW w:w="1191" w:type="dxa"/>
            <w:tcBorders>
              <w:left w:val="single" w:sz="1" w:space="0" w:color="000000"/>
              <w:bottom w:val="single" w:sz="1" w:space="0" w:color="000000"/>
            </w:tcBorders>
            <w:vAlign w:val="center"/>
          </w:tcPr>
          <w:p w:rsidR="00CE5E6F" w:rsidRDefault="00CE5E6F" w:rsidP="0078232E">
            <w:pPr>
              <w:pStyle w:val="Reisetabelle"/>
            </w:pPr>
            <w:r>
              <w:t>Aus</w:t>
            </w:r>
            <w:r w:rsidR="00363C1C">
              <w:fldChar w:fldCharType="begin"/>
            </w:r>
            <w:r w:rsidR="00E01EA7">
              <w:instrText xml:space="preserve"> XE "</w:instrText>
            </w:r>
            <w:r w:rsidR="00E01EA7" w:rsidRPr="00154A3D">
              <w:instrText>Aus</w:instrText>
            </w:r>
            <w:r w:rsidR="00E01EA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1827</w:t>
            </w:r>
            <w:r w:rsidR="00081453">
              <w:t xml:space="preserve"> – </w:t>
            </w:r>
            <w:r>
              <w:t>1829</w:t>
            </w:r>
          </w:p>
        </w:tc>
        <w:tc>
          <w:tcPr>
            <w:tcW w:w="1190" w:type="dxa"/>
            <w:tcBorders>
              <w:left w:val="single" w:sz="1" w:space="0" w:color="000000"/>
              <w:bottom w:val="single" w:sz="1" w:space="0" w:color="000000"/>
            </w:tcBorders>
            <w:vAlign w:val="center"/>
          </w:tcPr>
          <w:p w:rsidR="00CE5E6F" w:rsidRDefault="00CE5E6F" w:rsidP="0078232E">
            <w:pPr>
              <w:pStyle w:val="Reisetabelle"/>
            </w:pPr>
            <w:r>
              <w:t>7. Dez.</w:t>
            </w:r>
          </w:p>
        </w:tc>
        <w:tc>
          <w:tcPr>
            <w:tcW w:w="1191" w:type="dxa"/>
            <w:tcBorders>
              <w:left w:val="single" w:sz="1" w:space="0" w:color="000000"/>
              <w:bottom w:val="single" w:sz="1" w:space="0" w:color="000000"/>
            </w:tcBorders>
            <w:vAlign w:val="center"/>
          </w:tcPr>
          <w:p w:rsidR="00CE5E6F" w:rsidRDefault="00CE5E6F" w:rsidP="0078232E">
            <w:pPr>
              <w:pStyle w:val="Reisetabelle"/>
            </w:pPr>
            <w:r>
              <w:t>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Port Nolloth</w:t>
            </w:r>
            <w:r w:rsidR="00363C1C">
              <w:rPr>
                <w:lang w:val="fr-FR"/>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fr-FR"/>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fr-FR"/>
              </w:rPr>
            </w:pPr>
            <w:r>
              <w:rPr>
                <w:lang w:val="fr-FR"/>
              </w:rP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 xml:space="preserve">1837 </w:t>
            </w:r>
          </w:p>
        </w:tc>
        <w:tc>
          <w:tcPr>
            <w:tcW w:w="119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10. Dez.</w:t>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Port Nolloth</w:t>
            </w:r>
            <w:r w:rsidR="00363C1C">
              <w:rPr>
                <w:lang w:val="fr-FR"/>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Meisenholl</w:t>
            </w:r>
            <w:r w:rsidR="00363C1C">
              <w:fldChar w:fldCharType="begin"/>
            </w:r>
            <w:r w:rsidR="00D20257">
              <w:instrText xml:space="preserve"> XE "</w:instrText>
            </w:r>
            <w:r w:rsidR="00D20257" w:rsidRPr="009F60CD">
              <w:instrText>Meisenholl, Geschw.</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1879f</w:t>
            </w:r>
          </w:p>
        </w:tc>
        <w:tc>
          <w:tcPr>
            <w:tcW w:w="1190" w:type="dxa"/>
            <w:tcBorders>
              <w:left w:val="single" w:sz="1" w:space="0" w:color="000000"/>
              <w:bottom w:val="single" w:sz="1" w:space="0" w:color="000000"/>
            </w:tcBorders>
            <w:vAlign w:val="center"/>
          </w:tcPr>
          <w:p w:rsidR="00CE5E6F" w:rsidRDefault="00CE5E6F" w:rsidP="0078232E">
            <w:pPr>
              <w:pStyle w:val="Reisetabelle"/>
            </w:pPr>
            <w:r>
              <w:t>17.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Concordia</w:t>
            </w:r>
            <w:r w:rsidR="00363C1C">
              <w:fldChar w:fldCharType="begin"/>
            </w:r>
            <w:r w:rsidR="00FD439D">
              <w:instrText xml:space="preserve"> XE "</w:instrText>
            </w:r>
            <w:r w:rsidR="00FD439D" w:rsidRPr="00B43315">
              <w:instrText>Concordia</w:instrText>
            </w:r>
            <w:r w:rsidR="00FD439D">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Hanefeld</w:t>
            </w:r>
            <w:r w:rsidR="00363C1C">
              <w:fldChar w:fldCharType="begin"/>
            </w:r>
            <w:r w:rsidR="00D20257">
              <w:instrText xml:space="preserve"> XE "</w:instrText>
            </w:r>
            <w:r w:rsidR="00D20257" w:rsidRPr="001450CC">
              <w:instrText>Hanefeld,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 xml:space="preserve">1894f </w:t>
            </w:r>
          </w:p>
        </w:tc>
        <w:tc>
          <w:tcPr>
            <w:tcW w:w="119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19. Dez.</w:t>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Concordia</w:t>
            </w:r>
            <w:r w:rsidR="00363C1C">
              <w:rPr>
                <w:lang w:val="fr-FR"/>
              </w:rPr>
              <w:fldChar w:fldCharType="begin"/>
            </w:r>
            <w:r w:rsidR="00FD439D">
              <w:instrText xml:space="preserve"> XE "</w:instrText>
            </w:r>
            <w:r w:rsidR="00FD439D" w:rsidRPr="00B43315">
              <w:instrText>Concordia</w:instrText>
            </w:r>
            <w:r w:rsidR="00FD439D">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Pferdekarre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1904 </w:t>
            </w:r>
          </w:p>
        </w:tc>
        <w:tc>
          <w:tcPr>
            <w:tcW w:w="1190" w:type="dxa"/>
            <w:tcBorders>
              <w:left w:val="single" w:sz="1" w:space="0" w:color="000000"/>
              <w:bottom w:val="single" w:sz="1" w:space="0" w:color="000000"/>
            </w:tcBorders>
            <w:vAlign w:val="center"/>
          </w:tcPr>
          <w:p w:rsidR="00CE5E6F" w:rsidRDefault="00CE5E6F" w:rsidP="0078232E">
            <w:pPr>
              <w:pStyle w:val="Reisetabelle"/>
            </w:pPr>
            <w:r>
              <w:t>21.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Port Nolloth</w:t>
            </w:r>
            <w:r w:rsidR="00363C1C">
              <w:fldChar w:fldCharType="begin"/>
            </w:r>
            <w:r w:rsidR="00D20257">
              <w:instrText xml:space="preserve"> XE "</w:instrText>
            </w:r>
            <w:r w:rsidR="00D20257" w:rsidRPr="00CA1DE2">
              <w:rPr>
                <w:lang w:val="fr-FR"/>
              </w:rPr>
              <w:instrText>Port Nolloth</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rPr>
                <w:lang w:val="fr-FR"/>
              </w:rPr>
            </w:pPr>
            <w:r>
              <w:rPr>
                <w:lang w:val="fr-FR"/>
              </w:rP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1906</w:t>
            </w:r>
            <w:r w:rsidR="00081453">
              <w:rPr>
                <w:lang w:val="fr-FR"/>
              </w:rPr>
              <w:t xml:space="preserve"> – </w:t>
            </w:r>
            <w:r>
              <w:rPr>
                <w:lang w:val="fr-FR"/>
              </w:rPr>
              <w:t>1911</w:t>
            </w:r>
          </w:p>
        </w:tc>
        <w:tc>
          <w:tcPr>
            <w:tcW w:w="1190"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22.</w:t>
            </w:r>
            <w:r w:rsidR="00081453">
              <w:rPr>
                <w:lang w:val="fr-FR"/>
              </w:rPr>
              <w:t xml:space="preserve"> – </w:t>
            </w:r>
            <w:r>
              <w:rPr>
                <w:lang w:val="fr-FR"/>
              </w:rPr>
              <w:t>23. Dez.</w:t>
            </w:r>
          </w:p>
        </w:tc>
        <w:tc>
          <w:tcPr>
            <w:tcW w:w="1191" w:type="dxa"/>
            <w:tcBorders>
              <w:left w:val="single" w:sz="1" w:space="0" w:color="000000"/>
              <w:bottom w:val="single" w:sz="1" w:space="0" w:color="000000"/>
            </w:tcBorders>
            <w:vAlign w:val="center"/>
          </w:tcPr>
          <w:p w:rsidR="00CE5E6F" w:rsidRDefault="00CE5E6F" w:rsidP="0078232E">
            <w:pPr>
              <w:pStyle w:val="Reisetabelle"/>
              <w:rPr>
                <w:lang w:val="fr-FR"/>
              </w:rPr>
            </w:pPr>
            <w:r>
              <w:rPr>
                <w:lang w:val="fr-FR"/>
              </w:rPr>
              <w:t>Port Nolloth</w:t>
            </w:r>
            <w:r w:rsidR="00363C1C">
              <w:rPr>
                <w:lang w:val="fr-FR"/>
              </w:rPr>
              <w:fldChar w:fldCharType="begin"/>
            </w:r>
            <w:r w:rsidR="00D20257">
              <w:instrText xml:space="preserve"> XE "</w:instrText>
            </w:r>
            <w:r w:rsidR="00D20257" w:rsidRPr="00CA1DE2">
              <w:rPr>
                <w:lang w:val="fr-FR"/>
              </w:rPr>
              <w:instrText>Port Nolloth</w:instrText>
            </w:r>
            <w:r w:rsidR="00D20257">
              <w:instrText xml:space="preserve">" </w:instrText>
            </w:r>
            <w:r w:rsidR="00363C1C">
              <w:rPr>
                <w:lang w:val="fr-FR"/>
              </w:rPr>
              <w:fldChar w:fldCharType="end"/>
            </w:r>
          </w:p>
        </w:tc>
        <w:tc>
          <w:tcPr>
            <w:tcW w:w="1191" w:type="dxa"/>
            <w:tcBorders>
              <w:left w:val="single" w:sz="1" w:space="0" w:color="000000"/>
              <w:bottom w:val="single" w:sz="1" w:space="0" w:color="000000"/>
            </w:tcBorders>
            <w:vAlign w:val="center"/>
          </w:tcPr>
          <w:p w:rsidR="00CE5E6F" w:rsidRDefault="00710612" w:rsidP="0078232E">
            <w:pPr>
              <w:pStyle w:val="Reisetabelle"/>
            </w:pPr>
            <w:r>
              <w:t>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Schiff</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1912 </w:t>
            </w:r>
          </w:p>
        </w:tc>
        <w:tc>
          <w:tcPr>
            <w:tcW w:w="1190" w:type="dxa"/>
            <w:tcBorders>
              <w:left w:val="single" w:sz="1" w:space="0" w:color="000000"/>
              <w:bottom w:val="single" w:sz="1" w:space="0" w:color="000000"/>
            </w:tcBorders>
            <w:vAlign w:val="center"/>
          </w:tcPr>
          <w:p w:rsidR="00CE5E6F" w:rsidRDefault="00CE5E6F" w:rsidP="0078232E">
            <w:pPr>
              <w:pStyle w:val="Reisetabelle"/>
            </w:pPr>
            <w:r>
              <w:t>23. Dez.</w:t>
            </w:r>
          </w:p>
        </w:tc>
        <w:tc>
          <w:tcPr>
            <w:tcW w:w="1191" w:type="dxa"/>
            <w:tcBorders>
              <w:left w:val="single" w:sz="1" w:space="0" w:color="000000"/>
              <w:bottom w:val="single" w:sz="1" w:space="0" w:color="000000"/>
            </w:tcBorders>
            <w:vAlign w:val="center"/>
          </w:tcPr>
          <w:p w:rsidR="00CE5E6F" w:rsidRDefault="00CE5E6F" w:rsidP="0078232E">
            <w:pPr>
              <w:pStyle w:val="Reisetabelle"/>
            </w:pPr>
            <w:r>
              <w:t>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1938 </w:t>
            </w:r>
          </w:p>
        </w:tc>
        <w:tc>
          <w:tcPr>
            <w:tcW w:w="1190" w:type="dxa"/>
            <w:tcBorders>
              <w:left w:val="single" w:sz="1" w:space="0" w:color="000000"/>
              <w:bottom w:val="single" w:sz="1" w:space="0" w:color="000000"/>
            </w:tcBorders>
            <w:vAlign w:val="center"/>
          </w:tcPr>
          <w:p w:rsidR="00CE5E6F" w:rsidRDefault="00CE5E6F" w:rsidP="0078232E">
            <w:pPr>
              <w:pStyle w:val="Reisetabelle"/>
            </w:pPr>
            <w:r>
              <w:t>29. Dez.</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Tulbagh</w:t>
            </w:r>
            <w:r w:rsidR="00363C1C">
              <w:fldChar w:fldCharType="begin"/>
            </w:r>
            <w:r w:rsidR="00710612">
              <w:instrText xml:space="preserve"> XE "</w:instrText>
            </w:r>
            <w:r w:rsidR="00710612" w:rsidRPr="002E40F5">
              <w:instrText>Tulbagh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Geschw. Kreft</w:t>
            </w:r>
            <w:r w:rsidR="00363C1C">
              <w:fldChar w:fldCharType="begin"/>
            </w:r>
            <w:r w:rsidR="00710612">
              <w:instrText xml:space="preserve"> XE "</w:instrText>
            </w:r>
            <w:r w:rsidR="00710612" w:rsidRPr="00105271">
              <w:rPr>
                <w:lang w:val="en-GB"/>
              </w:rPr>
              <w:instrText>Kreft, Geschw.</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1941</w:t>
            </w:r>
            <w:r w:rsidR="00081453">
              <w:t xml:space="preserve"> – </w:t>
            </w:r>
            <w:r>
              <w:t xml:space="preserve">1944 </w:t>
            </w:r>
          </w:p>
        </w:tc>
        <w:tc>
          <w:tcPr>
            <w:tcW w:w="1190" w:type="dxa"/>
            <w:tcBorders>
              <w:left w:val="single" w:sz="1" w:space="0" w:color="000000"/>
              <w:bottom w:val="single" w:sz="1" w:space="0" w:color="000000"/>
            </w:tcBorders>
            <w:vAlign w:val="center"/>
          </w:tcPr>
          <w:p w:rsidR="00CE5E6F" w:rsidRDefault="00CE5E6F" w:rsidP="0078232E">
            <w:pPr>
              <w:pStyle w:val="Reisetabelle"/>
            </w:pPr>
            <w:r>
              <w:t>30. Dez.</w:t>
            </w:r>
          </w:p>
        </w:tc>
        <w:tc>
          <w:tcPr>
            <w:tcW w:w="1191" w:type="dxa"/>
            <w:tcBorders>
              <w:left w:val="single" w:sz="1" w:space="0" w:color="000000"/>
              <w:bottom w:val="single" w:sz="1" w:space="0" w:color="000000"/>
            </w:tcBorders>
            <w:vAlign w:val="center"/>
          </w:tcPr>
          <w:p w:rsidR="00CE5E6F" w:rsidRDefault="00CE5E6F" w:rsidP="0078232E">
            <w:pPr>
              <w:pStyle w:val="Reisetabelle"/>
            </w:pPr>
            <w:r>
              <w:t>Tagesausflug nach Steinthal</w:t>
            </w:r>
            <w:r w:rsidR="00363C1C">
              <w:fldChar w:fldCharType="begin"/>
            </w:r>
            <w:r w:rsidR="00710612">
              <w:instrText xml:space="preserve"> XE "</w:instrText>
            </w:r>
            <w:r w:rsidR="00710612" w:rsidRPr="00445C97">
              <w:rPr>
                <w:lang w:val="en-GB"/>
              </w:rPr>
              <w:instrText>Steinthal</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tcBorders>
            <w:vAlign w:val="center"/>
          </w:tcPr>
          <w:p w:rsidR="00CE5E6F" w:rsidRDefault="00CE5E6F" w:rsidP="0078232E">
            <w:pPr>
              <w:pStyle w:val="Reisetabelle"/>
            </w:pPr>
            <w:r>
              <w:t>Br. Kling</w:t>
            </w:r>
            <w:r w:rsidR="00363C1C">
              <w:fldChar w:fldCharType="begin"/>
            </w:r>
            <w:r w:rsidR="00E01EA7">
              <w:instrText xml:space="preserve"> XE "</w:instrText>
            </w:r>
            <w:r w:rsidR="00E01EA7" w:rsidRPr="00A8331C">
              <w:instrText>Kling, Br.</w:instrText>
            </w:r>
            <w:r w:rsidR="00E01EA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1947 </w:t>
            </w:r>
          </w:p>
        </w:tc>
        <w:tc>
          <w:tcPr>
            <w:tcW w:w="1190" w:type="dxa"/>
            <w:tcBorders>
              <w:left w:val="single" w:sz="1" w:space="0" w:color="000000"/>
              <w:bottom w:val="single" w:sz="1" w:space="0" w:color="000000"/>
            </w:tcBorders>
            <w:vAlign w:val="center"/>
          </w:tcPr>
          <w:p w:rsidR="00CE5E6F" w:rsidRDefault="00CE5E6F" w:rsidP="0078232E">
            <w:pPr>
              <w:pStyle w:val="Reisetabelle"/>
            </w:pPr>
            <w:r>
              <w:t>31. Dez.</w:t>
            </w:r>
          </w:p>
        </w:tc>
        <w:tc>
          <w:tcPr>
            <w:tcW w:w="1191" w:type="dxa"/>
            <w:tcBorders>
              <w:left w:val="single" w:sz="1" w:space="0" w:color="000000"/>
              <w:bottom w:val="single" w:sz="1" w:space="0" w:color="000000"/>
            </w:tcBorders>
            <w:vAlign w:val="center"/>
          </w:tcPr>
          <w:p w:rsidR="00CE5E6F" w:rsidRDefault="00CE5E6F" w:rsidP="0078232E">
            <w:pPr>
              <w:pStyle w:val="Reisetabelle"/>
            </w:pPr>
            <w:r>
              <w:t>Tulbagh</w:t>
            </w:r>
            <w:r w:rsidR="00363C1C">
              <w:fldChar w:fldCharType="begin"/>
            </w:r>
            <w:r w:rsidR="00710612">
              <w:instrText xml:space="preserve"> XE "</w:instrText>
            </w:r>
            <w:r w:rsidR="00710612" w:rsidRPr="002E40F5">
              <w:instrText>Tulbagh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Worcester</w:t>
            </w:r>
            <w:r w:rsidR="00363C1C">
              <w:fldChar w:fldCharType="begin"/>
            </w:r>
            <w:r w:rsidR="00710612">
              <w:instrText xml:space="preserve"> XE "</w:instrText>
            </w:r>
            <w:r w:rsidR="00710612" w:rsidRPr="009D2AA9">
              <w:rPr>
                <w:lang w:val="en-GB"/>
              </w:rPr>
              <w:instrText>Worcester</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 Br. Leipoldt</w:t>
            </w:r>
            <w:r w:rsidR="00363C1C">
              <w:fldChar w:fldCharType="begin"/>
            </w:r>
            <w:r w:rsidR="00710612">
              <w:instrText xml:space="preserve"> XE "</w:instrText>
            </w:r>
            <w:r w:rsidR="00710612" w:rsidRPr="007501C5">
              <w:instrText>Leipoldt,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1973 </w:t>
            </w:r>
          </w:p>
        </w:tc>
        <w:tc>
          <w:tcPr>
            <w:tcW w:w="1190" w:type="dxa"/>
            <w:tcBorders>
              <w:left w:val="single" w:sz="1" w:space="0" w:color="000000"/>
              <w:bottom w:val="single" w:sz="1" w:space="0" w:color="000000"/>
            </w:tcBorders>
            <w:vAlign w:val="center"/>
          </w:tcPr>
          <w:p w:rsidR="00CE5E6F" w:rsidRDefault="00CE5E6F" w:rsidP="0078232E">
            <w:pPr>
              <w:pStyle w:val="Reisetabelle"/>
            </w:pPr>
            <w:r>
              <w:t>5. Jan. 1907</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Worcester</w:t>
            </w:r>
            <w:r w:rsidR="00363C1C">
              <w:rPr>
                <w:lang w:val="en-GB"/>
              </w:rPr>
              <w:fldChar w:fldCharType="begin"/>
            </w:r>
            <w:r w:rsidR="00710612">
              <w:instrText xml:space="preserve"> XE "</w:instrText>
            </w:r>
            <w:r w:rsidR="00710612" w:rsidRPr="009D2AA9">
              <w:rPr>
                <w:lang w:val="en-GB"/>
              </w:rPr>
              <w:instrText>Worcester</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Ceres Road</w:t>
            </w:r>
            <w:r w:rsidR="00363C1C">
              <w:rPr>
                <w:lang w:val="en-GB"/>
              </w:rPr>
              <w:fldChar w:fldCharType="begin"/>
            </w:r>
            <w:r w:rsidR="00710612">
              <w:instrText xml:space="preserve"> XE "</w:instrText>
            </w:r>
            <w:r w:rsidR="00710612" w:rsidRPr="00564138">
              <w:rPr>
                <w:lang w:val="en-GB"/>
              </w:rPr>
              <w:instrText>Ceres Road</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Doenges</w:t>
            </w:r>
            <w:r w:rsidR="00363C1C">
              <w:fldChar w:fldCharType="begin"/>
            </w:r>
            <w:r w:rsidR="00710612">
              <w:instrText xml:space="preserve"> XE "</w:instrText>
            </w:r>
            <w:r w:rsidR="00710612" w:rsidRPr="00015866">
              <w:instrText>Doenges, Br.</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 xml:space="preserve">1977 </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7. Jan.</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Ceres Road</w:t>
            </w:r>
            <w:r w:rsidR="00363C1C">
              <w:rPr>
                <w:lang w:val="en-GB"/>
              </w:rPr>
              <w:fldChar w:fldCharType="begin"/>
            </w:r>
            <w:r w:rsidR="00710612">
              <w:instrText xml:space="preserve"> XE "</w:instrText>
            </w:r>
            <w:r w:rsidR="00710612" w:rsidRPr="00564138">
              <w:rPr>
                <w:lang w:val="en-GB"/>
              </w:rPr>
              <w:instrText>Ceres Road</w:instrText>
            </w:r>
            <w:r w:rsidR="00710612">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Hartwig</w:t>
            </w:r>
            <w:r w:rsidR="00363C1C">
              <w:fldChar w:fldCharType="begin"/>
            </w:r>
            <w:r w:rsidR="00D20257">
              <w:instrText xml:space="preserve"> XE "</w:instrText>
            </w:r>
            <w:r w:rsidR="00D20257" w:rsidRPr="00683415">
              <w:instrText>Hartwig, Br.</w:instrText>
            </w:r>
            <w:r w:rsidR="00D2025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 / 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1999</w:t>
            </w:r>
            <w:r w:rsidR="00081453">
              <w:t xml:space="preserve"> – </w:t>
            </w:r>
            <w:r>
              <w:t>2001</w:t>
            </w:r>
          </w:p>
        </w:tc>
        <w:tc>
          <w:tcPr>
            <w:tcW w:w="1190" w:type="dxa"/>
            <w:tcBorders>
              <w:left w:val="single" w:sz="1" w:space="0" w:color="000000"/>
              <w:bottom w:val="single" w:sz="1" w:space="0" w:color="000000"/>
            </w:tcBorders>
            <w:vAlign w:val="center"/>
          </w:tcPr>
          <w:p w:rsidR="00CE5E6F" w:rsidRDefault="00CE5E6F" w:rsidP="0078232E">
            <w:pPr>
              <w:pStyle w:val="Reisetabelle"/>
            </w:pPr>
            <w:r>
              <w:t>11. Jan.</w:t>
            </w:r>
          </w:p>
        </w:tc>
        <w:tc>
          <w:tcPr>
            <w:tcW w:w="1191" w:type="dxa"/>
            <w:tcBorders>
              <w:left w:val="single" w:sz="1" w:space="0" w:color="000000"/>
              <w:bottom w:val="single" w:sz="1" w:space="0" w:color="000000"/>
            </w:tcBorders>
            <w:vAlign w:val="center"/>
          </w:tcPr>
          <w:p w:rsidR="00CE5E6F" w:rsidRDefault="00CE5E6F" w:rsidP="0078232E">
            <w:pPr>
              <w:pStyle w:val="Reisetabelle"/>
            </w:pPr>
            <w:r>
              <w:t>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 / Zug</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2004 </w:t>
            </w:r>
          </w:p>
        </w:tc>
        <w:tc>
          <w:tcPr>
            <w:tcW w:w="1190" w:type="dxa"/>
            <w:tcBorders>
              <w:left w:val="single" w:sz="1" w:space="0" w:color="000000"/>
              <w:bottom w:val="single" w:sz="1" w:space="0" w:color="000000"/>
            </w:tcBorders>
            <w:vAlign w:val="center"/>
          </w:tcPr>
          <w:p w:rsidR="00CE5E6F" w:rsidRDefault="00CE5E6F" w:rsidP="0078232E">
            <w:pPr>
              <w:pStyle w:val="Reisetabelle"/>
            </w:pPr>
            <w:r>
              <w:t>12. Jan.</w:t>
            </w:r>
          </w:p>
        </w:tc>
        <w:tc>
          <w:tcPr>
            <w:tcW w:w="1191" w:type="dxa"/>
            <w:tcBorders>
              <w:left w:val="single" w:sz="1" w:space="0" w:color="000000"/>
              <w:bottom w:val="single" w:sz="1" w:space="0" w:color="000000"/>
            </w:tcBorders>
            <w:vAlign w:val="center"/>
          </w:tcPr>
          <w:p w:rsidR="00CE5E6F" w:rsidRDefault="00CE5E6F" w:rsidP="0078232E">
            <w:pPr>
              <w:pStyle w:val="Reisetabelle"/>
            </w:pPr>
            <w:r>
              <w:t>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Br. Holzapfel</w:t>
            </w:r>
            <w:r w:rsidR="00363C1C">
              <w:fldChar w:fldCharType="begin"/>
            </w:r>
            <w:r w:rsidR="00710612">
              <w:instrText xml:space="preserve"> XE "</w:instrText>
            </w:r>
            <w:r w:rsidR="00710612" w:rsidRPr="00E95864">
              <w:instrText>Holzapfel, Geschw.</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 xml:space="preserve">2006 </w:t>
            </w:r>
          </w:p>
        </w:tc>
        <w:tc>
          <w:tcPr>
            <w:tcW w:w="1190" w:type="dxa"/>
            <w:tcBorders>
              <w:left w:val="single" w:sz="1" w:space="0" w:color="000000"/>
              <w:bottom w:val="single" w:sz="1" w:space="0" w:color="000000"/>
            </w:tcBorders>
            <w:vAlign w:val="center"/>
          </w:tcPr>
          <w:p w:rsidR="00CE5E6F" w:rsidRDefault="00CE5E6F" w:rsidP="0078232E">
            <w:pPr>
              <w:pStyle w:val="Reisetabelle"/>
            </w:pPr>
            <w:r>
              <w:t>13. Jan.</w:t>
            </w:r>
          </w:p>
        </w:tc>
        <w:tc>
          <w:tcPr>
            <w:tcW w:w="1191" w:type="dxa"/>
            <w:tcBorders>
              <w:left w:val="single" w:sz="1" w:space="0" w:color="000000"/>
              <w:bottom w:val="single" w:sz="1" w:space="0" w:color="000000"/>
            </w:tcBorders>
            <w:vAlign w:val="center"/>
          </w:tcPr>
          <w:p w:rsidR="00CE5E6F" w:rsidRDefault="00CE5E6F" w:rsidP="0078232E">
            <w:pPr>
              <w:pStyle w:val="Reisetabelle"/>
            </w:pPr>
            <w:r>
              <w:t>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Matroosfontein</w:t>
            </w:r>
            <w:r w:rsidR="00363C1C">
              <w:fldChar w:fldCharType="begin"/>
            </w:r>
            <w:r w:rsidR="00E01EA7">
              <w:instrText xml:space="preserve"> XE "</w:instrText>
            </w:r>
            <w:r w:rsidR="00E01EA7" w:rsidRPr="00152619">
              <w:instrText>Matroosfontein</w:instrText>
            </w:r>
            <w:r w:rsidR="00E01EA7">
              <w:instrText xml:space="preserve">" </w:instrText>
            </w:r>
            <w:r w:rsidR="00363C1C">
              <w:fldChar w:fldCharType="end"/>
            </w:r>
            <w:r>
              <w:t xml:space="preserve"> </w:t>
            </w:r>
          </w:p>
        </w:tc>
        <w:tc>
          <w:tcPr>
            <w:tcW w:w="1191" w:type="dxa"/>
            <w:tcBorders>
              <w:left w:val="single" w:sz="1" w:space="0" w:color="000000"/>
              <w:bottom w:val="single" w:sz="1" w:space="0" w:color="000000"/>
            </w:tcBorders>
            <w:vAlign w:val="center"/>
          </w:tcPr>
          <w:p w:rsidR="00CE5E6F" w:rsidRDefault="00CE5E6F" w:rsidP="0078232E">
            <w:pPr>
              <w:pStyle w:val="Reisetabelle"/>
            </w:pPr>
            <w:r>
              <w:t>Br. Holzapfel</w:t>
            </w:r>
            <w:r w:rsidR="00363C1C">
              <w:fldChar w:fldCharType="begin"/>
            </w:r>
            <w:r w:rsidR="00710612">
              <w:instrText xml:space="preserve"> XE "</w:instrText>
            </w:r>
            <w:r w:rsidR="00710612" w:rsidRPr="00E95864">
              <w:instrText>Holzapfel, Geschw.</w:instrText>
            </w:r>
            <w:r w:rsidR="00710612">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2012</w:t>
            </w:r>
            <w:r w:rsidR="00081453">
              <w:rPr>
                <w:lang w:val="en-GB"/>
              </w:rPr>
              <w:t xml:space="preserve"> – </w:t>
            </w:r>
            <w:r>
              <w:rPr>
                <w:lang w:val="en-GB"/>
              </w:rPr>
              <w:t>2022</w:t>
            </w:r>
          </w:p>
        </w:tc>
        <w:tc>
          <w:tcPr>
            <w:tcW w:w="1190"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14.</w:t>
            </w:r>
            <w:r w:rsidR="00081453">
              <w:rPr>
                <w:lang w:val="en-GB"/>
              </w:rPr>
              <w:t xml:space="preserve"> – </w:t>
            </w:r>
            <w:r>
              <w:rPr>
                <w:lang w:val="en-GB"/>
              </w:rPr>
              <w:t>15. Jan.</w:t>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Matroosfontein</w:t>
            </w:r>
            <w:r w:rsidR="00363C1C">
              <w:rPr>
                <w:lang w:val="en-GB"/>
              </w:rPr>
              <w:fldChar w:fldCharType="begin"/>
            </w:r>
            <w:r w:rsidR="00E01EA7">
              <w:instrText xml:space="preserve"> XE "</w:instrText>
            </w:r>
            <w:r w:rsidR="00E01EA7" w:rsidRPr="00152619">
              <w:instrText>Matroosfontein</w:instrText>
            </w:r>
            <w:r w:rsidR="00E01EA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rPr>
                <w:lang w:val="en-GB"/>
              </w:rPr>
            </w:pPr>
            <w:r>
              <w:rPr>
                <w:lang w:val="en-GB"/>
              </w:rPr>
              <w:t>Clan William</w:t>
            </w:r>
            <w:r w:rsidR="00363C1C">
              <w:rPr>
                <w:lang w:val="en-GB"/>
              </w:rPr>
              <w:fldChar w:fldCharType="begin"/>
            </w:r>
            <w:r w:rsidR="00E01EA7">
              <w:instrText xml:space="preserve"> XE "</w:instrText>
            </w:r>
            <w:r w:rsidR="00E01EA7" w:rsidRPr="00CA4683">
              <w:rPr>
                <w:lang w:val="en-GB"/>
              </w:rPr>
              <w:instrText>Clan William</w:instrText>
            </w:r>
            <w:r w:rsidR="00E01EA7">
              <w:instrText xml:space="preserve">" </w:instrText>
            </w:r>
            <w:r w:rsidR="00363C1C">
              <w:rPr>
                <w:lang w:val="en-GB"/>
              </w:rPr>
              <w:fldChar w:fldCharType="end"/>
            </w:r>
          </w:p>
        </w:tc>
        <w:tc>
          <w:tcPr>
            <w:tcW w:w="1191" w:type="dxa"/>
            <w:tcBorders>
              <w:left w:val="single" w:sz="1" w:space="0" w:color="000000"/>
              <w:bottom w:val="single" w:sz="1" w:space="0" w:color="000000"/>
            </w:tcBorders>
            <w:vAlign w:val="center"/>
          </w:tcPr>
          <w:p w:rsidR="00CE5E6F" w:rsidRDefault="00CE5E6F" w:rsidP="0078232E">
            <w:pPr>
              <w:pStyle w:val="Text"/>
              <w:spacing w:before="56" w:after="20"/>
              <w:jc w:val="left"/>
              <w:rPr>
                <w:lang w:val="en-GB"/>
              </w:rPr>
            </w:pP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Zug / Karre</w:t>
            </w:r>
          </w:p>
        </w:tc>
      </w:tr>
      <w:tr w:rsidR="00CE5E6F" w:rsidTr="0078232E">
        <w:trPr>
          <w:cantSplit/>
        </w:trPr>
        <w:tc>
          <w:tcPr>
            <w:tcW w:w="850" w:type="dxa"/>
            <w:tcBorders>
              <w:left w:val="single" w:sz="1" w:space="0" w:color="000000"/>
              <w:bottom w:val="single" w:sz="1" w:space="0" w:color="000000"/>
            </w:tcBorders>
            <w:vAlign w:val="center"/>
          </w:tcPr>
          <w:p w:rsidR="00CE5E6F" w:rsidRDefault="00CE5E6F" w:rsidP="0078232E">
            <w:pPr>
              <w:pStyle w:val="Reisetabelle"/>
            </w:pPr>
            <w:r>
              <w:t>2025</w:t>
            </w:r>
            <w:r w:rsidR="00081453">
              <w:t xml:space="preserve"> – </w:t>
            </w:r>
            <w:r>
              <w:t>2030</w:t>
            </w:r>
          </w:p>
        </w:tc>
        <w:tc>
          <w:tcPr>
            <w:tcW w:w="1190" w:type="dxa"/>
            <w:tcBorders>
              <w:left w:val="single" w:sz="1" w:space="0" w:color="000000"/>
              <w:bottom w:val="single" w:sz="1" w:space="0" w:color="000000"/>
            </w:tcBorders>
            <w:vAlign w:val="center"/>
          </w:tcPr>
          <w:p w:rsidR="00CE5E6F" w:rsidRDefault="00CE5E6F" w:rsidP="0078232E">
            <w:pPr>
              <w:pStyle w:val="Reisetabelle"/>
            </w:pPr>
            <w:r>
              <w:t>16.</w:t>
            </w:r>
            <w:r w:rsidR="00081453">
              <w:t xml:space="preserve"> – </w:t>
            </w:r>
            <w:r>
              <w:t>17. Jan.</w:t>
            </w:r>
          </w:p>
        </w:tc>
        <w:tc>
          <w:tcPr>
            <w:tcW w:w="1191" w:type="dxa"/>
            <w:tcBorders>
              <w:left w:val="single" w:sz="1" w:space="0" w:color="000000"/>
              <w:bottom w:val="single" w:sz="1" w:space="0" w:color="000000"/>
            </w:tcBorders>
            <w:vAlign w:val="center"/>
          </w:tcPr>
          <w:p w:rsidR="00CE5E6F" w:rsidRDefault="00CE5E6F" w:rsidP="0078232E">
            <w:pPr>
              <w:pStyle w:val="Reisetabelle"/>
            </w:pPr>
            <w:r>
              <w:t>Clan William</w:t>
            </w:r>
            <w:r w:rsidR="00363C1C">
              <w:fldChar w:fldCharType="begin"/>
            </w:r>
            <w:r w:rsidR="00E01EA7">
              <w:instrText xml:space="preserve"> XE "</w:instrText>
            </w:r>
            <w:r w:rsidR="00E01EA7" w:rsidRPr="00CA4683">
              <w:rPr>
                <w:lang w:val="en-GB"/>
              </w:rPr>
              <w:instrText>Clan William</w:instrText>
            </w:r>
            <w:r w:rsidR="00E01EA7">
              <w:instrText xml:space="preserve">" </w:instrText>
            </w:r>
            <w:r w:rsidR="00363C1C">
              <w:fldChar w:fldCharType="end"/>
            </w:r>
          </w:p>
        </w:tc>
        <w:tc>
          <w:tcPr>
            <w:tcW w:w="1191" w:type="dxa"/>
            <w:tcBorders>
              <w:left w:val="single" w:sz="1" w:space="0" w:color="000000"/>
              <w:bottom w:val="single" w:sz="1" w:space="0" w:color="000000"/>
            </w:tcBorders>
            <w:vAlign w:val="center"/>
          </w:tcPr>
          <w:p w:rsidR="00CE5E6F" w:rsidRDefault="00CE5E6F" w:rsidP="0078232E">
            <w:pPr>
              <w:pStyle w:val="Reisetabelle"/>
            </w:pPr>
            <w:r>
              <w:t>Wupperthal</w:t>
            </w:r>
            <w:r w:rsidR="00363C1C">
              <w:fldChar w:fldCharType="begin"/>
            </w:r>
            <w:r w:rsidR="00E01EA7">
              <w:instrText xml:space="preserve"> XE "</w:instrText>
            </w:r>
            <w:r w:rsidR="00E01EA7" w:rsidRPr="00C24B28">
              <w:instrText>Wupperthal</w:instrText>
            </w:r>
            <w:r w:rsidR="00E01EA7">
              <w:instrText xml:space="preserve">" </w:instrText>
            </w:r>
            <w:r w:rsidR="00363C1C">
              <w:fldChar w:fldCharType="end"/>
            </w:r>
            <w:r>
              <w:br/>
            </w:r>
            <w:r>
              <w:rPr>
                <w:i/>
              </w:rPr>
              <w:t>(Konferenz)</w:t>
            </w:r>
          </w:p>
        </w:tc>
        <w:tc>
          <w:tcPr>
            <w:tcW w:w="1191" w:type="dxa"/>
            <w:tcBorders>
              <w:left w:val="single" w:sz="1" w:space="0" w:color="000000"/>
              <w:bottom w:val="single" w:sz="1" w:space="0" w:color="000000"/>
            </w:tcBorders>
            <w:vAlign w:val="center"/>
          </w:tcPr>
          <w:p w:rsidR="00CE5E6F" w:rsidRDefault="00CE5E6F" w:rsidP="0078232E">
            <w:pPr>
              <w:pStyle w:val="Reisetabelle"/>
            </w:pPr>
            <w:r>
              <w:t>Br. Schmolke</w:t>
            </w:r>
            <w:r w:rsidR="00363C1C">
              <w:fldChar w:fldCharType="begin"/>
            </w:r>
            <w:r w:rsidR="00E01EA7">
              <w:instrText xml:space="preserve"> XE "</w:instrText>
            </w:r>
            <w:r w:rsidR="00E01EA7" w:rsidRPr="003E5107">
              <w:instrText>Schmolke, Br.</w:instrText>
            </w:r>
            <w:r w:rsidR="00E01EA7">
              <w:instrText xml:space="preserve">" </w:instrText>
            </w:r>
            <w:r w:rsidR="00363C1C">
              <w:fldChar w:fldCharType="end"/>
            </w:r>
            <w:r>
              <w:t xml:space="preserve"> / Br. Straßberger</w:t>
            </w:r>
            <w:r w:rsidR="00363C1C">
              <w:fldChar w:fldCharType="begin"/>
            </w:r>
            <w:r w:rsidR="00E01EA7">
              <w:instrText xml:space="preserve"> XE "</w:instrText>
            </w:r>
            <w:r w:rsidR="00E01EA7" w:rsidRPr="000A3AFE">
              <w:instrText>Straßberger, Br.</w:instrText>
            </w:r>
            <w:r w:rsidR="00E01EA7">
              <w:instrText xml:space="preserve">" </w:instrText>
            </w:r>
            <w:r w:rsidR="00363C1C">
              <w:fldChar w:fldCharType="end"/>
            </w:r>
          </w:p>
        </w:tc>
        <w:tc>
          <w:tcPr>
            <w:tcW w:w="1191" w:type="dxa"/>
            <w:tcBorders>
              <w:left w:val="single" w:sz="1" w:space="0" w:color="000000"/>
              <w:bottom w:val="single" w:sz="1" w:space="0" w:color="000000"/>
              <w:right w:val="single" w:sz="1" w:space="0" w:color="000000"/>
            </w:tcBorders>
            <w:vAlign w:val="center"/>
          </w:tcPr>
          <w:p w:rsidR="00CE5E6F" w:rsidRDefault="00CE5E6F" w:rsidP="0078232E">
            <w:pPr>
              <w:pStyle w:val="Reisetabelle"/>
            </w:pPr>
            <w:r>
              <w:t>Karre</w:t>
            </w:r>
          </w:p>
        </w:tc>
      </w:tr>
      <w:tr w:rsidR="00CE5E6F" w:rsidTr="0078232E">
        <w:trPr>
          <w:cantSplit/>
        </w:trPr>
        <w:tc>
          <w:tcPr>
            <w:tcW w:w="6804" w:type="dxa"/>
            <w:gridSpan w:val="6"/>
            <w:tcBorders>
              <w:left w:val="single" w:sz="1" w:space="0" w:color="000000"/>
              <w:bottom w:val="single" w:sz="1" w:space="0" w:color="000000"/>
              <w:right w:val="single" w:sz="1" w:space="0" w:color="000000"/>
            </w:tcBorders>
            <w:vAlign w:val="center"/>
          </w:tcPr>
          <w:p w:rsidR="00CE5E6F" w:rsidRDefault="00CE5E6F" w:rsidP="0078232E">
            <w:pPr>
              <w:pStyle w:val="Reisetabelle"/>
            </w:pPr>
            <w:r>
              <w:t>Ende fehlt.</w:t>
            </w:r>
            <w:r>
              <w:rPr>
                <w:rStyle w:val="Funotenzeichen"/>
              </w:rPr>
              <w:footnoteReference w:id="13"/>
            </w:r>
          </w:p>
        </w:tc>
      </w:tr>
    </w:tbl>
    <w:p w:rsidR="00CE5E6F" w:rsidRDefault="003C3766" w:rsidP="003C3766">
      <w:pPr>
        <w:pStyle w:val="Text"/>
        <w:spacing w:after="240"/>
        <w:ind w:left="-510" w:right="567" w:firstLine="0"/>
      </w:pPr>
      <w:r>
        <w:rPr>
          <w:noProof/>
        </w:rPr>
        <w:lastRenderedPageBreak/>
        <w:drawing>
          <wp:inline distT="0" distB="0" distL="0" distR="0">
            <wp:extent cx="4754370" cy="6509048"/>
            <wp:effectExtent l="19050" t="0" r="8130" b="0"/>
            <wp:docPr id="7" name="Abb2.jpg" descr="C:\Users\Martin\Docs\Publikationen\Johannes Spiecker - Tagebuch\Johannes Spiecker in Deutsch-Südwestafrika\Ab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2.jpg"/>
                    <pic:cNvPicPr/>
                  </pic:nvPicPr>
                  <pic:blipFill>
                    <a:blip r:link="rId16" cstate="print"/>
                    <a:stretch>
                      <a:fillRect/>
                    </a:stretch>
                  </pic:blipFill>
                  <pic:spPr>
                    <a:xfrm>
                      <a:off x="0" y="0"/>
                      <a:ext cx="4754370" cy="6509048"/>
                    </a:xfrm>
                    <a:prstGeom prst="rect">
                      <a:avLst/>
                    </a:prstGeom>
                  </pic:spPr>
                </pic:pic>
              </a:graphicData>
            </a:graphic>
          </wp:inline>
        </w:drawing>
      </w:r>
    </w:p>
    <w:p w:rsidR="00CE5E6F" w:rsidRDefault="00CE5E6F" w:rsidP="00CE5E6F">
      <w:pPr>
        <w:pStyle w:val="Beschriftung"/>
      </w:pPr>
      <w:bookmarkStart w:id="27" w:name="_Toc327393034"/>
      <w:r w:rsidRPr="004C3839">
        <w:rPr>
          <w:b/>
        </w:rPr>
        <w:t xml:space="preserve">Abb. </w:t>
      </w:r>
      <w:r>
        <w:rPr>
          <w:b/>
        </w:rPr>
        <w:t>2</w:t>
      </w:r>
      <w:r>
        <w:tab/>
        <w:t xml:space="preserve">Karte von </w:t>
      </w:r>
      <w:r w:rsidR="0098369E">
        <w:t>Deutsch-Südwestafrika im Jahr 1910</w:t>
      </w:r>
      <w:bookmarkEnd w:id="27"/>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6534E7">
      <w:pPr>
        <w:pStyle w:val="Titel2"/>
      </w:pPr>
      <w:bookmarkStart w:id="28" w:name="_Toc130260653"/>
      <w:bookmarkStart w:id="29" w:name="_Toc327387953"/>
      <w:r w:rsidRPr="006534E7">
        <w:lastRenderedPageBreak/>
        <w:t>Leben</w:t>
      </w:r>
      <w:r>
        <w:t xml:space="preserve"> auf dem „pad“</w:t>
      </w:r>
      <w:bookmarkEnd w:id="28"/>
      <w:bookmarkEnd w:id="29"/>
    </w:p>
    <w:p w:rsidR="00CF6655" w:rsidRDefault="00CF6655" w:rsidP="006534E7">
      <w:pPr>
        <w:pStyle w:val="Titel3"/>
      </w:pPr>
      <w:bookmarkStart w:id="30" w:name="_Toc122313615"/>
      <w:bookmarkStart w:id="31" w:name="_Toc122313703"/>
      <w:bookmarkStart w:id="32" w:name="_Toc130260654"/>
      <w:bookmarkStart w:id="33" w:name="_Toc327387954"/>
      <w:r>
        <w:t>Schöne und lästige Seiten des Reisens in Afrika</w:t>
      </w:r>
      <w:bookmarkEnd w:id="30"/>
      <w:bookmarkEnd w:id="31"/>
      <w:bookmarkEnd w:id="32"/>
      <w:bookmarkEnd w:id="33"/>
    </w:p>
    <w:p w:rsidR="00CF6655" w:rsidRDefault="00CF6655" w:rsidP="006534E7">
      <w:pPr>
        <w:pStyle w:val="Text"/>
        <w:ind w:firstLine="0"/>
      </w:pPr>
      <w:r>
        <w:t>Seine Reise führt Spiecker durch zwei Kolonien in Afrika; allein Deutsch-Südwestafrika, das er von der äußersten Nordspitze bis weit in den Süden hinu</w:t>
      </w:r>
      <w:r>
        <w:t>n</w:t>
      </w:r>
      <w:r>
        <w:t>ter kennen lernt, hat die mehrfache Größe Deutschlands. Der Charakter einer Inspektionsreise macht sie zu einer besonders anstrengenden Form des Reisens: Für den Besuch einer Station sind im Durchschnitt nur wenige Tage vorgesehen; nur an den Konferenzorten bleibt Spiecker für längere Zeit. Die schlechte Infr</w:t>
      </w:r>
      <w:r>
        <w:t>a</w:t>
      </w:r>
      <w:r>
        <w:t xml:space="preserve">struktur und die großen Entfernungen tragen zusätzlich zur Verlängerung der Reisezeiten bei, so dass ein nicht unwesentlicher Teil der gesamten Reisezeit „auf dem pad“ (829), </w:t>
      </w:r>
      <w:r w:rsidR="00211EDA">
        <w:t xml:space="preserve">also </w:t>
      </w:r>
      <w:r>
        <w:t>auf dem Weg von einer Station zur nächsten, verbracht werden muss.</w:t>
      </w:r>
      <w:r w:rsidR="00211EDA">
        <w:rPr>
          <w:rStyle w:val="Funotenzeichen"/>
        </w:rPr>
        <w:footnoteReference w:id="14"/>
      </w:r>
      <w:r>
        <w:t xml:space="preserve"> Durch die unbequemen Verkehrsmittel (s. Abschnitt </w:t>
      </w:r>
      <w:r w:rsidR="00363C1C">
        <w:fldChar w:fldCharType="begin"/>
      </w:r>
      <w:r w:rsidR="00FB29E2">
        <w:instrText xml:space="preserve"> REF _Ref325354209 \r \h </w:instrText>
      </w:r>
      <w:r w:rsidR="00363C1C">
        <w:fldChar w:fldCharType="separate"/>
      </w:r>
      <w:r w:rsidR="00216538">
        <w:t>1.2.3</w:t>
      </w:r>
      <w:r w:rsidR="00363C1C">
        <w:fldChar w:fldCharType="end"/>
      </w:r>
      <w:r>
        <w:t xml:space="preserve"> und </w:t>
      </w:r>
      <w:r w:rsidR="00363C1C">
        <w:fldChar w:fldCharType="begin"/>
      </w:r>
      <w:r w:rsidR="00FB29E2">
        <w:instrText xml:space="preserve"> REF _Ref325354219 \r \h </w:instrText>
      </w:r>
      <w:r w:rsidR="00363C1C">
        <w:fldChar w:fldCharType="separate"/>
      </w:r>
      <w:r w:rsidR="00216538">
        <w:t>1.2.4</w:t>
      </w:r>
      <w:r w:rsidR="00363C1C">
        <w:fldChar w:fldCharType="end"/>
      </w:r>
      <w:r>
        <w:t>) und das belastende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wird diese Form des Reisens zu einer noch gr</w:t>
      </w:r>
      <w:r>
        <w:t>ö</w:t>
      </w:r>
      <w:r>
        <w:t>ßeren Anstrengung. Dazu kommen die zahlreichen wichtigen Entscheidungen, die von Spiecker zu treffen sind; die häufigen Hiobsbotschaften einer sich immer weiter verschlechternden Situation für die Eingeborenen und, in geringerem M</w:t>
      </w:r>
      <w:r>
        <w:t>a</w:t>
      </w:r>
      <w:r>
        <w:t>ße, für die Mission; Konflikte zwischen den Brüdern, während der Inspizierende sich auf unterschiedliche Persönlichkeiten immer neu einstellen muss; die stä</w:t>
      </w:r>
      <w:r>
        <w:t>n</w:t>
      </w:r>
      <w:r>
        <w:t>digen Abschiede (viele davon für immer). Zusammen ergeben diese Bedingungen eine Belastung für Körper und Seele, die sich mit heutigen Reisen, egal welcher Art und in welcher Weltgegend, kaum vergleichen lassen.</w:t>
      </w:r>
    </w:p>
    <w:p w:rsidR="00CF6655" w:rsidRDefault="00CF6655" w:rsidP="00CF6655">
      <w:pPr>
        <w:pStyle w:val="Text"/>
      </w:pPr>
      <w:r>
        <w:t>Zu den unvermeidlichen Übeln gehört das Ungeziefer: „In der Nacht hatte ich wenig geschlafen. […] Auch haben mich die kleinen afrikanischen Lebew</w:t>
      </w:r>
      <w:r>
        <w:t>e</w:t>
      </w:r>
      <w:r>
        <w:t>sen, die man auch in Europa kennt, zu sehr unterhalten. Auch bei größter Rei</w:t>
      </w:r>
      <w:r>
        <w:t>n</w:t>
      </w:r>
      <w:r>
        <w:t>lichkeit ist es hier in den alten Häusern fast unmöglich sich derselben zu erwe</w:t>
      </w:r>
      <w:r>
        <w:t>h</w:t>
      </w:r>
      <w:r>
        <w:t>ren.“ (842f)</w:t>
      </w:r>
    </w:p>
    <w:p w:rsidR="00CF6655" w:rsidRDefault="00CF6655" w:rsidP="00CF6655">
      <w:pPr>
        <w:pStyle w:val="Text"/>
      </w:pPr>
      <w:r>
        <w:t>Ein wirkliches Ärgernis ist für Spiecker auch die beständige Unpünktlic</w:t>
      </w:r>
      <w:r>
        <w:t>h</w:t>
      </w:r>
      <w:r>
        <w:t>keit, an die er sich in Afrika gewöhnen muss: „Um 5 Uhr hatte ich Sitzung mit den Ältesten. Es wurde aber leider bald 1/2 6 Uhr.“ (799) Auch an vielen and</w:t>
      </w:r>
      <w:r>
        <w:t>e</w:t>
      </w:r>
      <w:r>
        <w:t>ren Stellen (z. B. 665f) dürfen neben den vorgesehenen die tatsächlichen A</w:t>
      </w:r>
      <w:r>
        <w:t>n</w:t>
      </w:r>
      <w:r>
        <w:t>fangszeiten nie fehlen (in der Regel unterscheiden sie sich um eine halbe Stu</w:t>
      </w:r>
      <w:r>
        <w:t>n</w:t>
      </w:r>
      <w:r>
        <w:t>de), was allerdings weniger auf Pedanterie als auf den enormen Zeitdruck z</w:t>
      </w:r>
      <w:r>
        <w:t>u</w:t>
      </w:r>
      <w:r>
        <w:t>rückzuführen sein dürfte, unter dem er sich aufgrund seiner Absicht, alle Miss</w:t>
      </w:r>
      <w:r>
        <w:t>i</w:t>
      </w:r>
      <w:r>
        <w:t>onsstationen zu inspizieren, fühlt. Generell ist ihm die häufige Verzögerung von Reisevorhaben aber ein Greuel wie beispielsweise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wo die Ochsen nicht aufzutreiben sind: „In Afrika muß man immer mit viel Geduld ausgerüstet sein und bei allen menschlichen Plänen mit tegenspoed (Durchkreuzung derse</w:t>
      </w:r>
      <w:r>
        <w:t>l</w:t>
      </w:r>
      <w:r>
        <w:lastRenderedPageBreak/>
        <w:t>ben) rechnen.“ (865) Nur mit den Verspätungen der Züge, die oft viele Stunden betragen, geht er vergleichsweise fatalistisch um.</w:t>
      </w:r>
    </w:p>
    <w:p w:rsidR="00CF6655" w:rsidRDefault="00CF6655" w:rsidP="00CF6655">
      <w:pPr>
        <w:pStyle w:val="Text"/>
      </w:pPr>
      <w:r>
        <w:t>Doch das Reisen hat auch seine schönen Seiten:</w:t>
      </w:r>
    </w:p>
    <w:p w:rsidR="00CF6655" w:rsidRDefault="00CF6655" w:rsidP="00CF6655">
      <w:pPr>
        <w:pStyle w:val="Zitat"/>
      </w:pPr>
      <w:r>
        <w:t>Unser Zusammenleben ist sehr gemütlich. Mancherlei wird natürlich bespr</w:t>
      </w:r>
      <w:r>
        <w:t>o</w:t>
      </w:r>
      <w:r>
        <w:t>chen. Br.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hat einen Klapptisch mitgenommen. Es ist ein Bild zum m</w:t>
      </w:r>
      <w:r>
        <w:t>a</w:t>
      </w:r>
      <w:r>
        <w:t>len, wenn wir 4 auf Klappstühlen, Tonnen oder Steinen um den Tisch sitzen und Kaffee trinken. (824)</w:t>
      </w:r>
    </w:p>
    <w:p w:rsidR="007F322A" w:rsidRDefault="00CF6655" w:rsidP="009A0D14">
      <w:pPr>
        <w:pStyle w:val="Text"/>
        <w:spacing w:after="240"/>
        <w:ind w:firstLine="0"/>
      </w:pPr>
      <w:r>
        <w:t>Die Sprachen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spricht Spiecker nicht, dafür aber Hollä</w:t>
      </w:r>
      <w:r>
        <w:t>n</w:t>
      </w:r>
      <w:r>
        <w:t xml:space="preserve">disch, in dem er sogar gelegentlich predigt (863). Holländisch bzw. die davon abgeleitete Boerensprache, das </w:t>
      </w:r>
      <w:r w:rsidR="00215D30">
        <w:t>sogenannte K</w:t>
      </w:r>
      <w:r>
        <w:t>apholländisch</w:t>
      </w:r>
      <w:r w:rsidR="00363C1C">
        <w:fldChar w:fldCharType="begin"/>
      </w:r>
      <w:r w:rsidR="00D80359">
        <w:instrText xml:space="preserve"> XE "</w:instrText>
      </w:r>
      <w:r w:rsidR="00D80359" w:rsidRPr="00595B69">
        <w:instrText>Kapholländisch (Sprache)</w:instrText>
      </w:r>
      <w:r w:rsidR="00D80359">
        <w:instrText xml:space="preserve">" </w:instrText>
      </w:r>
      <w:r w:rsidR="00363C1C">
        <w:fldChar w:fldCharType="end"/>
      </w:r>
      <w:r w:rsidR="00215D30">
        <w:t>,</w:t>
      </w:r>
      <w:bookmarkStart w:id="34" w:name="_Ref327287751"/>
      <w:r w:rsidR="00215D30">
        <w:rPr>
          <w:rStyle w:val="Funotenzeichen"/>
        </w:rPr>
        <w:footnoteReference w:id="15"/>
      </w:r>
      <w:bookmarkEnd w:id="34"/>
      <w:r>
        <w:t xml:space="preserve"> ist in der Regel die Sprache der sog. ‚Bastard‘gemeinden. Er erwähnt, dass er im Vergleich zur ersten Reise jetzt viel besser mit dem Holländischen und dem Englischen zurech</w:t>
      </w:r>
      <w:r>
        <w:t>t</w:t>
      </w:r>
      <w:r>
        <w:t>kommt. Da Spiecker seine Predigten – abgesehen von möglicherweise schriftl</w:t>
      </w:r>
      <w:r>
        <w:t>i</w:t>
      </w:r>
      <w:r>
        <w:t>chen Skizzen – natürlich frei hält, verweist die Erwähnung der holländischen Predigten darauf, dass er sich in dieser Sprache ebenso wie im Englischen, worin er in der Kapkolonie häufig Verhandlungen führt, souverän bewegen konnte.</w:t>
      </w:r>
      <w:r>
        <w:rPr>
          <w:rStyle w:val="Funotenzeichen"/>
        </w:rPr>
        <w:footnoteReference w:id="16"/>
      </w:r>
    </w:p>
    <w:p w:rsidR="00CF6655" w:rsidRDefault="00CF6655" w:rsidP="006534E7">
      <w:pPr>
        <w:pStyle w:val="Titel3"/>
      </w:pPr>
      <w:bookmarkStart w:id="35" w:name="_Toc130260655"/>
      <w:bookmarkStart w:id="36" w:name="_Toc327387955"/>
      <w:r>
        <w:t>Gesundheitsgefahren</w:t>
      </w:r>
      <w:bookmarkEnd w:id="35"/>
      <w:bookmarkEnd w:id="36"/>
    </w:p>
    <w:p w:rsidR="00CF6655" w:rsidRDefault="00CF6655" w:rsidP="007308C9">
      <w:pPr>
        <w:pStyle w:val="Titel4"/>
      </w:pPr>
      <w:bookmarkStart w:id="37" w:name="_Toc130260656"/>
      <w:bookmarkStart w:id="38" w:name="_Ref325355255"/>
      <w:bookmarkStart w:id="39" w:name="_Ref325355394"/>
      <w:bookmarkStart w:id="40" w:name="_Toc327387956"/>
      <w:r>
        <w:t>Die Krankheit in Okombahe</w:t>
      </w:r>
      <w:bookmarkEnd w:id="37"/>
      <w:bookmarkEnd w:id="38"/>
      <w:bookmarkEnd w:id="39"/>
      <w:bookmarkEnd w:id="40"/>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p>
    <w:p w:rsidR="00CF6655" w:rsidRDefault="00CF6655" w:rsidP="006534E7">
      <w:pPr>
        <w:pStyle w:val="Text"/>
        <w:ind w:firstLine="0"/>
      </w:pPr>
      <w:r>
        <w:t>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wird Spiecker von einer schweren Krankheit betroffen, die ihn am 10. Februar zur Unterbrechung seiner Aufzeichnungen zwingt. Erst am 22. Fe</w:t>
      </w:r>
      <w:r>
        <w:t>b</w:t>
      </w:r>
      <w:r>
        <w:t>ruar kann er weiterschreiben: „Eine schwere tropische Dysenterie, die mich dem Tode nahe brachte, liegt hinter mir“ (629), notiert er und gibt in der Folge den Krankheitsverlauf wieder. Dabei fällt die mangelnde Rücksicht auf sein körperl</w:t>
      </w:r>
      <w:r>
        <w:t>i</w:t>
      </w:r>
      <w:r>
        <w:t>ches Befinden auf, die nach eigener Einschätzung zu dem schweren Krankheit</w:t>
      </w:r>
      <w:r>
        <w:t>s</w:t>
      </w:r>
      <w:r>
        <w:lastRenderedPageBreak/>
        <w:t>verlauf – und generell zu seinen Gesundheitsproblemen auf der Reise – beigetr</w:t>
      </w:r>
      <w:r>
        <w:t>a</w:t>
      </w:r>
      <w:r>
        <w:t>gen hat. So predigt er auf Drängen von Br. Baumann</w:t>
      </w:r>
      <w:r w:rsidR="00363C1C">
        <w:fldChar w:fldCharType="begin"/>
      </w:r>
      <w:r w:rsidR="00FD439D">
        <w:instrText xml:space="preserve"> XE "</w:instrText>
      </w:r>
      <w:r w:rsidR="00FD439D" w:rsidRPr="004572FE">
        <w:instrText>Baumann, Br.</w:instrText>
      </w:r>
      <w:r w:rsidR="00FD439D">
        <w:instrText xml:space="preserve">" </w:instrText>
      </w:r>
      <w:r w:rsidR="00363C1C">
        <w:fldChar w:fldCharType="end"/>
      </w:r>
      <w:r>
        <w:t xml:space="preserve"> noch nach dem Ausbruch der Krankheit mit schwerem Durchfall am 11. Februar: „Mit großer Mühe raffte ich mich auf und habe dann in der sehr überfüllten Kirche über das herrliche Sonntagsevangelium von Maria und Martha in Bethanien</w:t>
      </w:r>
      <w:r w:rsidR="00363C1C">
        <w:fldChar w:fldCharType="begin"/>
      </w:r>
      <w:r w:rsidR="001F21DF">
        <w:instrText xml:space="preserve"> XE "</w:instrText>
      </w:r>
      <w:r w:rsidR="001F21DF" w:rsidRPr="001F21DF">
        <w:instrText>Bethanien</w:instrText>
      </w:r>
      <w:r w:rsidR="001F21DF">
        <w:instrText xml:space="preserve">" </w:instrText>
      </w:r>
      <w:r w:rsidR="00363C1C">
        <w:fldChar w:fldCharType="end"/>
      </w:r>
      <w:r>
        <w:t xml:space="preserve"> geredet, meist auf e</w:t>
      </w:r>
      <w:r>
        <w:t>i</w:t>
      </w:r>
      <w:r>
        <w:t>nem Stuhl vor dem Altar sitzend. Es störte nicht, daß ich mitten dazwischen ein Lied singen ließ und die Zeit benutzte zum Abort zu gehen.“ (633f) Danach ve</w:t>
      </w:r>
      <w:r>
        <w:t>r</w:t>
      </w:r>
      <w:r>
        <w:t>schlimmert sich die Krankheit rapide:</w:t>
      </w:r>
    </w:p>
    <w:p w:rsidR="00CF6655" w:rsidRDefault="00CF6655" w:rsidP="00CF6655">
      <w:pPr>
        <w:pStyle w:val="Zitat"/>
      </w:pPr>
      <w:r>
        <w:t>Die Nacht war schrecklich; es ging vom Stuhl ins Bett und umgekehrt, wie von jetzt an viele Nächte hindurch. […] Meist warf ich mich nur so im Schlafrock aufs Bett und schlief sofort ein vor Mattigkeit, hatte dabei tolle und entsetzl</w:t>
      </w:r>
      <w:r>
        <w:t>i</w:t>
      </w:r>
      <w:r>
        <w:t>che Träume ohne Sinn und Verstand. Lange währte solcher Schlaf selten. Schon die Not trieb mich wieder auf den Nachtstuhl. Daß die Gefahr bestand, daß ich in einem solchen Schlaf einfach blieb, wie auch Riechmann</w:t>
      </w:r>
      <w:r w:rsidR="00363C1C">
        <w:fldChar w:fldCharType="begin"/>
      </w:r>
      <w:r w:rsidR="00FD12E8">
        <w:instrText xml:space="preserve"> XE "</w:instrText>
      </w:r>
      <w:r w:rsidR="00FD12E8" w:rsidRPr="00CE3707">
        <w:instrText>Riechmann, Br.</w:instrText>
      </w:r>
      <w:r w:rsidR="00FD12E8">
        <w:instrText xml:space="preserve">" </w:instrText>
      </w:r>
      <w:r w:rsidR="00363C1C">
        <w:fldChar w:fldCharType="end"/>
      </w:r>
      <w:r>
        <w:t xml:space="preserve">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und viele andere, ahnte ich nicht. (625f)</w:t>
      </w:r>
    </w:p>
    <w:p w:rsidR="00CF6655" w:rsidRDefault="00CF6655" w:rsidP="006534E7">
      <w:pPr>
        <w:pStyle w:val="Text"/>
        <w:ind w:firstLine="0"/>
      </w:pPr>
      <w:r>
        <w:t>Das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könnte ein Grund für seine Erkrankung gewesen sein: „Okombahe ist wohl der heißeste Platz, den ich bisher noch habe kennen g</w:t>
      </w:r>
      <w:r>
        <w:t>e</w:t>
      </w:r>
      <w:r>
        <w:t>lernt. Dazu kommen die Ausdünstungen aus dem nahen Flußbett, die sehr schädlich sind.“ (651) Vermutlich deshalb sind drei Missionare in jungem Alter dort gestorben, einer davon war noch Spieckers Schüler gewesen; Spiecker b</w:t>
      </w:r>
      <w:r>
        <w:t>e</w:t>
      </w:r>
      <w:r>
        <w:t>sucht ihre Gräber nach seiner Genesung (653).</w:t>
      </w:r>
      <w:r>
        <w:rPr>
          <w:rStyle w:val="Funotenzeichen"/>
        </w:rPr>
        <w:footnoteReference w:id="17"/>
      </w:r>
    </w:p>
    <w:p w:rsidR="00CF6655" w:rsidRDefault="00CF6655" w:rsidP="00CF6655">
      <w:pPr>
        <w:pStyle w:val="Text"/>
      </w:pPr>
      <w:r>
        <w:t>Erstaunlich ist, dass während der ganzen Zeit kein Arzt gerufen wird.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gibt es keinen und den Stabsarzt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lässt Br. Baumann</w:t>
      </w:r>
      <w:r w:rsidR="00363C1C">
        <w:fldChar w:fldCharType="begin"/>
      </w:r>
      <w:r w:rsidR="00FD439D">
        <w:instrText xml:space="preserve"> XE "</w:instrText>
      </w:r>
      <w:r w:rsidR="00FD439D" w:rsidRPr="004572FE">
        <w:instrText>Baumann, Br.</w:instrText>
      </w:r>
      <w:r w:rsidR="00FD439D">
        <w:instrText xml:space="preserve">" </w:instrText>
      </w:r>
      <w:r w:rsidR="00363C1C">
        <w:fldChar w:fldCharType="end"/>
      </w:r>
      <w:r>
        <w:t xml:space="preserve"> nicht rufen, weil es zu lange dauern würde. (638) Später lehnt Feldwebel Kurz</w:t>
      </w:r>
      <w:r w:rsidR="00363C1C">
        <w:fldChar w:fldCharType="begin"/>
      </w:r>
      <w:r w:rsidR="006E63A6">
        <w:instrText xml:space="preserve"> XE "</w:instrText>
      </w:r>
      <w:r w:rsidR="006E63A6" w:rsidRPr="0094424A">
        <w:instrText>Kurz, Feldwebel</w:instrText>
      </w:r>
      <w:r w:rsidR="006E63A6">
        <w:instrText xml:space="preserve">" </w:instrText>
      </w:r>
      <w:r w:rsidR="00363C1C">
        <w:fldChar w:fldCharType="end"/>
      </w:r>
      <w:r>
        <w:t xml:space="preserve"> die Empfehlung eines Hauptmanns aus Omaruru, dringend den dortigen Arzt zu rufen, wiederum ab mit der Begründung, „der Stabsarzt werde nicht selbst kommen, sondern nur den Sanitätsfeldwebel senden.“ (639) Dies erscheint j</w:t>
      </w:r>
      <w:r>
        <w:t>e</w:t>
      </w:r>
      <w:r>
        <w:t>doch unwahrscheinlich angesichts der Schwere der Krankheit und der Achtung, die Spiecker sonst entgegengebracht wird. Stattdessen übernimmt Feldwebel Kurz die Pflege selbst, den Darmkatarrh behandelt er schließlich mit Doverschem Pulver</w:t>
      </w:r>
      <w:r w:rsidR="00363C1C">
        <w:fldChar w:fldCharType="begin"/>
      </w:r>
      <w:r w:rsidR="006E63A6">
        <w:instrText xml:space="preserve"> XE "</w:instrText>
      </w:r>
      <w:r w:rsidR="006E63A6" w:rsidRPr="005B29EC">
        <w:instrText>Doversche</w:instrText>
      </w:r>
      <w:r w:rsidR="00BF48A5">
        <w:instrText>s</w:instrText>
      </w:r>
      <w:r w:rsidR="006E63A6" w:rsidRPr="005B29EC">
        <w:instrText xml:space="preserve"> Pulver</w:instrText>
      </w:r>
      <w:r w:rsidR="006E63A6">
        <w:instrText xml:space="preserve">" </w:instrText>
      </w:r>
      <w:r w:rsidR="00363C1C">
        <w:fldChar w:fldCharType="end"/>
      </w:r>
      <w:r>
        <w:t xml:space="preserve"> (ein opiumhaltiges Mittel, das gegen Durchfall gegeben wird) (646). Mit Erfolg: Ende Februar ist Spiecker schließlich wieder weitgehend gesund (656).</w:t>
      </w:r>
    </w:p>
    <w:p w:rsidR="00CF6655" w:rsidRDefault="00CF6655" w:rsidP="007308C9">
      <w:pPr>
        <w:pStyle w:val="Titel4"/>
      </w:pPr>
      <w:bookmarkStart w:id="41" w:name="_Toc130260657"/>
      <w:bookmarkStart w:id="42" w:name="_Ref325357008"/>
      <w:bookmarkStart w:id="43" w:name="_Toc327387957"/>
      <w:r w:rsidRPr="006534E7">
        <w:t>Wasserqualität</w:t>
      </w:r>
      <w:r>
        <w:t xml:space="preserve"> und andere Gefahren</w:t>
      </w:r>
      <w:bookmarkEnd w:id="41"/>
      <w:bookmarkEnd w:id="42"/>
      <w:bookmarkEnd w:id="43"/>
    </w:p>
    <w:p w:rsidR="00CF6655" w:rsidRDefault="00CF6655" w:rsidP="009A0D14">
      <w:pPr>
        <w:pStyle w:val="Text"/>
        <w:spacing w:after="240"/>
        <w:ind w:firstLine="0"/>
      </w:pPr>
      <w:r>
        <w:t>Auf der Ovamboreise nimmt Spiecker vorbeugend in regelmäßigen Abständen ein Gramm Chinin</w:t>
      </w:r>
      <w:r w:rsidR="00363C1C">
        <w:fldChar w:fldCharType="begin"/>
      </w:r>
      <w:r w:rsidR="00790193">
        <w:instrText xml:space="preserve"> XE "</w:instrText>
      </w:r>
      <w:r w:rsidR="00790193" w:rsidRPr="003D2D3B">
        <w:instrText>Chinin</w:instrText>
      </w:r>
      <w:r w:rsidR="00790193">
        <w:instrText xml:space="preserve">" </w:instrText>
      </w:r>
      <w:r w:rsidR="00363C1C">
        <w:fldChar w:fldCharType="end"/>
      </w:r>
      <w:r>
        <w:t xml:space="preserve"> zur Malaria</w:t>
      </w:r>
      <w:r w:rsidR="00363C1C">
        <w:fldChar w:fldCharType="begin"/>
      </w:r>
      <w:r w:rsidR="00790193">
        <w:instrText xml:space="preserve"> XE "</w:instrText>
      </w:r>
      <w:r w:rsidR="00790193" w:rsidRPr="00323CE4">
        <w:instrText>Malaria</w:instrText>
      </w:r>
      <w:r w:rsidR="00790193">
        <w:instrText xml:space="preserve">" </w:instrText>
      </w:r>
      <w:r w:rsidR="00363C1C">
        <w:fldChar w:fldCharType="end"/>
      </w:r>
      <w:r>
        <w:t xml:space="preserve">-Vorbeugung (1033, 1063). Ein großes Problem ist auch die Qualität des Wassers: „Diese Schwarzen […] trinken auch das </w:t>
      </w:r>
      <w:r>
        <w:lastRenderedPageBreak/>
        <w:t>schmutzigste Wasser offenbar mit demselben Hochgenuß und Behagen wie schönes klares Quellwasser und bleiben gesund zum Trotz aller Bakteriologen. Die Theorie nur reines oder gekochtes Wasser zu trinken, können auch wir nicht vollhalten.“ (1062) Vermutlich war man sich über die Rolle des Immunsystems, das sich durchaus an bestimmte Krankheitserreger anpassen kann, und die d</w:t>
      </w:r>
      <w:r>
        <w:t>a</w:t>
      </w:r>
      <w:r>
        <w:t>durch bedingte besondere Gefährdung der europäischen Reisenden noch nicht im Klaren.</w:t>
      </w:r>
    </w:p>
    <w:p w:rsidR="009A0D14" w:rsidRDefault="00CC2ABF" w:rsidP="006534E7">
      <w:pPr>
        <w:pStyle w:val="Text"/>
        <w:ind w:firstLine="0"/>
      </w:pPr>
      <w:r>
        <w:rPr>
          <w:noProof/>
        </w:rPr>
        <w:drawing>
          <wp:inline distT="0" distB="0" distL="0" distR="0">
            <wp:extent cx="4320116" cy="2990850"/>
            <wp:effectExtent l="19050" t="0" r="4234" b="0"/>
            <wp:docPr id="5" name="Abb3.jpg" descr="C:\Users\Martin\Docs\Publikationen\Sprache, Glaube und Macht\Johannes Spiecker in Deutsch-Südwestafrika\A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jpg"/>
                    <pic:cNvPicPr/>
                  </pic:nvPicPr>
                  <pic:blipFill>
                    <a:blip r:embed="rId17" cstate="print">
                      <a:lum bright="3000" contrast="3000"/>
                    </a:blip>
                    <a:stretch>
                      <a:fillRect/>
                    </a:stretch>
                  </pic:blipFill>
                  <pic:spPr>
                    <a:xfrm>
                      <a:off x="0" y="0"/>
                      <a:ext cx="4320116" cy="2990850"/>
                    </a:xfrm>
                    <a:prstGeom prst="rect">
                      <a:avLst/>
                    </a:prstGeom>
                  </pic:spPr>
                </pic:pic>
              </a:graphicData>
            </a:graphic>
          </wp:inline>
        </w:drawing>
      </w:r>
    </w:p>
    <w:p w:rsidR="009A0D14" w:rsidRDefault="009A0D14" w:rsidP="009A0D14">
      <w:pPr>
        <w:pStyle w:val="Beschriftung"/>
      </w:pPr>
      <w:bookmarkStart w:id="44" w:name="_Toc327393035"/>
      <w:r w:rsidRPr="004C3839">
        <w:rPr>
          <w:b/>
        </w:rPr>
        <w:t xml:space="preserve">Abb. </w:t>
      </w:r>
      <w:r>
        <w:rPr>
          <w:b/>
        </w:rPr>
        <w:t>3</w:t>
      </w:r>
      <w:r>
        <w:tab/>
        <w:t>Vor der Mauleselskarre</w:t>
      </w:r>
      <w:bookmarkEnd w:id="44"/>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9A0D14">
      <w:pPr>
        <w:pStyle w:val="Text"/>
        <w:ind w:firstLine="0"/>
      </w:pPr>
      <w:r>
        <w:t>Nicht nur Spiecker wird immer wieder krank; es grassieren überhaupt viele I</w:t>
      </w:r>
      <w:r>
        <w:t>n</w:t>
      </w:r>
      <w:r>
        <w:t>fektionen zu dieser Zeit. 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sieht Spiecker einen Zusammenhang mit der Anwesenheit des Militärs, das viele Keime einschleppe (1019). Dort sind neben ihm selbst, der eine fiebrige Erkältung nicht los wird (1023), praktisch alle in Spieckers Umgebung angeschlagen: Brokmanns</w:t>
      </w:r>
      <w:r w:rsidR="00363C1C">
        <w:fldChar w:fldCharType="begin"/>
      </w:r>
      <w:r w:rsidR="00506079">
        <w:instrText xml:space="preserve"> XE "</w:instrText>
      </w:r>
      <w:r w:rsidR="00506079" w:rsidRPr="006662C5">
        <w:instrText>Brokmann, Friedrich</w:instrText>
      </w:r>
      <w:r w:rsidR="00506079">
        <w:instrText xml:space="preserve">" </w:instrText>
      </w:r>
      <w:r w:rsidR="00363C1C">
        <w:fldChar w:fldCharType="end"/>
      </w:r>
      <w:r>
        <w:t xml:space="preserve"> Sohn Friedrich (996), die Toc</w:t>
      </w:r>
      <w:r>
        <w:t>h</w:t>
      </w:r>
      <w:r>
        <w:t>ter von Lamberts</w:t>
      </w:r>
      <w:r w:rsidR="00363C1C">
        <w:fldChar w:fldCharType="begin"/>
      </w:r>
      <w:r w:rsidR="00506079">
        <w:instrText xml:space="preserve"> XE "</w:instrText>
      </w:r>
      <w:r w:rsidR="00506079" w:rsidRPr="00BC31BF">
        <w:instrText>Lambert, Familie</w:instrText>
      </w:r>
      <w:r w:rsidR="00506079">
        <w:instrText xml:space="preserve">" </w:instrText>
      </w:r>
      <w:r w:rsidR="00363C1C">
        <w:fldChar w:fldCharType="end"/>
      </w:r>
      <w:r>
        <w:t>, die im Haus wohnt (1029), Hauptmann von Wangenheim</w:t>
      </w:r>
      <w:r w:rsidR="00363C1C">
        <w:fldChar w:fldCharType="begin"/>
      </w:r>
      <w:r w:rsidR="00506079">
        <w:instrText xml:space="preserve"> XE "</w:instrText>
      </w:r>
      <w:r w:rsidR="00506079" w:rsidRPr="003559BD">
        <w:instrText>Wangenheim, Hauptmann von</w:instrText>
      </w:r>
      <w:r w:rsidR="00506079">
        <w:instrText xml:space="preserve">" </w:instrText>
      </w:r>
      <w:r w:rsidR="00363C1C">
        <w:fldChar w:fldCharType="end"/>
      </w:r>
      <w:r>
        <w:t xml:space="preserve"> (1013), die Frau des Bezirksamtsverwalters (1019), Br. Wulfhorst</w:t>
      </w:r>
      <w:r w:rsidR="00363C1C">
        <w:fldChar w:fldCharType="begin"/>
      </w:r>
      <w:r w:rsidR="00C05598">
        <w:instrText xml:space="preserve"> XE "</w:instrText>
      </w:r>
      <w:r w:rsidR="00C05598" w:rsidRPr="001C031A">
        <w:instrText>Wulfhorst, Geschw.</w:instrText>
      </w:r>
      <w:r w:rsidR="00C05598">
        <w:instrText xml:space="preserve">" </w:instrText>
      </w:r>
      <w:r w:rsidR="00363C1C">
        <w:fldChar w:fldCharType="end"/>
      </w:r>
      <w:r>
        <w:t>, mit dem er ins Amboland reisen will (1028), der einheimische Hirte von Brokmanns (1024) und viele weitere Eingeborene (1026). Sogar die Tiere sind krank: Wegen Rinderpest müssen sie die Reise nach Franzfontein</w:t>
      </w:r>
      <w:r w:rsidR="00363C1C">
        <w:fldChar w:fldCharType="begin"/>
      </w:r>
      <w:r w:rsidR="00420E8F">
        <w:instrText xml:space="preserve"> XE "</w:instrText>
      </w:r>
      <w:r w:rsidR="00420E8F" w:rsidRPr="00A12F1B">
        <w:instrText>Franzfontein</w:instrText>
      </w:r>
      <w:r w:rsidR="00420E8F">
        <w:instrText xml:space="preserve">" </w:instrText>
      </w:r>
      <w:r w:rsidR="00363C1C">
        <w:fldChar w:fldCharType="end"/>
      </w:r>
      <w:r>
        <w:t xml:space="preserve"> absagen (1008).</w:t>
      </w:r>
    </w:p>
    <w:p w:rsidR="00CF6655" w:rsidRDefault="00CF6655" w:rsidP="00CF6655">
      <w:pPr>
        <w:pStyle w:val="Text"/>
      </w:pPr>
      <w:r>
        <w:t>Eigentlich gesteht man nur den Kindern zu, ihre Krankheiten richtig ausz</w:t>
      </w:r>
      <w:r>
        <w:t>u</w:t>
      </w:r>
      <w:r>
        <w:t xml:space="preserve">kurieren. Der Hirte, der am Abend 40 Grad Fieber hatte, zieht trotzdem mit der </w:t>
      </w:r>
      <w:r>
        <w:lastRenderedPageBreak/>
        <w:t>Herde aus, was Spiecker bewundernd erwähnt (1024).</w:t>
      </w:r>
      <w:r>
        <w:rPr>
          <w:rStyle w:val="Funotenzeichen"/>
        </w:rPr>
        <w:footnoteReference w:id="18"/>
      </w:r>
      <w:r>
        <w:t xml:space="preserve"> Br. Wulfhorst</w:t>
      </w:r>
      <w:r w:rsidR="00363C1C">
        <w:fldChar w:fldCharType="begin"/>
      </w:r>
      <w:r w:rsidR="00C05598">
        <w:instrText xml:space="preserve"> XE "</w:instrText>
      </w:r>
      <w:r w:rsidR="00C05598" w:rsidRPr="001C031A">
        <w:instrText>Wulfhorst, Geschw.</w:instrText>
      </w:r>
      <w:r w:rsidR="00C05598">
        <w:instrText xml:space="preserve">" </w:instrText>
      </w:r>
      <w:r w:rsidR="00363C1C">
        <w:fldChar w:fldCharType="end"/>
      </w:r>
      <w:r>
        <w:t>, der Gel</w:t>
      </w:r>
      <w:r>
        <w:t>b</w:t>
      </w:r>
      <w:r>
        <w:t>sucht hat und sehr elend aussieht, will die Reise ins Amboland antreten. Und Spiecker ringt mit sich, da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der Mission, auf deren ursprünglichen Beschluss hin die Reise geplant wurde, in ihrem letzten Schreiben „entschieden von der Ovamboreise abgeraten“ hat (1021). Er befürchtet selber, dass seine G</w:t>
      </w:r>
      <w:r>
        <w:t>e</w:t>
      </w:r>
      <w:r>
        <w:t>sundheit unter der Reise leiden könnte. „Davon hat ja doch Niemand etwas. Der Tod des Insp. Sauberzweig Schmidt</w:t>
      </w:r>
      <w:r w:rsidR="00363C1C">
        <w:fldChar w:fldCharType="begin"/>
      </w:r>
      <w:r w:rsidR="00154C13">
        <w:instrText xml:space="preserve"> XE "</w:instrText>
      </w:r>
      <w:r w:rsidR="00154C13" w:rsidRPr="00B17CE2">
        <w:instrText>Sauberzweig Schmidt, Gabriel (Missionsinspektor der Berliner Mission)</w:instrText>
      </w:r>
      <w:r w:rsidR="00154C13">
        <w:instrText xml:space="preserve">" </w:instrText>
      </w:r>
      <w:r w:rsidR="00363C1C">
        <w:fldChar w:fldCharType="end"/>
      </w:r>
      <w:r>
        <w:t>, den ich gut kannte, kann mir da auch eine Warnung sein. Andererseits ist es auch unangenehm bei so wichtigen Dingen die Rücksicht auf die eigene Person und Gesundheit den Ausschlag geben zu la</w:t>
      </w:r>
      <w:r>
        <w:t>s</w:t>
      </w:r>
      <w:r>
        <w:t>sen.“ (1022) Also reist er schließlich doch.</w:t>
      </w:r>
    </w:p>
    <w:p w:rsidR="00CF6655" w:rsidRDefault="00CF6655" w:rsidP="00CF6655">
      <w:pPr>
        <w:pStyle w:val="Text"/>
      </w:pPr>
      <w:r>
        <w:t>Ungewohnt starke Temperaturschwankungen setzen dem Afrikareisenden zu: „Wir leben jetzt hier im Herbst resp. Winter. Die Tage sind sehr heiß und die Nächte sehr kalt.“ (22. Mai 1906; 950) Wie kalt es in dieser Zeit in den Nächten werden kann, stellt er am 10. Juni in der Nähe von Naidans</w:t>
      </w:r>
      <w:r w:rsidR="00363C1C">
        <w:fldChar w:fldCharType="begin"/>
      </w:r>
      <w:r w:rsidR="00154C13">
        <w:instrText xml:space="preserve"> XE "</w:instrText>
      </w:r>
      <w:r w:rsidR="00154C13" w:rsidRPr="0017677C">
        <w:instrText>Naidans</w:instrText>
      </w:r>
      <w:r w:rsidR="00154C13">
        <w:instrText xml:space="preserve">" </w:instrText>
      </w:r>
      <w:r w:rsidR="00363C1C">
        <w:fldChar w:fldCharType="end"/>
      </w:r>
      <w:r>
        <w:t xml:space="preserve"> fest: „Heute Morgen war das Wasser in den Wassersäcken ganz zu Eis gefroren.“ (989) Das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ist belastend für die Gesundheit: „Es ist heute auch sehr heiß, während es in dieser Nacht Eis gefroren hat. Dieser Wechsel der Temperatur ist so gefährlich. Ich h</w:t>
      </w:r>
      <w:r>
        <w:t>a</w:t>
      </w:r>
      <w:r>
        <w:t>be aber meine Erkältung so ziemlich wieder überwunden.“ (1250) Doch eigen</w:t>
      </w:r>
      <w:r>
        <w:t>t</w:t>
      </w:r>
      <w:r>
        <w:t>lich kämpft er während der ganzen Reise mit Erkältung und Infekten.</w:t>
      </w:r>
    </w:p>
    <w:p w:rsidR="00CF6655" w:rsidRDefault="00CF6655" w:rsidP="00CF6655">
      <w:pPr>
        <w:pStyle w:val="Text"/>
      </w:pPr>
      <w:r>
        <w:t>Als Gefahr für seine Gesundheit erweist sich auch der Zeitdruck, unter den sich Spiecker wider besseres Wissen setzen lässt, weil die Missionare, aber auch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in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eine Inspektion aller Stationen wünschen:</w:t>
      </w:r>
    </w:p>
    <w:p w:rsidR="00CF6655" w:rsidRDefault="00CF6655" w:rsidP="00CF6655">
      <w:pPr>
        <w:pStyle w:val="Zitat"/>
      </w:pPr>
      <w:r>
        <w:t>Hätte man vor meiner Abreise meine Aufgabe hier übersehen und gleichzeitig wissen können, daß es möglich war im Ganzen ungehindert und ungefährdet Südwestafrika zu bereisen, dann hätte ich freilich vorgeschlagen die ganze Reise zu teilen und in einem Abstand von 3-5 Jahren 2x das Land zu bereisen […]. Es ist zu anstrengend in einem Zug diese ganze große Reise […] zu machen. (949)</w:t>
      </w:r>
    </w:p>
    <w:p w:rsidR="00CF6655" w:rsidRDefault="00CF6655" w:rsidP="006534E7">
      <w:pPr>
        <w:pStyle w:val="Text"/>
        <w:ind w:firstLine="0"/>
      </w:pPr>
      <w:r>
        <w:t>Wilde Tiere kommen Spiecker auf dieser Afrikareise nie zu nahe, wohl aber wildgewordene Jäger:</w:t>
      </w:r>
    </w:p>
    <w:p w:rsidR="00CF6655" w:rsidRDefault="00CF6655" w:rsidP="00CF6655">
      <w:pPr>
        <w:pStyle w:val="Zitat"/>
      </w:pPr>
      <w:r>
        <w:t>Auf dem Rückweg hörten wir ganz in der Nähe einen Schuß – es war schon dunkel und wir gingen mitten durch die Dornbüsche auf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zu. Br.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sagte: </w:t>
      </w:r>
      <w:r w:rsidR="00401249">
        <w:t>„</w:t>
      </w:r>
      <w:r>
        <w:t>Hoffentlich schießt man nicht auf uns, ich habe die Kugel pfeifen gehört.</w:t>
      </w:r>
      <w:r w:rsidR="00401249">
        <w:t>“</w:t>
      </w:r>
      <w:r>
        <w:t xml:space="preserve"> Er meinte, es könnte ein Weißer auf Jagd sein und uns für Wild halten. Wir hatten beide weiße Jacken an. Wir pfiffen deshalb einige Male so laut als möglich und gingen dann nach Hause, ohne noch einen Schuß zu hören. Der Gedanke eine blaue Bohne in die Glieder zu bekommen, war nicht sehr anziehend. (1011)</w:t>
      </w:r>
    </w:p>
    <w:p w:rsidR="00CF6655" w:rsidRDefault="00CF6655" w:rsidP="006534E7">
      <w:pPr>
        <w:pStyle w:val="Titel3"/>
      </w:pPr>
      <w:bookmarkStart w:id="45" w:name="_Toc122313617"/>
      <w:bookmarkStart w:id="46" w:name="_Toc122313705"/>
      <w:bookmarkStart w:id="47" w:name="_Toc130260658"/>
      <w:bookmarkStart w:id="48" w:name="_Ref325354209"/>
      <w:bookmarkStart w:id="49" w:name="_Toc327387958"/>
      <w:r w:rsidRPr="006534E7">
        <w:lastRenderedPageBreak/>
        <w:t>Reisen</w:t>
      </w:r>
      <w:r>
        <w:t xml:space="preserve"> mit der Bahn</w:t>
      </w:r>
      <w:bookmarkEnd w:id="45"/>
      <w:bookmarkEnd w:id="46"/>
      <w:bookmarkEnd w:id="47"/>
      <w:bookmarkEnd w:id="48"/>
      <w:bookmarkEnd w:id="49"/>
    </w:p>
    <w:p w:rsidR="00CF6655" w:rsidRDefault="00CF6655" w:rsidP="006534E7">
      <w:pPr>
        <w:pStyle w:val="Text"/>
        <w:ind w:firstLine="0"/>
      </w:pPr>
      <w:r>
        <w:t>Die Bahnreisen unterscheiden sich eigentlich nur in der Länge der Verspätungen: Es können Stunden sein, aber auch Tage. Daher reicht es, Ausschnitte der Reise ins Amboland wiederzugeben, bei der Johannes Spiecker im Mai 1906 von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rsidR="00F44641">
        <w:rPr>
          <w:rStyle w:val="Funotenzeichen"/>
        </w:rPr>
        <w:footnoteReference w:id="19"/>
      </w:r>
      <w:r>
        <w:t xml:space="preserve"> bis nach Okaputa</w:t>
      </w:r>
      <w:r w:rsidR="00363C1C">
        <w:fldChar w:fldCharType="begin"/>
      </w:r>
      <w:r w:rsidR="00FD439D">
        <w:instrText xml:space="preserve"> XE "</w:instrText>
      </w:r>
      <w:r w:rsidR="00FD439D" w:rsidRPr="00F00073">
        <w:instrText>Okaputa</w:instrText>
      </w:r>
      <w:r w:rsidR="00FD439D">
        <w:instrText xml:space="preserve">" </w:instrText>
      </w:r>
      <w:r w:rsidR="00363C1C">
        <w:fldChar w:fldCharType="end"/>
      </w:r>
      <w:r>
        <w:t xml:space="preserve"> die Bahn benutzen konnte. Dort ist Schluss, denn die Bahn ist noch nicht zu Ende gebaut, und Spiecker bringt einen Stoßseufzer zu Papier: „Ich war von Herzen dankbar, daß diese schreckliche Bahnfahrerei beendigt war.“ (947) Er begrüßt erfreut „meinen Ochsenwagen“, an den er sich inzwischen gewöhnt hat. (Wir werden später noch sehen, wie es sich mit dem Ochsenwagen reiste.)</w:t>
      </w:r>
    </w:p>
    <w:p w:rsidR="00CF6655" w:rsidRDefault="00CF6655" w:rsidP="00CF6655">
      <w:pPr>
        <w:pStyle w:val="Text"/>
      </w:pPr>
      <w:r>
        <w:t>Schon von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nach Usakos</w:t>
      </w:r>
      <w:r w:rsidR="00363C1C">
        <w:fldChar w:fldCharType="begin"/>
      </w:r>
      <w:r w:rsidR="00FD439D">
        <w:instrText xml:space="preserve"> XE "</w:instrText>
      </w:r>
      <w:r w:rsidR="00FD439D" w:rsidRPr="00A0642A">
        <w:instrText>Usakos</w:instrText>
      </w:r>
      <w:r w:rsidR="00FD439D">
        <w:instrText xml:space="preserve">" </w:instrText>
      </w:r>
      <w:r w:rsidR="00363C1C">
        <w:fldChar w:fldCharType="end"/>
      </w:r>
      <w:r>
        <w:t xml:space="preserve"> mussten sie mit einem offenen Güterwagen vorlieb nehmen. Da sie erst um zehn Uhr abends ankommen, frieren sie entspr</w:t>
      </w:r>
      <w:r>
        <w:t>e</w:t>
      </w:r>
      <w:r>
        <w:t>chend (938). Wie so eine Fahrt verläuft, hatte er an anderer Stelle humorvoll b</w:t>
      </w:r>
      <w:r>
        <w:t>e</w:t>
      </w:r>
      <w:r>
        <w:t>schrieben: „Ich war mit meinen Sachen in einem ganz offenen aber nur halb b</w:t>
      </w:r>
      <w:r>
        <w:t>e</w:t>
      </w:r>
      <w:r>
        <w:t>packten Frachtwagen. Auf meinem Gepäck machte ich mir ein Lager zurecht so gut es ging. Mit meinem Hut schützte ich mich gegen den herrlich leuchtenden Mond. Sehr lästig war der Funkenregen, der von der Maschine herüberkam. Meine Decken wurden ganz schwarz.“ (699)</w:t>
      </w:r>
    </w:p>
    <w:p w:rsidR="00CF6655" w:rsidRDefault="00CF6655" w:rsidP="00CF6655">
      <w:pPr>
        <w:pStyle w:val="Text"/>
      </w:pPr>
      <w:r>
        <w:t>Am nächsten Tag (17. Mai 1906) fahren sie weiter bis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diesmal haben sie einen verdeckten Güterwagen, was Spiecker als „eine große Wohltat“ empfindet. Es gibt sogar zwei Bänke in dem Wagen; Spiecker aber stellt sofort seinen mitgebrachten Schiffsstuhl auf (940).</w:t>
      </w:r>
      <w:r>
        <w:rPr>
          <w:rStyle w:val="Funotenzeichen"/>
        </w:rPr>
        <w:footnoteReference w:id="20"/>
      </w:r>
      <w:r>
        <w:t xml:space="preserve"> Die ständigen mehrstündigen Ve</w:t>
      </w:r>
      <w:r>
        <w:t>r</w:t>
      </w:r>
      <w:r>
        <w:t>spätungen werden sinnvoll genutzt: „Langeweile gibt es natürlich nicht, da ich immer vielerlei zu lesen habe. Freilich wird es früh dunkel und wir fuhren noch lange in der Dunkelheit. […] Es wurde sehr kalt, so daß wir froh waren, als wir gegen 11 Uhr in Omaruru ankamen“ (940), wo Br. Dannert</w:t>
      </w:r>
      <w:r w:rsidR="00363C1C">
        <w:fldChar w:fldCharType="begin"/>
      </w:r>
      <w:r w:rsidR="00FD439D">
        <w:instrText xml:space="preserve"> XE "</w:instrText>
      </w:r>
      <w:r w:rsidR="00FD439D" w:rsidRPr="002D35B6">
        <w:instrText>Dannert, Geschw.</w:instrText>
      </w:r>
      <w:r w:rsidR="00FD439D">
        <w:instrText xml:space="preserve">" </w:instrText>
      </w:r>
      <w:r w:rsidR="00363C1C">
        <w:fldChar w:fldCharType="end"/>
      </w:r>
      <w:r>
        <w:t xml:space="preserve"> nicht am Bahnhof ist, weil er die Depesche nicht bekommen hat (sie waren für 4 Uhr angemeldet). </w:t>
      </w:r>
      <w:r>
        <w:lastRenderedPageBreak/>
        <w:t>„Es war schon Freitag, als ich endlich zur Ruhe kam“, schreibt Spiecker mit g</w:t>
      </w:r>
      <w:r>
        <w:t>e</w:t>
      </w:r>
      <w:r>
        <w:t>lindem Entsetzen (940), denn so etwas kommt sonst nicht vor!</w:t>
      </w:r>
      <w:r>
        <w:rPr>
          <w:rStyle w:val="Funotenzeichen"/>
        </w:rPr>
        <w:footnoteReference w:id="21"/>
      </w:r>
    </w:p>
    <w:p w:rsidR="00CF6655" w:rsidRDefault="00CF6655" w:rsidP="00CF6655">
      <w:pPr>
        <w:pStyle w:val="Text"/>
      </w:pPr>
      <w:r>
        <w:t>Trotzdem geht es am nächsten Morgen gleich mit dem Frachtwagen (diese sind mit Pferden oder Eseln bespannt; 986) auf einen Tagesausflug nach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wo Br.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xml:space="preserve"> eine der „Sammelstellen</w:t>
      </w:r>
      <w:r w:rsidR="00363C1C">
        <w:fldChar w:fldCharType="begin"/>
      </w:r>
      <w:r w:rsidR="00E01EA7">
        <w:instrText xml:space="preserve"> XE "</w:instrText>
      </w:r>
      <w:r w:rsidR="00E01EA7" w:rsidRPr="00542402">
        <w:instrText>Sammelstelle</w:instrText>
      </w:r>
      <w:r w:rsidR="00E01EA7">
        <w:instrText xml:space="preserve">" </w:instrText>
      </w:r>
      <w:r w:rsidR="00363C1C">
        <w:fldChar w:fldCharType="end"/>
      </w:r>
      <w:r>
        <w:t>“ für Hereros unterhält. Auch dies ist keine bequeme Art des Reisens: „Es gab manchen Stoß auszuha</w:t>
      </w:r>
      <w:r>
        <w:t>l</w:t>
      </w:r>
      <w:r>
        <w:t>ten, da der offene Frachtwagen keine Federn hatte und es immer wieder im Trab oder Galopp weiterging.“ (941)</w:t>
      </w:r>
    </w:p>
    <w:p w:rsidR="00CF6655" w:rsidRDefault="00CF6655" w:rsidP="00CF6655">
      <w:pPr>
        <w:pStyle w:val="Text"/>
      </w:pPr>
      <w:r>
        <w:t>Am 19. Mai 1906 besteigt Spiecker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die noch nicht fertig gestel</w:t>
      </w:r>
      <w:r>
        <w:t>l</w:t>
      </w:r>
      <w:r>
        <w:t>te Otavibahn, die er bis zur Bauspitze im Norden benutzen will, um von dort weiter bis Gaub</w:t>
      </w:r>
      <w:r w:rsidR="00363C1C">
        <w:fldChar w:fldCharType="begin"/>
      </w:r>
      <w:r w:rsidR="00FD439D">
        <w:instrText xml:space="preserve"> XE "</w:instrText>
      </w:r>
      <w:r w:rsidR="00FD439D" w:rsidRPr="0045100C">
        <w:rPr>
          <w:lang w:val="it-IT"/>
        </w:rPr>
        <w:instrText>Gaub</w:instrText>
      </w:r>
      <w:r w:rsidR="00FD439D">
        <w:instrText xml:space="preserve">" </w:instrText>
      </w:r>
      <w:r w:rsidR="00363C1C">
        <w:fldChar w:fldCharType="end"/>
      </w:r>
      <w:r>
        <w:t>,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und ins Amboland zu fahren. Doch keine Bahn ist so neu, dass noch nicht gestreikt wird:</w:t>
      </w:r>
    </w:p>
    <w:p w:rsidR="00CF6655" w:rsidRDefault="00CF6655" w:rsidP="00CF6655">
      <w:pPr>
        <w:pStyle w:val="Zitat"/>
      </w:pPr>
      <w:r>
        <w:t>[Am Bahnhof] erfuhren wir, daß das Zugpersonal in Usakos</w:t>
      </w:r>
      <w:r w:rsidR="00363C1C">
        <w:fldChar w:fldCharType="begin"/>
      </w:r>
      <w:r w:rsidR="00FD439D">
        <w:instrText xml:space="preserve"> XE "</w:instrText>
      </w:r>
      <w:r w:rsidR="00FD439D" w:rsidRPr="00A0642A">
        <w:instrText>Usakos</w:instrText>
      </w:r>
      <w:r w:rsidR="00FD439D">
        <w:instrText xml:space="preserve">" </w:instrText>
      </w:r>
      <w:r w:rsidR="00363C1C">
        <w:fldChar w:fldCharType="end"/>
      </w:r>
      <w:r>
        <w:t xml:space="preserve"> wegen Verweig</w:t>
      </w:r>
      <w:r>
        <w:t>e</w:t>
      </w:r>
      <w:r>
        <w:t>rung der Kilometergelder sich geweigert hatte weiter zu fahren. Als die Gelder ihnen zugesagt waren, erklärten sie, daß sie nur etwa 1/3 der Strecke bis zur Bauspitze weiter fahren würden. (944)</w:t>
      </w:r>
    </w:p>
    <w:p w:rsidR="00CF6655" w:rsidRDefault="00CF6655" w:rsidP="006534E7">
      <w:pPr>
        <w:pStyle w:val="Text"/>
        <w:ind w:firstLine="0"/>
      </w:pPr>
      <w:r>
        <w:t>Aber selbst dabei gibt's Probleme: „Schon um 2 oder 3 Uhr [nachts] hielten wir still und blieben bis bald 7 Uhr liegen. Der vordere Zug hatte nicht genug Ko</w:t>
      </w:r>
      <w:r>
        <w:t>h</w:t>
      </w:r>
      <w:r>
        <w:t>len mitgenommen.“ (945) Ähnliches war wenige Tage zuvor zwischen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und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passiert: „In Onguati mußten wir über 3 Stunden warten. Unsere Maschine hatte kein Wasser mehr und hatte versäumt einen Wasserwagen mi</w:t>
      </w:r>
      <w:r>
        <w:t>t</w:t>
      </w:r>
      <w:r>
        <w:t>zunehmen.“ (940) ‚Perfekte deutsche Organisation‘ ist hier in den Kolonien o</w:t>
      </w:r>
      <w:r>
        <w:t>f</w:t>
      </w:r>
      <w:r>
        <w:t>fenbar kein Thema; denn das sind keine technischen Probleme, die bei einer ne</w:t>
      </w:r>
      <w:r>
        <w:t>u</w:t>
      </w:r>
      <w:r>
        <w:t>en Bahnstrecke natürlich auftreten können. Und selbst wenn alles da ist, bleibt immer noch der Faktor Mensch: „So haben wir doch Hoffnung mit Einbruch der Dunkelheit, also gegen 6 Uhr weiter zu kommen. Vorläufig nimmt die M</w:t>
      </w:r>
      <w:r>
        <w:t>a</w:t>
      </w:r>
      <w:r>
        <w:t>schine noch Wasser, Kohlen etc.“, schreibt Spiecker am 20 Mai. Doch dann kommt die Enttäuschung: „Als die Maschine fertig war, versagte der Heizer und das Zugpersonal. Entweder waren sie zu müde oder hatten zu viel getrunken.“ (946f) Es geht dann erst am nächsten Morgen weiter.</w:t>
      </w:r>
    </w:p>
    <w:p w:rsidR="00CF6655" w:rsidRDefault="00CF6655" w:rsidP="00CF6655">
      <w:pPr>
        <w:pStyle w:val="Text"/>
      </w:pPr>
      <w:r>
        <w:lastRenderedPageBreak/>
        <w:t>Allerdings findet sich immer noch eine Lösung, so auch für den kleinen Streik: „Das wird ein sehr ungemütlicher Sonntag. Bald nach 11 Uhr kamen wir in Okowakuatjivi</w:t>
      </w:r>
      <w:r w:rsidR="00363C1C">
        <w:fldChar w:fldCharType="begin"/>
      </w:r>
      <w:r w:rsidR="00FF369A">
        <w:instrText xml:space="preserve"> XE "</w:instrText>
      </w:r>
      <w:r w:rsidR="00FF369A" w:rsidRPr="0013244F">
        <w:instrText>Okowakuatjivi</w:instrText>
      </w:r>
      <w:r w:rsidR="00FF369A">
        <w:instrText xml:space="preserve">" </w:instrText>
      </w:r>
      <w:r w:rsidR="00363C1C">
        <w:fldChar w:fldCharType="end"/>
      </w:r>
      <w:r>
        <w:rPr>
          <w:rStyle w:val="Funotenzeichen"/>
        </w:rPr>
        <w:footnoteReference w:id="22"/>
      </w:r>
      <w:r>
        <w:t xml:space="preserve"> an. Hier sollen wir nun so lange liegen, bis Maschinen und Personal von Norden her kommen und uns abholen. Man nimmt an, daß frühe</w:t>
      </w:r>
      <w:r>
        <w:t>s</w:t>
      </w:r>
      <w:r>
        <w:t>tens 4 Uhr die Reise fortgesetzt werden kann. Unser Zugpersonal sowie die 2 Maschinen sind nach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zurückgekehrt und wir liegen nun hier und wa</w:t>
      </w:r>
      <w:r>
        <w:t>r</w:t>
      </w:r>
      <w:r>
        <w:t>ten der Dinge, die da kommen sollen.“ Tatsächlich kommt um 3 ein Zug, jedoch: „Der Lokomotivführer erklärte mir aber, daß sie nach Omaruru führen und uns nicht zur Bauspitze bringen würden. Gegen 1/2 5 Uhr fuhr der Zug auch nach Omaruru zu ab“ – also in die falsche Richtung! Wenn aber die Eisenbahngesel</w:t>
      </w:r>
      <w:r>
        <w:t>l</w:t>
      </w:r>
      <w:r>
        <w:t>schaft die Liebe zur Pünktlichkeit vergisst und der Passagier den Glauben an Fahrpläne verliert, bleibt nur noch die Hoffnung: „Eine Maschine, so wird g</w:t>
      </w:r>
      <w:r>
        <w:t>e</w:t>
      </w:r>
      <w:r>
        <w:t>sagt, soll aber zurückkommen und uns holen […]. Ob es wahr ist? Das ist afr</w:t>
      </w:r>
      <w:r>
        <w:t>i</w:t>
      </w:r>
      <w:r>
        <w:t>kanisches Eisenbahnleben.“ (945)</w:t>
      </w:r>
    </w:p>
    <w:p w:rsidR="00CF6655" w:rsidRDefault="00CF6655" w:rsidP="006534E7">
      <w:pPr>
        <w:pStyle w:val="Titel3"/>
      </w:pPr>
      <w:bookmarkStart w:id="50" w:name="_Toc122313618"/>
      <w:bookmarkStart w:id="51" w:name="_Toc122313706"/>
      <w:bookmarkStart w:id="52" w:name="_Toc130260659"/>
      <w:bookmarkStart w:id="53" w:name="_Ref325354219"/>
      <w:bookmarkStart w:id="54" w:name="_Ref325355750"/>
      <w:bookmarkStart w:id="55" w:name="_Toc327387959"/>
      <w:r>
        <w:t>Reisen mit dem Ochsenwagen</w:t>
      </w:r>
      <w:bookmarkEnd w:id="50"/>
      <w:bookmarkEnd w:id="51"/>
      <w:bookmarkEnd w:id="52"/>
      <w:bookmarkEnd w:id="53"/>
      <w:bookmarkEnd w:id="54"/>
      <w:bookmarkEnd w:id="55"/>
    </w:p>
    <w:p w:rsidR="00894888" w:rsidRDefault="00CF6655" w:rsidP="002D1637">
      <w:pPr>
        <w:pStyle w:val="Text"/>
        <w:ind w:firstLine="0"/>
      </w:pPr>
      <w:r>
        <w:t>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reist man mit der Karre, vor die Pferde oder Maulesel (in der Regel wohl letztere) gespannt werden. Kraftfahrzeuge sind für Missionare une</w:t>
      </w:r>
      <w:r>
        <w:t>r</w:t>
      </w:r>
      <w:r>
        <w:t>schwinglich, außerdem sind sie auf vielen Stecken nicht zu verwenden, da die Wege zu schlecht sind.</w:t>
      </w:r>
      <w:r>
        <w:rPr>
          <w:rStyle w:val="Funotenzeichen"/>
        </w:rPr>
        <w:footnoteReference w:id="23"/>
      </w:r>
      <w:r>
        <w:t xml:space="preserve"> Ganz besonders dramatisch ist die Qualität der Wege in Südwestafrika, dort sind die Ochsenwagen für die Brüder die Voraussetzung i</w:t>
      </w:r>
      <w:r>
        <w:t>h</w:t>
      </w:r>
      <w:r>
        <w:t>rer Mobilität, besonders natürlich im Amboland und anderen entlegenen Gebi</w:t>
      </w:r>
      <w:r>
        <w:t>e</w:t>
      </w:r>
      <w:r>
        <w:t>ten, die keine Eisenbahnanbindung und noch schlechtere oder gar keine Wege mehr haben. Spiecker formuliert es salopp: „Ohne einen eigenen Ochsenwagen ist ein Bruder hier ganz lahmgelegt.“ (1186) Und doch: Begeisterung für dieses Verkehrsmittel kommt nicht so leicht auf. „Wer Lust daran hat mit einem so</w:t>
      </w:r>
      <w:r>
        <w:t>l</w:t>
      </w:r>
      <w:r>
        <w:t>chen zu reisen, den beneide ich nicht um seinen Geschmack. Jedenfalls muß man viel Zeit haben.“ (1199)</w:t>
      </w:r>
    </w:p>
    <w:p w:rsidR="00CF6655" w:rsidRDefault="002D1637" w:rsidP="009D1C92">
      <w:pPr>
        <w:pStyle w:val="Text"/>
        <w:spacing w:after="240"/>
        <w:ind w:firstLine="0"/>
      </w:pPr>
      <w:r>
        <w:tab/>
      </w:r>
      <w:r w:rsidR="00CF6655">
        <w:t>Letzteres ist nicht zu leugnen: Der Ochsenwagen ist das langsamste Ve</w:t>
      </w:r>
      <w:r w:rsidR="00CF6655">
        <w:t>r</w:t>
      </w:r>
      <w:r w:rsidR="00CF6655">
        <w:t xml:space="preserve">kehrsmittel überhaupt. Selbst wenn er fährt, kann man problemlos vorauslaufen; 4½ km/h </w:t>
      </w:r>
      <w:proofErr w:type="gramStart"/>
      <w:r w:rsidR="00CF6655">
        <w:t>sind</w:t>
      </w:r>
      <w:proofErr w:type="gramEnd"/>
      <w:r w:rsidR="00CF6655">
        <w:t xml:space="preserve"> schon ein sehr gutes Tempo. (905) Und er fährt nicht beliebig lange, denn das Reisen geschieht in „treks“ mit den notwendigen Ruhepausen für die Ochsen dazwischen. „Jeder trek dauert 2-3 Stunden, dann werden die Oc</w:t>
      </w:r>
      <w:r w:rsidR="00CF6655">
        <w:t>h</w:t>
      </w:r>
      <w:r w:rsidR="00CF6655">
        <w:t xml:space="preserve">sen 1-2 Stunden ausgespannt und können weiden und ausruhen.“ (674) An den Wasserstellen muss, manchmal mit großem Kraftaufwand, das Wasser für die </w:t>
      </w:r>
      <w:r w:rsidR="00CF6655">
        <w:lastRenderedPageBreak/>
        <w:t>Ochsen geschöpft werden. Und früh am Morgen dürfen sie das eiskalte Wasser gar nicht trinken; mehrere Stunden Wartezeit sind nötig, bevor man aufbrechen kann.</w:t>
      </w:r>
    </w:p>
    <w:p w:rsidR="009D1C92" w:rsidRDefault="00CC2ABF" w:rsidP="008B24EE">
      <w:pPr>
        <w:pStyle w:val="Text"/>
        <w:ind w:firstLine="0"/>
      </w:pPr>
      <w:r>
        <w:rPr>
          <w:noProof/>
        </w:rPr>
        <w:drawing>
          <wp:inline distT="0" distB="0" distL="0" distR="0">
            <wp:extent cx="4320540" cy="2599614"/>
            <wp:effectExtent l="19050" t="0" r="3810" b="0"/>
            <wp:docPr id="6" name="Abb4.jpg" descr="C:\Users\Martin\Docs\Publikationen\Sprache, Glaube und Macht\Johannes Spiecker in Deutsch-Südwestafrika\A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4.jpg"/>
                    <pic:cNvPicPr/>
                  </pic:nvPicPr>
                  <pic:blipFill>
                    <a:blip r:embed="rId18" cstate="print">
                      <a:lum bright="3000" contrast="3000"/>
                    </a:blip>
                    <a:stretch>
                      <a:fillRect/>
                    </a:stretch>
                  </pic:blipFill>
                  <pic:spPr>
                    <a:xfrm>
                      <a:off x="0" y="0"/>
                      <a:ext cx="4320540" cy="2599614"/>
                    </a:xfrm>
                    <a:prstGeom prst="rect">
                      <a:avLst/>
                    </a:prstGeom>
                  </pic:spPr>
                </pic:pic>
              </a:graphicData>
            </a:graphic>
          </wp:inline>
        </w:drawing>
      </w:r>
    </w:p>
    <w:p w:rsidR="009D1C92" w:rsidRDefault="009D1C92" w:rsidP="009D1C92">
      <w:pPr>
        <w:pStyle w:val="Beschriftung"/>
      </w:pPr>
      <w:bookmarkStart w:id="56" w:name="_Toc327393036"/>
      <w:r w:rsidRPr="004C3839">
        <w:rPr>
          <w:b/>
        </w:rPr>
        <w:t xml:space="preserve">Abb. </w:t>
      </w:r>
      <w:r>
        <w:rPr>
          <w:b/>
        </w:rPr>
        <w:t>4</w:t>
      </w:r>
      <w:r>
        <w:tab/>
        <w:t>Der Ochsenwagen auf der Reise nach Amboland nahe Ondangua</w:t>
      </w:r>
      <w:bookmarkEnd w:id="56"/>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9D1C92">
      <w:pPr>
        <w:pStyle w:val="Text"/>
        <w:ind w:firstLine="0"/>
      </w:pPr>
      <w:r>
        <w:t>Auf der Reise von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nach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beschreibt </w:t>
      </w:r>
      <w:r w:rsidR="009D1C92">
        <w:t xml:space="preserve">Spiecker </w:t>
      </w:r>
      <w:r>
        <w:t>die Prozedur des Ochseneinspannens:</w:t>
      </w:r>
    </w:p>
    <w:p w:rsidR="00CF6655" w:rsidRDefault="00CF6655" w:rsidP="00CF6655">
      <w:pPr>
        <w:pStyle w:val="Zitat"/>
      </w:pPr>
      <w:r>
        <w:t>Wir haben 18 Ochsen vor unserem Wagen. Sie müssen zuerst zusammengetri</w:t>
      </w:r>
      <w:r>
        <w:t>e</w:t>
      </w:r>
      <w:r>
        <w:t>ben werden. Dann werden sie alle in einer Reihe neben einander aufgestellt und um ihre Hörner ein Lederriemen befestigt und dann je 2 und 2 unters Joch g</w:t>
      </w:r>
      <w:r>
        <w:t>e</w:t>
      </w:r>
      <w:r>
        <w:t>bracht. Das geschieht alles mit viel Geschrei und unter mancherlei Sträuben der Ochsen. An der Ausspannstelle läßt man die Ochsen einfach laufen. […] Wa</w:t>
      </w:r>
      <w:r>
        <w:t>s</w:t>
      </w:r>
      <w:r>
        <w:t>ser finden die Ochsen hier nicht, aber Tsamas, eine Melonenart, die ihnen in etwa das Wasser ersetzt. (876f)</w:t>
      </w:r>
    </w:p>
    <w:p w:rsidR="00CF6655" w:rsidRDefault="00CF6655" w:rsidP="006534E7">
      <w:pPr>
        <w:pStyle w:val="Text"/>
        <w:ind w:firstLine="0"/>
      </w:pPr>
      <w:r>
        <w:t>Manchmal laufen die Ochsen mitten im leeren Land weg, wie hier zwischen Grootfontein</w:t>
      </w:r>
      <w:r w:rsidR="00363C1C">
        <w:fldChar w:fldCharType="begin"/>
      </w:r>
      <w:r w:rsidR="00FD439D">
        <w:instrText xml:space="preserve"> XE "</w:instrText>
      </w:r>
      <w:r w:rsidR="00FD439D" w:rsidRPr="00F824E7">
        <w:instrText>Grootfontein</w:instrText>
      </w:r>
      <w:r w:rsidR="00FD439D">
        <w:instrText xml:space="preserve">" </w:instrText>
      </w:r>
      <w:r w:rsidR="00363C1C">
        <w:fldChar w:fldCharType="end"/>
      </w:r>
      <w:r>
        <w:t xml:space="preserve"> und Tsumeb</w:t>
      </w:r>
      <w:r w:rsidR="00363C1C">
        <w:fldChar w:fldCharType="begin"/>
      </w:r>
      <w:r w:rsidR="00FD439D">
        <w:instrText xml:space="preserve"> XE "</w:instrText>
      </w:r>
      <w:r w:rsidR="00FD439D" w:rsidRPr="004D34CC">
        <w:rPr>
          <w:lang w:val="it-IT"/>
        </w:rPr>
        <w:instrText>Tsumeb</w:instrText>
      </w:r>
      <w:r w:rsidR="00FD439D">
        <w:instrText xml:space="preserve">" </w:instrText>
      </w:r>
      <w:r w:rsidR="00363C1C">
        <w:fldChar w:fldCharType="end"/>
      </w:r>
      <w:r>
        <w:t>: „Als wir bald nach 8 Uhr wieder einspannen wollten, waren die Ochsen verschwunden. Der Hirte hatte am Feuer gelegen und nicht aufgepaßt. Um 1/2 10 Uhr legten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und ich uns schlafen. Die Ochsen kamen gegen 11 Uhr.“ In der wasserleeren Gegend bleibt ihnen nichts anderes übrig, als wieder zurückzukommen. Wenn da nur nicht die nervösen Mitreise</w:t>
      </w:r>
      <w:r>
        <w:t>n</w:t>
      </w:r>
      <w:r>
        <w:t>den wären! „Bruder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befürchtete, daß sie erst am folgenden Mittag wieder da sein würden. In solchen Dingen sieht und schildert er oft recht dunkel, was nicht gerade angenehm ist.“ (973) Dabei sollte er als langjähriger Afrikaner doch G</w:t>
      </w:r>
      <w:r>
        <w:t>e</w:t>
      </w:r>
      <w:r>
        <w:t>lassenheit gelernt haben!</w:t>
      </w:r>
    </w:p>
    <w:p w:rsidR="00CF6655" w:rsidRDefault="00CF6655" w:rsidP="00CF6655">
      <w:pPr>
        <w:pStyle w:val="Text"/>
      </w:pPr>
      <w:r>
        <w:lastRenderedPageBreak/>
        <w:t>Auf der Reise ins Amboland bemerkt er über die Ochsentreiber: „Übrigens gehen sie nicht immer sehr sanft mit den Tieren um, obwohl sie sie gern haben. Mit Fußtritten und Steinwürfen halten sie die Ochsen zusammen, daß sie sich unter das Joch beugen. Mit Peitschenhieben werden sie gezwungen ordentlich zu ziehen.“ (984) Dort sind es immerhin 14 Ochsen vor dem Wagen. (980)</w:t>
      </w:r>
    </w:p>
    <w:p w:rsidR="00CF6655" w:rsidRDefault="00CF6655" w:rsidP="00CF6655">
      <w:pPr>
        <w:pStyle w:val="Text"/>
      </w:pPr>
      <w:r>
        <w:t>Die vielen Ochsen sind vor allem wegen der schlechten Qualität der Wege nötig, die teilweise tief mit Sand bedeckt sind. Einen Wagen mit mehreren Me</w:t>
      </w:r>
      <w:r>
        <w:t>n</w:t>
      </w:r>
      <w:r>
        <w:t>schen, Proviant für mehrere Tage und Gepäck darauf auf einem solchen Weg vorwärts zu bringen, ist natürlich schwer, und auch die Ochsenlenker brauchen viel Geschick, um die Ochsen in Richtung und Geschwindigkeit zu koordini</w:t>
      </w:r>
      <w:r>
        <w:t>e</w:t>
      </w:r>
      <w:r>
        <w:t>ren. Auch das Einspannen der Ochsen kann nicht von Ungelernten gemacht werden. (984) Manchmal müssen die Ochsen für eineinhalb Tage ohne Wasser auskommen, wie auf der 50 Kilometer langen Strecke zwischen Naidans</w:t>
      </w:r>
      <w:r w:rsidR="00363C1C">
        <w:fldChar w:fldCharType="begin"/>
      </w:r>
      <w:r w:rsidR="00154C13">
        <w:instrText xml:space="preserve"> XE "</w:instrText>
      </w:r>
      <w:r w:rsidR="00154C13" w:rsidRPr="0017677C">
        <w:instrText>Naidans</w:instrText>
      </w:r>
      <w:r w:rsidR="00154C13">
        <w:instrText xml:space="preserve">" </w:instrText>
      </w:r>
      <w:r w:rsidR="00363C1C">
        <w:fldChar w:fldCharType="end"/>
      </w:r>
      <w:r>
        <w:t xml:space="preserve"> und Oketoweni. (989) Und das Wasserschöpfen ist harte Arbeit:</w:t>
      </w:r>
    </w:p>
    <w:p w:rsidR="00CF6655" w:rsidRDefault="00CF6655" w:rsidP="00CF6655">
      <w:pPr>
        <w:pStyle w:val="Zitat"/>
      </w:pPr>
      <w:r>
        <w:t>Der Wasserbrunnen [in Koas] war sehr tief. […] Drei Eingeborene krochen tief in den Brunnen und einer reichte dem anderen den Eimer hinauf bis er an mich kam. Ich stand auf der untersten Stufe der primitiven Treppe und reichte dann den Eimer hinauf zu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der das Wasser in den Trog schüttete. Der Trog hatte noch dazu ein Loch, doch gelang es mir dasselbe mit einem T</w:t>
      </w:r>
      <w:r>
        <w:t>a</w:t>
      </w:r>
      <w:r>
        <w:t>schentuch und Holz und Lehm etc. zuzustopfen. Gegen 1/2 1 Uhr hatten wir dann glücklich unsere 24 durstigen Ochsen getränkt. Jeder Ochse trinkt w</w:t>
      </w:r>
      <w:r>
        <w:t>e</w:t>
      </w:r>
      <w:r>
        <w:t>nigstens 3 Eimer Wasser. Ich war fast zu müde geworden und konnte nur mehr wenig schlafen. (991)</w:t>
      </w:r>
    </w:p>
    <w:p w:rsidR="00CF6655" w:rsidRDefault="00CF6655" w:rsidP="006534E7">
      <w:pPr>
        <w:pStyle w:val="Text"/>
        <w:ind w:firstLine="0"/>
      </w:pPr>
      <w:r>
        <w:t>Gelegentlich entfernt sich Spiecker vom Ochsenwagen und geht zu Fuß, um sich die Füße zu vertreten, dem Rütteln zu entkommen oder gegen Ende einer Reise, um schneller anzukommen. Dabei sollte man sich immer in Sichtdistanz zum Wagen halten: „Das ist hier in Afrika ratsam, da einem sonst leicht etwas zust</w:t>
      </w:r>
      <w:r>
        <w:t>o</w:t>
      </w:r>
      <w:r>
        <w:t>ßen, man auch zu leicht vom rechten Wege abirren und dann unglücklich werden (verdursten etc) kann.“ (677f) Wie ein solcher Marsch verlaufen kann, zeigt die Beschreibung der letzten Etappe von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nach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am 9. April 1906:</w:t>
      </w:r>
    </w:p>
    <w:p w:rsidR="00CF6655" w:rsidRDefault="00CF6655" w:rsidP="00CF6655">
      <w:pPr>
        <w:pStyle w:val="Zitat"/>
      </w:pPr>
      <w:r>
        <w:t>Von hier aus gingen Bruder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und ich zu Fuß nach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Bis dahin waren wir auf einem alten Weg gefahren, den die Kolonnenwagen nicht benu</w:t>
      </w:r>
      <w:r>
        <w:t>t</w:t>
      </w:r>
      <w:r>
        <w:t xml:space="preserve">zen. Da war es ganz still und menschenleer, wie auch sonst überall auf dem </w:t>
      </w:r>
      <w:r w:rsidR="0030762E">
        <w:t>„</w:t>
      </w:r>
      <w:r>
        <w:t>pad</w:t>
      </w:r>
      <w:r w:rsidR="0030762E">
        <w:t>“</w:t>
      </w:r>
      <w:r>
        <w:t xml:space="preserve"> in Afrika. […] Sobald wir aber wieder in den alten Weg mündeten, k</w:t>
      </w:r>
      <w:r>
        <w:t>a</w:t>
      </w:r>
      <w:r>
        <w:t>men auch wieder viele Kolonnenwagen teils nach und teils von Rehoboth. Der Weg war auch herzlich schlecht. Oft mußten wir durch tiefen Sand waten und hatten oft Not einen gangbaren Weg zu finden. Dabei war ich sehr durstig. Wir hatten auf der Reise fast zu viel Staub zu schlucken. […] Wir gingen sehr schnell, so daß es fast ein Laufen war, auf dem ganzen Wege. Bruder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sagte zuweilen begütigend: </w:t>
      </w:r>
      <w:r w:rsidR="0030762E">
        <w:t>„</w:t>
      </w:r>
      <w:r>
        <w:t>Bald sind wir da!</w:t>
      </w:r>
      <w:r w:rsidR="0030762E">
        <w:t>“</w:t>
      </w:r>
      <w:r>
        <w:t xml:space="preserve"> Ich wußte aber durch die Kil</w:t>
      </w:r>
      <w:r>
        <w:t>o</w:t>
      </w:r>
      <w:r>
        <w:t>metersteine besser Bescheid. Ein Bastard, der uns begleitete, sagte zwar stets wenn Bruder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ihn fragte: Het is niet meer ver, een half uurtje (es ist nicht mehr weit, nur noch 1/2 Stündchen) ganz prompt: </w:t>
      </w:r>
      <w:r w:rsidR="0030762E">
        <w:t>„</w:t>
      </w:r>
      <w:r>
        <w:t>Ja, mynheer</w:t>
      </w:r>
      <w:r w:rsidR="0030762E">
        <w:t>“</w:t>
      </w:r>
      <w:r>
        <w:t xml:space="preserve">. Als er </w:t>
      </w:r>
      <w:r>
        <w:lastRenderedPageBreak/>
        <w:t xml:space="preserve">merkte, daß ich anderen Sinnes war, sagte er: </w:t>
      </w:r>
      <w:r w:rsidR="0030762E">
        <w:t>„</w:t>
      </w:r>
      <w:r>
        <w:t>Het kan niet meer zoo ver meyen als die groot beraar denkt</w:t>
      </w:r>
      <w:r w:rsidR="0030762E">
        <w:t>“</w:t>
      </w:r>
      <w:r>
        <w:t xml:space="preserve"> (es kann nicht mehr so weit sein, als der I</w:t>
      </w:r>
      <w:r>
        <w:t>n</w:t>
      </w:r>
      <w:r>
        <w:t>spektor meint), merkten wir, daß er auch unsere deutsche Unterhaltung ve</w:t>
      </w:r>
      <w:r>
        <w:t>r</w:t>
      </w:r>
      <w:r>
        <w:t>stand. Es war aber doch so weit. Die Kilometersteine trügen nicht. (829ff)</w:t>
      </w:r>
      <w:r>
        <w:rPr>
          <w:rStyle w:val="Funotenzeichen"/>
        </w:rPr>
        <w:footnoteReference w:id="24"/>
      </w:r>
    </w:p>
    <w:p w:rsidR="00CF6655" w:rsidRDefault="00CF6655" w:rsidP="006534E7">
      <w:pPr>
        <w:pStyle w:val="Text"/>
        <w:ind w:firstLine="0"/>
      </w:pPr>
      <w:r>
        <w:t>Man muss praktisch sein unter diesen Umständen. Da wird schon mal ein wildes Huhn zur Aufbesserung der Reisekost geschossen (874) oder ein Tisch selbst gezimmert, um auf der mehrtätigen Reise zum Essen und zum Schreiben zu di</w:t>
      </w:r>
      <w:r>
        <w:t>e</w:t>
      </w:r>
      <w:r>
        <w:t>nen.</w:t>
      </w:r>
      <w:r>
        <w:rPr>
          <w:rStyle w:val="Funotenzeichen"/>
        </w:rPr>
        <w:footnoteReference w:id="25"/>
      </w:r>
      <w:r>
        <w:t xml:space="preserve"> Doch auch auf dieser Fahrt von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nach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(18.-20 April 1906) verliert Spiecker angesichts der besonderen Reisestrapazen nicht den H</w:t>
      </w:r>
      <w:r>
        <w:t>u</w:t>
      </w:r>
      <w:r>
        <w:t>mor:</w:t>
      </w:r>
    </w:p>
    <w:p w:rsidR="00CF6655" w:rsidRDefault="00CF6655" w:rsidP="00CF6655">
      <w:pPr>
        <w:pStyle w:val="Zitat"/>
      </w:pPr>
      <w:r>
        <w:t>Jetzt sitzen wir hier neben und halb unter dem Ochsenwagen an einem kleinen Tischchen, das Br. Niemeier</w:t>
      </w:r>
      <w:r w:rsidR="00363C1C">
        <w:fldChar w:fldCharType="begin"/>
      </w:r>
      <w:r w:rsidR="00FD439D">
        <w:instrText xml:space="preserve"> XE "</w:instrText>
      </w:r>
      <w:r w:rsidR="00FD439D" w:rsidRPr="006A50D0">
        <w:instrText>Niemeier, Br.</w:instrText>
      </w:r>
      <w:r w:rsidR="00FD439D">
        <w:instrText xml:space="preserve">" </w:instrText>
      </w:r>
      <w:r w:rsidR="00363C1C">
        <w:fldChar w:fldCharType="end"/>
      </w:r>
      <w:r>
        <w:t xml:space="preserve"> gezimmert hat für meine Reisen und schreiben, während Br. Niemeier</w:t>
      </w:r>
      <w:r w:rsidR="00363C1C">
        <w:fldChar w:fldCharType="begin"/>
      </w:r>
      <w:r w:rsidR="00FD439D">
        <w:instrText xml:space="preserve"> XE "</w:instrText>
      </w:r>
      <w:r w:rsidR="00FD439D" w:rsidRPr="006A50D0">
        <w:instrText>Niemeier, Br.</w:instrText>
      </w:r>
      <w:r w:rsidR="00FD439D">
        <w:instrText xml:space="preserve">" </w:instrText>
      </w:r>
      <w:r w:rsidR="00363C1C">
        <w:fldChar w:fldCharType="end"/>
      </w:r>
      <w:r>
        <w:t xml:space="preserve"> Reis und Fleisch kocht. Wir führen nun einige Tage ein rechtes Zigeunerleben. […] Erst nach 3 Uhr fuhren wir ab, nachdem uns Br. Niemeier</w:t>
      </w:r>
      <w:r w:rsidR="00363C1C">
        <w:fldChar w:fldCharType="begin"/>
      </w:r>
      <w:r w:rsidR="00FD439D">
        <w:instrText xml:space="preserve"> XE "</w:instrText>
      </w:r>
      <w:r w:rsidR="00FD439D" w:rsidRPr="006A50D0">
        <w:instrText>Niemeier, Br.</w:instrText>
      </w:r>
      <w:r w:rsidR="00FD439D">
        <w:instrText xml:space="preserve">" </w:instrText>
      </w:r>
      <w:r w:rsidR="00363C1C">
        <w:fldChar w:fldCharType="end"/>
      </w:r>
      <w:r>
        <w:t xml:space="preserve"> eine Tasse Kaffee mit Zucker und Staub, auch mit Milch, die einige mitgeführte Ziegen lieferten, serviert hatte. (873)</w:t>
      </w:r>
    </w:p>
    <w:p w:rsidR="00CF6655" w:rsidRDefault="00CF6655" w:rsidP="006534E7">
      <w:pPr>
        <w:pStyle w:val="Text"/>
        <w:ind w:firstLine="0"/>
      </w:pPr>
      <w:r>
        <w:t>Auch die Bedingungen für das Kochen auf den mehrtätigen Fahrten sind alles andere als ideal: „In Uitdrai</w:t>
      </w:r>
      <w:r>
        <w:rPr>
          <w:rStyle w:val="Funotenzeichen"/>
        </w:rPr>
        <w:footnoteReference w:id="26"/>
      </w:r>
      <w:r>
        <w:t xml:space="preserve"> wurde das Mittagessen bereitet. Man darf da nicht empfindlich sein. […] Schon das Wasser, das benutzt werden muß, würde ich in Deutschland nicht zum Waschen gebrauchen.“ (899)</w:t>
      </w:r>
    </w:p>
    <w:p w:rsidR="00CF6655" w:rsidRDefault="00CF6655" w:rsidP="00CF6655">
      <w:pPr>
        <w:pStyle w:val="Text"/>
      </w:pPr>
      <w:r>
        <w:t>Die Eintönigkeit der Verpflegung wird nur gelegentlich unterbrochen, wie hier nach der Abfahrt in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von einer seltenen Köstlichkeit: „Der letzte Bote brachte uns noch 3 Büchsen mit herrlichen Kalifornischen Früchten, die mir gesundheitlich sehr gut tun und auch etwas Abwechslung in die einförmige Padkost: "Fleisch mit Reis" bringen.“ (897) Es sind Pfirsiche, die den weiten Weg vom Pazifikrand bis nach Afrika, von der nördlichen bis zur südlichen Hem</w:t>
      </w:r>
      <w:r>
        <w:t>i</w:t>
      </w:r>
      <w:r>
        <w:t>sphäre gemacht haben. (899) Zwar wachsen sie auch wesentlich näher am Mi</w:t>
      </w:r>
      <w:r>
        <w:t>t</w:t>
      </w:r>
      <w:r>
        <w:t>telmeer und prinzipiell wohl auch in Südafrika selbst. Doch die fortschrittliche Dosenverpackung macht diese Früchte haltbarer als normale Pfirsiche, die man bei der Hitze nur wenige Tage lang essen könnte.</w:t>
      </w:r>
    </w:p>
    <w:p w:rsidR="00CF6655" w:rsidRDefault="00CF6655" w:rsidP="00CF6655">
      <w:pPr>
        <w:pStyle w:val="Text"/>
      </w:pPr>
      <w:r>
        <w:t>Auf dem Weg nach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versucht ihr Treiber David sich vergeblich in der Jagd auf Strauße und Wildschweine (986), doch dann erlegt er gleich zwei „Hartebeeste“ (eine Antilopenart), die sofort gehäutet und zerlegt werden mü</w:t>
      </w:r>
      <w:r>
        <w:t>s</w:t>
      </w:r>
      <w:r>
        <w:t>sen: Spiecker schätzt die Ausbeute auf mindestens 400 Pfund Fleisch (986f). A</w:t>
      </w:r>
      <w:r>
        <w:t>n</w:t>
      </w:r>
      <w:r>
        <w:t>lässlich einer anderen Schlachtung macht er sich Gedanken über die einseitige Ernährung auf diesen Reisen sowie deren Kosten:</w:t>
      </w:r>
    </w:p>
    <w:p w:rsidR="00CF6655" w:rsidRDefault="00CF6655" w:rsidP="00CF6655">
      <w:pPr>
        <w:pStyle w:val="Zitat"/>
      </w:pPr>
      <w:r>
        <w:lastRenderedPageBreak/>
        <w:t xml:space="preserve">Zuerst kam der kleine Namaqua mit dem Schlachtschaf […]. Als er in unsere Nähe kam, legte er es ohne ein Wort zu sagen, auf die Erde und hielt es fest und unser Johannes schärfte ebenso stillschweigend sein Messer und schnitt ihm den Hals ab, obwohl ich ihm scherzend zurief: </w:t>
      </w:r>
      <w:r w:rsidR="00232285">
        <w:t>„</w:t>
      </w:r>
      <w:r>
        <w:t>Moet dat arme dier niet dooden nie!</w:t>
      </w:r>
      <w:r w:rsidR="00232285">
        <w:t>“</w:t>
      </w:r>
      <w:r>
        <w:t xml:space="preserve"> Das in Aussicht stehende Fleisch beschäftigte ihn offenbar so, daß er für keinen Scherz mehr Zeit hatte. Mir ist diese viele Schlachterei auf der Reise nichts weniger als angenehm. Ich bin auch geneigt, es für unnötig zu ha</w:t>
      </w:r>
      <w:r>
        <w:t>l</w:t>
      </w:r>
      <w:r>
        <w:t>ten, füge mich aber der Ansicht der anderen, die meinen, die Leute müßten viel frisches Fleisch haben. […] Wir essen von dem ganzen Schaf höchstens 1 Pfund. Solche Ochsenwagenreise wird doch sehr teuer. Mein Wagen mit den 3 Treibern und deren Verköstigung kostet täglich wenigstens 30 Mark, so daß die ganze Reise von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nach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und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wenigstens etwa 1500 M kosten würde. Das zahlt die Gemeinde Rehoboth und Geschwister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(905f)</w:t>
      </w:r>
    </w:p>
    <w:p w:rsidR="00CF6655" w:rsidRDefault="00CF6655" w:rsidP="006534E7">
      <w:pPr>
        <w:pStyle w:val="Text"/>
        <w:ind w:firstLine="0"/>
      </w:pPr>
      <w:r>
        <w:t>Überhaupt, das Essen auf dem „pad“: Da ist Spiecker selten zufrieden, ob nun Bruder Detering</w:t>
      </w:r>
      <w:r w:rsidR="00363C1C">
        <w:fldChar w:fldCharType="begin"/>
      </w:r>
      <w:r w:rsidR="00FD439D">
        <w:instrText xml:space="preserve"> XE "</w:instrText>
      </w:r>
      <w:r w:rsidR="00FD439D" w:rsidRPr="0026317F">
        <w:instrText>Detering, Br.</w:instrText>
      </w:r>
      <w:r w:rsidR="00FD439D">
        <w:instrText xml:space="preserve">" </w:instrText>
      </w:r>
      <w:r w:rsidR="00363C1C">
        <w:fldChar w:fldCharType="end"/>
      </w:r>
      <w:r>
        <w:t xml:space="preserve"> kocht („Ich wurde damit fertig“; 950) oder Bruder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(„Ich kümmere mich nicht darum, da viele Köche bekanntlich den Brei verderben. Viel ist freilich nicht zu verderben“; 985). Auf den Stationen gibt es gutes Essen von den Missionarsfrauen, das gehört zu den Anforderungen für Afrika dazu, wo man selten qualifizierte Köche bekommen kann. Das Essen auf der Reise wird dagegen von den Brüdern selbst gekocht. Sei's drum: „Hunger ist der beste Koch.“ (950) Und so bleiben die wiederholt erwähnten kalifornischen Pfirsiche in dieser Hinsicht seine beste Erfahrung.</w:t>
      </w:r>
    </w:p>
    <w:p w:rsidR="00CF6655" w:rsidRDefault="00CF6655" w:rsidP="006534E7">
      <w:pPr>
        <w:pStyle w:val="Titel2"/>
      </w:pPr>
      <w:bookmarkStart w:id="57" w:name="_Toc130260660"/>
      <w:bookmarkStart w:id="58" w:name="_Ref325354146"/>
      <w:bookmarkStart w:id="59" w:name="_Toc327387960"/>
      <w:r w:rsidRPr="006534E7">
        <w:t>Reisen</w:t>
      </w:r>
      <w:r>
        <w:t xml:space="preserve"> und Schreiben</w:t>
      </w:r>
      <w:bookmarkEnd w:id="57"/>
      <w:bookmarkEnd w:id="58"/>
      <w:bookmarkEnd w:id="59"/>
    </w:p>
    <w:p w:rsidR="00CF6655" w:rsidRDefault="00CF6655" w:rsidP="006534E7">
      <w:pPr>
        <w:pStyle w:val="Text"/>
        <w:ind w:firstLine="0"/>
      </w:pPr>
      <w:r>
        <w:t>Nachdem wir das Reisen in Südwestafrika in seiner praktischen Form kennen g</w:t>
      </w:r>
      <w:r>
        <w:t>e</w:t>
      </w:r>
      <w:r>
        <w:t>lernt und uns dabei mit dem Tagebuch und Spieckers Schreibweise etwas ve</w:t>
      </w:r>
      <w:r>
        <w:t>r</w:t>
      </w:r>
      <w:r>
        <w:t>traut gemacht haben, brauchen wir nun ein wenig Theorie. In diesem Abschnitt soll zunächst der Problemkreis des Reiseberichts im Vordergrund stehen. Wie wir sehen werden, stellt Spieckers Tagebuch in mancher Hinsicht ein ungewöh</w:t>
      </w:r>
      <w:r>
        <w:t>n</w:t>
      </w:r>
      <w:r>
        <w:t>liches Beispiel dieser Gattung dar; zugleich handelt es sich bereits um eine sehr offene Gattung, da sie meist entstehungsbezogen und nicht merkmalsbezogen definiert wird. Der Begriff „Reisetagebuch</w:t>
      </w:r>
      <w:r w:rsidR="00363C1C">
        <w:fldChar w:fldCharType="begin"/>
      </w:r>
      <w:r w:rsidR="003264BA">
        <w:instrText xml:space="preserve"> XE "</w:instrText>
      </w:r>
      <w:r w:rsidR="003264BA" w:rsidRPr="00DB5853">
        <w:rPr>
          <w:i/>
          <w:iCs/>
        </w:rPr>
        <w:instrText>Reisetagebuch</w:instrText>
      </w:r>
      <w:r w:rsidR="003264BA">
        <w:instrText xml:space="preserve">" </w:instrText>
      </w:r>
      <w:r w:rsidR="00363C1C">
        <w:fldChar w:fldCharType="end"/>
      </w:r>
      <w:r>
        <w:t>“ umfasst die Merkmale von Spieckers Aufzeichnungen am besten.</w:t>
      </w:r>
    </w:p>
    <w:p w:rsidR="00CF6655" w:rsidRDefault="00CF6655" w:rsidP="006534E7">
      <w:pPr>
        <w:pStyle w:val="Titel3"/>
      </w:pPr>
      <w:bookmarkStart w:id="60" w:name="_Toc130260661"/>
      <w:bookmarkStart w:id="61" w:name="_Toc327387961"/>
      <w:r>
        <w:t>Der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Merkmale</w:t>
      </w:r>
      <w:bookmarkEnd w:id="60"/>
      <w:bookmarkEnd w:id="61"/>
    </w:p>
    <w:p w:rsidR="00CF6655" w:rsidRDefault="00CF6655" w:rsidP="006534E7">
      <w:pPr>
        <w:pStyle w:val="Text"/>
        <w:ind w:firstLine="0"/>
      </w:pPr>
      <w:r>
        <w:t>Reiseberichte sind als Gattung erst vor relativ kurzer Zeit in den Blick der liter</w:t>
      </w:r>
      <w:r>
        <w:t>a</w:t>
      </w:r>
      <w:r>
        <w:t>turwissenschaftlichen Forschung geraten. Dies mag damit zusammenhängen, dass sie in so vielfältigen Formen auftreten, von denen nur einige in den he</w:t>
      </w:r>
      <w:r>
        <w:t>r</w:t>
      </w:r>
      <w:r>
        <w:lastRenderedPageBreak/>
        <w:t>kömmlichen Definitionen von „Literatur“ enthalten sind, wie Thomas Bleicher erläutert:</w:t>
      </w:r>
    </w:p>
    <w:p w:rsidR="00CF6655" w:rsidRDefault="00CF6655" w:rsidP="00CF6655">
      <w:pPr>
        <w:pStyle w:val="Zitat"/>
      </w:pPr>
      <w:r>
        <w:t>Es gibt […] zahlreiche Reise-Arten – wie Kolonialreisen, Künstlerreisen, B</w:t>
      </w:r>
      <w:r>
        <w:t>ä</w:t>
      </w:r>
      <w:r>
        <w:t>derfahrten, Wanderungen –, die zu unterschiedlichen literarischen Formen fü</w:t>
      </w:r>
      <w:r>
        <w:t>h</w:t>
      </w:r>
      <w:r>
        <w:t>ren – Tagebuch, Skizze, Aufzeichnung, Brief, Beschreibung, Bericht, Han</w:t>
      </w:r>
      <w:r>
        <w:t>d</w:t>
      </w:r>
      <w:r>
        <w:t>buch, Novelle, Roman –: Die Reise wird zum gattungstheoretischen Problem […].</w:t>
      </w:r>
      <w:r>
        <w:rPr>
          <w:rStyle w:val="Funotenzeichen"/>
        </w:rPr>
        <w:footnoteReference w:id="27"/>
      </w:r>
    </w:p>
    <w:p w:rsidR="00CF6655" w:rsidRDefault="00CF6655" w:rsidP="00634D7D">
      <w:pPr>
        <w:pStyle w:val="Text"/>
        <w:ind w:firstLine="0"/>
      </w:pPr>
      <w:r>
        <w:t>Dazu kommt, dass eine Definition von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über das Thema, also das Reisen oder eine bestimmte Reise, nicht möglich ist:</w:t>
      </w:r>
    </w:p>
    <w:p w:rsidR="00CF6655" w:rsidRDefault="00CF6655" w:rsidP="00CF6655">
      <w:pPr>
        <w:pStyle w:val="Zitat"/>
      </w:pPr>
      <w:r>
        <w:t xml:space="preserve">[Es </w:t>
      </w:r>
      <w:proofErr w:type="gramStart"/>
      <w:r>
        <w:t>haben</w:t>
      </w:r>
      <w:proofErr w:type="gramEnd"/>
      <w:r>
        <w:t xml:space="preserve"> sich] noch keine Gesichtspunkte ergeben, die den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g</w:t>
      </w:r>
      <w:r>
        <w:t>e</w:t>
      </w:r>
      <w:r>
        <w:t>genüber anderen Textsorten hermetisch abgrenzen würden. Eine hohe Welthaltigkeit bestimmt auch den Roman, […] und nicht zuletzt ist der G</w:t>
      </w:r>
      <w:r>
        <w:t>e</w:t>
      </w:r>
      <w:r>
        <w:t xml:space="preserve">genstand Reise in zahlreichen Romanen behandelt worden. […] Auch die reine ‚Sachprosa‘ hat sich in verschiedenen Formen des Gegenstandes angenommen. Reiseführer à la </w:t>
      </w:r>
      <w:r>
        <w:rPr>
          <w:i/>
          <w:iCs/>
        </w:rPr>
        <w:t>Baedeker</w:t>
      </w:r>
      <w:r>
        <w:t xml:space="preserve"> entstanden zwar erst im 19. Jahrhundert, aber prakt</w:t>
      </w:r>
      <w:r>
        <w:t>i</w:t>
      </w:r>
      <w:r>
        <w:t>sche Ratgeber zur Lektüre vor oder während der Reise sind wesentlich älter […]. Andere Gebrauchstexte widmen sich Reiseerträgen, meist solchen, die auf Forschungsreisen gesammelt wurden.</w:t>
      </w:r>
      <w:r>
        <w:rPr>
          <w:rStyle w:val="Funotenzeichen"/>
        </w:rPr>
        <w:footnoteReference w:id="28"/>
      </w:r>
    </w:p>
    <w:p w:rsidR="00CF6655" w:rsidRDefault="00CF6655" w:rsidP="00634D7D">
      <w:pPr>
        <w:pStyle w:val="Text"/>
        <w:ind w:firstLine="0"/>
      </w:pPr>
      <w:r>
        <w:t>Da also das Thema „Reise“ noch nicht ausreicht, um einen Text zum Reiseb</w:t>
      </w:r>
      <w:r>
        <w:t>e</w:t>
      </w:r>
      <w:r>
        <w:t>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zu machen, schlägt Barbara Korte vor, zum Verständnis der Gattung die verwendeten Textformen zu untersuchen. Sie bezieht sich auf den eklektischen Charakter des Reiseberichts, der sich auf die besondere Offenheit der Gattung zurückführen lässt: Alles, was sich direkt oder indirekt auf das Zielgebiet der Reise, das Reisen an sich oder die reisende Person bezieht, kann mitgeteilt we</w:t>
      </w:r>
      <w:r>
        <w:t>r</w:t>
      </w:r>
      <w:r>
        <w:t xml:space="preserve">den – Reisenden, die kreativ im Konstruieren von Zusammenhängen sind, bietet sich somit ein fast unbegrenztes Betätigungsfeld: „Nicht zufällig stößt man in der Literatur zum Reisebericht wiederholt auf den Begriff des </w:t>
      </w:r>
      <w:r>
        <w:rPr>
          <w:i/>
          <w:iCs/>
        </w:rPr>
        <w:t xml:space="preserve">omnium-gatherum, </w:t>
      </w:r>
      <w:r>
        <w:t>des Sammelsuriums, in das potentiell alles einfließen kann, das einem Reisenden mitteilenswert erscheint.“</w:t>
      </w:r>
      <w:r>
        <w:rPr>
          <w:rStyle w:val="Funotenzeichen"/>
        </w:rPr>
        <w:footnoteReference w:id="29"/>
      </w:r>
    </w:p>
    <w:p w:rsidR="00CF6655" w:rsidRDefault="00CF6655" w:rsidP="00CF6655">
      <w:pPr>
        <w:pStyle w:val="Text"/>
      </w:pPr>
      <w:r>
        <w:t>Doch nicht nur in inhaltlicher, auch in formaler Hinsicht sind Reiseberichte ein „Sammelsurium“:</w:t>
      </w:r>
    </w:p>
    <w:p w:rsidR="00CF6655" w:rsidRDefault="00CF6655" w:rsidP="00CF6655">
      <w:pPr>
        <w:pStyle w:val="Zitat"/>
      </w:pPr>
      <w:r>
        <w:t>Erzählende Passagen mischen sich […] mit beschreibenden, erörternden oder auch kommentierenden […]. Grenzüberschreitungen zum Essay, zum Brief, zur Reportage, Skizze, Anekdote oder Abhandlung sind mannigfaltig, und g</w:t>
      </w:r>
      <w:r>
        <w:t>e</w:t>
      </w:r>
      <w:r>
        <w:t>legentlich stößt man in Reiseberichten sogar auf Gedichteinlagen. Zu Recht ist der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also als ‚hybride‘ […] Gattung bezeichnet worden.</w:t>
      </w:r>
      <w:r>
        <w:rPr>
          <w:rStyle w:val="Funotenzeichen"/>
        </w:rPr>
        <w:footnoteReference w:id="30"/>
      </w:r>
    </w:p>
    <w:p w:rsidR="00CF6655" w:rsidRDefault="00CF6655" w:rsidP="00634D7D">
      <w:pPr>
        <w:pStyle w:val="Text"/>
        <w:ind w:firstLine="0"/>
      </w:pPr>
      <w:r>
        <w:lastRenderedPageBreak/>
        <w:t>Ähnlich äußert sich Steve Clark:</w:t>
      </w:r>
    </w:p>
    <w:p w:rsidR="00CF6655" w:rsidRDefault="00CF6655" w:rsidP="00CF6655">
      <w:pPr>
        <w:pStyle w:val="Zitat"/>
        <w:rPr>
          <w:lang w:val="en-GB"/>
        </w:rPr>
      </w:pPr>
      <w:r>
        <w:rPr>
          <w:lang w:val="en-GB"/>
        </w:rPr>
        <w:t xml:space="preserve">As Raban […] notes, travel writing ‚accommodates the private diary, the essay, the short story, the prose poem, the rough note and polished table talk with indiscriminate </w:t>
      </w:r>
      <w:proofErr w:type="gramStart"/>
      <w:r>
        <w:rPr>
          <w:lang w:val="en-GB"/>
        </w:rPr>
        <w:t>hospitality‘ [</w:t>
      </w:r>
      <w:proofErr w:type="gramEnd"/>
      <w:r>
        <w:rPr>
          <w:lang w:val="en-GB"/>
        </w:rPr>
        <w:t>…]: its perennially marginal position both grants a licence for idiosyncratic formal innovation, and allows the production of a self in the course of writing by means of perpetual detours into communal utte</w:t>
      </w:r>
      <w:r>
        <w:rPr>
          <w:lang w:val="en-GB"/>
        </w:rPr>
        <w:t>r</w:t>
      </w:r>
      <w:r>
        <w:rPr>
          <w:lang w:val="en-GB"/>
        </w:rPr>
        <w:t>ance, public codes.</w:t>
      </w:r>
      <w:r>
        <w:rPr>
          <w:rStyle w:val="Funotenzeichen"/>
          <w:lang w:val="en-GB"/>
        </w:rPr>
        <w:footnoteReference w:id="31"/>
      </w:r>
    </w:p>
    <w:p w:rsidR="00CF6655" w:rsidRDefault="00CF6655" w:rsidP="00634D7D">
      <w:pPr>
        <w:pStyle w:val="Text"/>
        <w:ind w:firstLine="0"/>
      </w:pPr>
      <w:r>
        <w:t>Die vielfältige Natur des versammelten Materials hängt mit der besonderen ep</w:t>
      </w:r>
      <w:r>
        <w:t>i</w:t>
      </w:r>
      <w:r>
        <w:t>stemischen Natur des Reisens zusammen, die zugleich subjektive Eindrücke wie objektive Theorien, emotionale Zustände wie exakte Messungen, Gedichte wie wissenschaftliche Notizen umfassen kann – sofern der/die Reisende in der Lage ist, sich in den entsprechenden Formen auszudrücken. David Scott erläutert den provisorischen Aspekt, der den Reiz eines solchen Sammelsuriums ausmacht und zugleich die ständigen Perspektivwechsel und Neudefinitionen der Reise auf formaler Ebene abbildet:</w:t>
      </w:r>
    </w:p>
    <w:p w:rsidR="00CF6655" w:rsidRDefault="00CF6655" w:rsidP="00CF6655">
      <w:pPr>
        <w:pStyle w:val="Zitat"/>
        <w:rPr>
          <w:lang w:val="en-GB"/>
        </w:rPr>
      </w:pPr>
      <w:r>
        <w:rPr>
          <w:lang w:val="en-GB"/>
        </w:rPr>
        <w:t>This tension between the personal and subjective and the scientific and obje</w:t>
      </w:r>
      <w:r>
        <w:rPr>
          <w:lang w:val="en-GB"/>
        </w:rPr>
        <w:t>c</w:t>
      </w:r>
      <w:r>
        <w:rPr>
          <w:lang w:val="en-GB"/>
        </w:rPr>
        <w:t xml:space="preserve">tive is also visible in the </w:t>
      </w:r>
      <w:r>
        <w:rPr>
          <w:i/>
          <w:iCs/>
          <w:lang w:val="en-GB"/>
        </w:rPr>
        <w:t xml:space="preserve">form </w:t>
      </w:r>
      <w:r>
        <w:rPr>
          <w:lang w:val="en-GB"/>
        </w:rPr>
        <w:t>travel texts tend to take. If as a genre the journal tends to predominate, this is because as a form it is most susceptible to acc</w:t>
      </w:r>
      <w:r>
        <w:rPr>
          <w:lang w:val="en-GB"/>
        </w:rPr>
        <w:t>o</w:t>
      </w:r>
      <w:r>
        <w:rPr>
          <w:lang w:val="en-GB"/>
        </w:rPr>
        <w:t>modating the multiple aspects of travel experience – personal impressions, sc</w:t>
      </w:r>
      <w:r>
        <w:rPr>
          <w:lang w:val="en-GB"/>
        </w:rPr>
        <w:t>i</w:t>
      </w:r>
      <w:r>
        <w:rPr>
          <w:lang w:val="en-GB"/>
        </w:rPr>
        <w:t>entific information, ethnographic observation, documents of various kinds. It implies a work in progress […]. The tensions and shifts that characterise the travel writer’s project tend thus to become principally visible on the level of content […].</w:t>
      </w:r>
      <w:r>
        <w:rPr>
          <w:rStyle w:val="Funotenzeichen"/>
          <w:lang w:val="en-GB"/>
        </w:rPr>
        <w:footnoteReference w:id="32"/>
      </w:r>
    </w:p>
    <w:p w:rsidR="00CF6655" w:rsidRDefault="00CF6655" w:rsidP="00634D7D">
      <w:pPr>
        <w:pStyle w:val="Text"/>
        <w:ind w:firstLine="0"/>
      </w:pPr>
      <w:r>
        <w:t xml:space="preserve">Wenn das der Fall ist, dann lässt dies den – durchaus interessanten – Schluss </w:t>
      </w:r>
      <w:r>
        <w:rPr>
          <w:i/>
          <w:iCs/>
        </w:rPr>
        <w:t xml:space="preserve">ex negativo </w:t>
      </w:r>
      <w:r>
        <w:t>zu, dass Spiecker die genannten ‚Spannungen und Verschiebungen‘ nicht erlebt hat: Sein Tagebuch ist tatsächlich durch eine erstaunlich homogene Darstellungsform gekennzeichnet. Das ergibt sich bereits aus der chronolog</w:t>
      </w:r>
      <w:r>
        <w:t>i</w:t>
      </w:r>
      <w:r>
        <w:t>schen Berichtsweise, in der es weder Vor- oder Rückgriffe noch thematisch g</w:t>
      </w:r>
      <w:r>
        <w:t>e</w:t>
      </w:r>
      <w:r>
        <w:t xml:space="preserve">bundene, selbständig erzählte ‚Handlungsstränge‘ gibt. Ein typischer Berichtstag ist streng nach der Uhr gegliedert (vgl. Abschnitt </w:t>
      </w:r>
      <w:r w:rsidR="00363C1C">
        <w:fldChar w:fldCharType="begin"/>
      </w:r>
      <w:r w:rsidR="006E13AE">
        <w:instrText xml:space="preserve"> REF _Ref325354258 \r \h </w:instrText>
      </w:r>
      <w:r w:rsidR="00363C1C">
        <w:fldChar w:fldCharType="separate"/>
      </w:r>
      <w:r w:rsidR="00216538">
        <w:t>1.3.4</w:t>
      </w:r>
      <w:r w:rsidR="00363C1C">
        <w:fldChar w:fldCharType="end"/>
      </w:r>
      <w:r>
        <w:t xml:space="preserve"> „Die Erzählstruktur“). Man könnte sagen, dass von den möglichen Darstellungsformen bzw.</w:t>
      </w:r>
      <w:r w:rsidR="001375B8">
        <w:t xml:space="preserve"> </w:t>
      </w:r>
      <w:r>
        <w:t>Genres, die in den obigen Zitaten aufgezählt werden, tatsächlich nur das Tagebuch real</w:t>
      </w:r>
      <w:r>
        <w:t>i</w:t>
      </w:r>
      <w:r>
        <w:t>siert wird.</w:t>
      </w:r>
    </w:p>
    <w:p w:rsidR="00CF6655" w:rsidRDefault="00CF6655" w:rsidP="00CF6655">
      <w:pPr>
        <w:pStyle w:val="Text"/>
      </w:pPr>
      <w:r>
        <w:t>Doch auch hier müssen voreilige Schlüsse vermieden werden. Denn wenn das Schreiben über Reisen auch nicht einheitlich gefasst werden kann, so stellt es doch ganz spezifische Anforderungen an die Schreibenden, die sich auf der stili</w:t>
      </w:r>
      <w:r>
        <w:t>s</w:t>
      </w:r>
      <w:r>
        <w:t>tischen Ebene widerspiegeln:</w:t>
      </w:r>
    </w:p>
    <w:p w:rsidR="00CF6655" w:rsidRDefault="00CF6655" w:rsidP="00CF6655">
      <w:pPr>
        <w:pStyle w:val="Zitat"/>
      </w:pPr>
      <w:r>
        <w:lastRenderedPageBreak/>
        <w:t>Der gegenseitige Verweis von Wort und Bild, dazu die Abfolge der Stationen, die Verweildauer, die Quantität und Intensität der Eindrücke, kurz: dieser V</w:t>
      </w:r>
      <w:r>
        <w:t>a</w:t>
      </w:r>
      <w:r>
        <w:t xml:space="preserve">ria-Charakter verlangt einen eigenen </w:t>
      </w:r>
      <w:r>
        <w:rPr>
          <w:u w:val="single"/>
        </w:rPr>
        <w:t>Schreib-Stil</w:t>
      </w:r>
      <w:r>
        <w:t>, einen mehr oder weniger a</w:t>
      </w:r>
      <w:r>
        <w:t>d</w:t>
      </w:r>
      <w:r>
        <w:t>ditiven, assoziativen Reise-Stil, der sich Improvisationen öffnet und doch eine gewisse Kohärenz wahrt […].</w:t>
      </w:r>
      <w:r>
        <w:rPr>
          <w:rStyle w:val="Funotenzeichen"/>
        </w:rPr>
        <w:footnoteReference w:id="33"/>
      </w:r>
    </w:p>
    <w:p w:rsidR="00CF6655" w:rsidRDefault="00CF6655" w:rsidP="00634D7D">
      <w:pPr>
        <w:pStyle w:val="Text"/>
        <w:ind w:firstLine="0"/>
      </w:pPr>
      <w:r>
        <w:t>Bei aller inhaltlichen und formalen Heterogenität gibt es also ein Element des Zusammenhangs, das der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 womit ein wichtiger Gegensatz zum T</w:t>
      </w:r>
      <w:r>
        <w:t>a</w:t>
      </w:r>
      <w:r>
        <w:t>gebuch angesprochen wäre – in der Regel besitzt: Es zeigt einen spezifischen Schreibstil, der bei aller Flexibilität gegenüber dem Dargestellten und der Form der Darstellung einen durchgehenden Zusammenhang erzeugt. Damit erhält er eine Klammerungsfunktion, indem er zumindest auf der Oberfläche Homogen</w:t>
      </w:r>
      <w:r>
        <w:t>i</w:t>
      </w:r>
      <w:r>
        <w:t>tät herzustellen sucht, während das verwendete Material ständig diese Form zu sprengen und seine Heterogenität zu bestätigen droht; hierin lässt sich ein A</w:t>
      </w:r>
      <w:r>
        <w:t>b</w:t>
      </w:r>
      <w:r>
        <w:t>bild der Reise selbst sehen, bei der nur der Vorgang des Reisens und die – wied</w:t>
      </w:r>
      <w:r>
        <w:t>e</w:t>
      </w:r>
      <w:r>
        <w:t>rum äußerliche, nicht unbedingt innerliche – Kontinuität des Reisenden die Hü</w:t>
      </w:r>
      <w:r>
        <w:t>l</w:t>
      </w:r>
      <w:r>
        <w:t>le für so mannigfaltige Ereignisse und Erlebnisse bilden. Reiseberichte sind also eine Gattung, in der Homogenität ständig von Heterogenität aufgelöst wird, in der die Vielfalt ständig die Einheit zu überwältigen droht. Vielleicht aus diesem Grund feiern sie in unserer pluralistisch orientierten postmodernen Gegenwart ein triumphales Comeback.</w:t>
      </w:r>
    </w:p>
    <w:p w:rsidR="00CF6655" w:rsidRDefault="00CF6655" w:rsidP="005210C7">
      <w:pPr>
        <w:pStyle w:val="Titel3"/>
      </w:pPr>
      <w:bookmarkStart w:id="62" w:name="_Toc130260662"/>
      <w:bookmarkStart w:id="63" w:name="_Toc327387962"/>
      <w:r>
        <w:t>Beschreibungen</w:t>
      </w:r>
      <w:bookmarkEnd w:id="62"/>
      <w:bookmarkEnd w:id="63"/>
    </w:p>
    <w:p w:rsidR="00CF6655" w:rsidRDefault="00CF6655" w:rsidP="00634D7D">
      <w:pPr>
        <w:pStyle w:val="Text"/>
        <w:ind w:firstLine="0"/>
      </w:pPr>
      <w:r>
        <w:t>Nicht nur in dieser Hinsicht handelt es sich bei Spieckers Bericht um einen ‚u</w:t>
      </w:r>
      <w:r>
        <w:t>n</w:t>
      </w:r>
      <w:r>
        <w:t>typischen‘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wobei eingewandt werden könnte, dass es einen ‚typ</w:t>
      </w:r>
      <w:r>
        <w:t>i</w:t>
      </w:r>
      <w:r>
        <w:t>schen‘ Reisebericht gar nicht gebe. In einem Querschnitt von Reiseberichten seiner – oder auch einer früheren oder späteren – Zeit würden aber bestimmte Merkmale zumindest sehr häufig zu finden sein. Dazu gehört sicherlich ein g</w:t>
      </w:r>
      <w:r>
        <w:t>e</w:t>
      </w:r>
      <w:r>
        <w:t>wisses Maß an Beschreibungen.</w:t>
      </w:r>
    </w:p>
    <w:p w:rsidR="00CF6655" w:rsidRDefault="00CF6655" w:rsidP="00CF6655">
      <w:pPr>
        <w:pStyle w:val="Text"/>
      </w:pPr>
      <w:r>
        <w:t>Nicht so bei Spiecker. Längere Beschreibungen, sei es von Städten, Siedlu</w:t>
      </w:r>
      <w:r>
        <w:t>n</w:t>
      </w:r>
      <w:r>
        <w:t>gen, Landschaft oder Menschen, fehlen fast völlig. Kurze Beobachtungen werden jedoch immer wieder eingeschoben, oft in Halbsätzen. Ein typisches Beispiel ist das folgende:</w:t>
      </w:r>
    </w:p>
    <w:p w:rsidR="00CF6655" w:rsidRDefault="00CF6655" w:rsidP="00CF6655">
      <w:pPr>
        <w:pStyle w:val="Zitat"/>
      </w:pPr>
      <w:r>
        <w:t>Die neue schmucke Kirche mit ihren schönen Türmchen ist weithin sichtbar, ebenso das hübsche, freilich noch zu kleine Haus von Bruder Vedder</w:t>
      </w:r>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r>
        <w:t>. (1282)</w:t>
      </w:r>
    </w:p>
    <w:p w:rsidR="00CF6655" w:rsidRDefault="00CF6655" w:rsidP="005210C7">
      <w:pPr>
        <w:pStyle w:val="Text"/>
        <w:ind w:firstLine="0"/>
      </w:pPr>
      <w:r>
        <w:t>Es fällt sofort zweierlei auf: Zum einen, dass der Nützlichkeitsaspekt der b</w:t>
      </w:r>
      <w:r>
        <w:t>e</w:t>
      </w:r>
      <w:r>
        <w:t xml:space="preserve">schriebenen Dinge nie beiseite bleiben kann, wie die Apposition „freilich noch zu kleine“ deutlich macht. Man könnte postulieren, dass Spiecker an dieser und ähnlichen Stellen dem ‚Gattungsdruck‘ zur Beschreibung nachgibt, ohne seine </w:t>
      </w:r>
      <w:r>
        <w:lastRenderedPageBreak/>
        <w:t>rationale, immer auf Organisation, Überprüfung und anstehende Arbeit ausg</w:t>
      </w:r>
      <w:r>
        <w:t>e</w:t>
      </w:r>
      <w:r>
        <w:t>richtete Beobachtungshaltung auch nur für einen Satz ganz zurückstellen zu können. Zum anderen ist auch die auf den ersten Blick ästhetisierende – und d</w:t>
      </w:r>
      <w:r>
        <w:t>a</w:t>
      </w:r>
      <w:r>
        <w:t>mit einem zunehmenden Trend des Reiseberichts seit dem 19. Jahrhundert fo</w:t>
      </w:r>
      <w:r>
        <w:t>l</w:t>
      </w:r>
      <w:r>
        <w:t>gende – Form der Beschreibung bei genauerem Hinsehen ein Ausdruck des pr</w:t>
      </w:r>
      <w:r>
        <w:t>o</w:t>
      </w:r>
      <w:r>
        <w:t>testantischen Nützlichkeits- und Wohlgeordnetheits-Denkens, das bei Spiecker immer im Hintergrund steht.</w:t>
      </w:r>
    </w:p>
    <w:p w:rsidR="00CF6655" w:rsidRDefault="00CF6655" w:rsidP="00CF6655">
      <w:pPr>
        <w:pStyle w:val="Text"/>
      </w:pPr>
      <w:r>
        <w:t>Zwar gelingt es ihm tatsächlich, uns mit der kleinen – sicherlich weißen – Kirche, die zu ihm ‚herüberleuchtet‘, ein plastisches Bild vor Augen zu stellen. Doch die Wortwahl („schmuck“ und „hübsch“) ist ganz auf das Idealbild des Properen, bürgerlich Behaglichen abgestellt, das im protestantischen Milieu so gut gedieh – man denkt an die ironische Schilderung dieses Milieus in Goethes „Osterspaziergang“. Beim Wiederlesen merkt man dann: Hier geht es eigentlich gar nicht um ein schönes Bild, sondern um eine wohlsituierte Kirchengemeinde! Der Einschub, der eine Erweiterung des Missionarshauses anmahnt, ist daher kein Zufall in dieser Passage, sondern gewissermaßen ‚des Pudels Kern‘.</w:t>
      </w:r>
      <w:r>
        <w:rPr>
          <w:rStyle w:val="Funotenzeichen"/>
        </w:rPr>
        <w:footnoteReference w:id="34"/>
      </w:r>
    </w:p>
    <w:p w:rsidR="00CF6655" w:rsidRDefault="00CF6655" w:rsidP="005210C7">
      <w:pPr>
        <w:pStyle w:val="Titel3"/>
      </w:pPr>
      <w:bookmarkStart w:id="64" w:name="_Toc130260663"/>
      <w:bookmarkStart w:id="65" w:name="_Toc327387963"/>
      <w:r>
        <w:t>Spieckers Bericht als Reisetagebuch</w:t>
      </w:r>
      <w:bookmarkEnd w:id="64"/>
      <w:bookmarkEnd w:id="65"/>
      <w:r w:rsidR="00363C1C">
        <w:fldChar w:fldCharType="begin"/>
      </w:r>
      <w:r w:rsidR="003264BA">
        <w:instrText xml:space="preserve"> XE "</w:instrText>
      </w:r>
      <w:r w:rsidR="003264BA" w:rsidRPr="00DB5853">
        <w:rPr>
          <w:i w:val="0"/>
          <w:iCs w:val="0"/>
        </w:rPr>
        <w:instrText>Reisetagebuch</w:instrText>
      </w:r>
      <w:r w:rsidR="003264BA">
        <w:instrText xml:space="preserve">" </w:instrText>
      </w:r>
      <w:r w:rsidR="00363C1C">
        <w:fldChar w:fldCharType="end"/>
      </w:r>
    </w:p>
    <w:p w:rsidR="00CF6655" w:rsidRDefault="00CF6655" w:rsidP="005210C7">
      <w:pPr>
        <w:pStyle w:val="Text"/>
        <w:ind w:firstLine="0"/>
      </w:pPr>
      <w:r>
        <w:t>Korte erwähnt als ein weiteres Merkmal des Reiseberichts seine Fiktionalität, obwohl für den Leser – zumindest den naiven – gerade die Annahme der A</w:t>
      </w:r>
      <w:r>
        <w:t>u</w:t>
      </w:r>
      <w:r>
        <w:t>thentizität des Erzählten den Reiz des Reiseberichts ausmache. Sie betont, dass der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zwar auf einer tatsächlich erfolgten Reise basiere, diese aber mit den Mitteln des fiktionalen Erzählens darstelle.</w:t>
      </w:r>
      <w:r>
        <w:rPr>
          <w:rStyle w:val="Funotenzeichen"/>
        </w:rPr>
        <w:footnoteReference w:id="35"/>
      </w:r>
    </w:p>
    <w:p w:rsidR="00CF6655" w:rsidRDefault="00CF6655" w:rsidP="00CF6655">
      <w:pPr>
        <w:pStyle w:val="Text"/>
      </w:pPr>
      <w:r>
        <w:t>Sofern man dies gelten lässt, kann man feststellen, dass spätestens an diesem Punkt eine Einordnung des Spieckerschen Texts in die Kategorie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fehlschlägt. Dieser orientiert sich eng an dem Geschehenden, verzichtet weitg</w:t>
      </w:r>
      <w:r>
        <w:t>e</w:t>
      </w:r>
      <w:r>
        <w:t>hend auf Beschreibungen und wirkt in seiner Gleichbehandlung jedes Tages, de</w:t>
      </w:r>
      <w:r>
        <w:t>s</w:t>
      </w:r>
      <w:r>
        <w:t>sen Ablauf unabhängig von dramatischen Ereignissen oder langweiliger Routine getreulich geschildert wird, sehr wenig fiktional – obwohl man natürlich nicht überprüfen kann, ob Spiecker nicht doch etwas dazuerfunden hat und er mit S</w:t>
      </w:r>
      <w:r>
        <w:t>i</w:t>
      </w:r>
      <w:r>
        <w:t>cherheit auch etwas weggelassen haben wird. Solange jedoch kein „bewusstes Edieren“ vorliegt, dass den Ereignissen und Beob</w:t>
      </w:r>
      <w:r>
        <w:softHyphen/>
        <w:t>achtungen durch Betonung bzw. Weglassung eine bestimmte Richtung verleiht oder sie im nächsten Schritt bewusst zu bearbeiten beginnt, lässt sich kaum sinnvoll von „Fiktionalität“ spr</w:t>
      </w:r>
      <w:r>
        <w:t>e</w:t>
      </w:r>
      <w:r>
        <w:lastRenderedPageBreak/>
        <w:t>chen: Allein die Tatsache, dass Spieckers Darstellung aufgrund seiner individue</w:t>
      </w:r>
      <w:r>
        <w:t>l</w:t>
      </w:r>
      <w:r>
        <w:t>len Perspektive natürlich weit von einer „objektiven Wahrheit“ – falls es so etwas denn gibt – entfernt ist, rechtfertigt es noch nicht, ihn als fiktional zu betrac</w:t>
      </w:r>
      <w:r>
        <w:t>h</w:t>
      </w:r>
      <w:r>
        <w:t>ten.</w:t>
      </w:r>
    </w:p>
    <w:p w:rsidR="00CF6655" w:rsidRDefault="00CF6655" w:rsidP="00CF6655">
      <w:pPr>
        <w:pStyle w:val="Text"/>
      </w:pPr>
      <w:r>
        <w:t>Akzeptieren wir also, dass Vorgehensweisen des fiktionalen Texts (wie: Edieren, Hinzufügen, Löschen, ästhetisierende Darstellung, Veränderung und Erfindung von Inhalten) auch beim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zur Anwendung kommen, dann ist die Gattungszuordnung an dieser Stelle nicht mehr sinnvoll. Man sollte dann lieber von einem </w:t>
      </w:r>
      <w:r>
        <w:rPr>
          <w:i/>
          <w:iCs/>
        </w:rPr>
        <w:t>Reisetagebuch</w:t>
      </w:r>
      <w:r w:rsidR="00363C1C">
        <w:rPr>
          <w:i/>
          <w:iCs/>
        </w:rPr>
        <w:fldChar w:fldCharType="begin"/>
      </w:r>
      <w:r w:rsidR="003264BA">
        <w:instrText xml:space="preserve"> XE "</w:instrText>
      </w:r>
      <w:r w:rsidR="003264BA" w:rsidRPr="00DB5853">
        <w:rPr>
          <w:i/>
          <w:iCs/>
        </w:rPr>
        <w:instrText>Reisetagebuch</w:instrText>
      </w:r>
      <w:r w:rsidR="003264BA">
        <w:instrText xml:space="preserve">" </w:instrText>
      </w:r>
      <w:r w:rsidR="00363C1C">
        <w:rPr>
          <w:i/>
          <w:iCs/>
        </w:rPr>
        <w:fldChar w:fldCharType="end"/>
      </w:r>
      <w:r>
        <w:rPr>
          <w:i/>
          <w:iCs/>
        </w:rPr>
        <w:t xml:space="preserve"> </w:t>
      </w:r>
      <w:r>
        <w:t>sprechen.</w:t>
      </w:r>
    </w:p>
    <w:p w:rsidR="00CF6655" w:rsidRDefault="00CF6655" w:rsidP="00832005">
      <w:pPr>
        <w:pStyle w:val="Titel3"/>
      </w:pPr>
      <w:bookmarkStart w:id="66" w:name="_Toc130260664"/>
      <w:bookmarkStart w:id="67" w:name="_Ref325354168"/>
      <w:bookmarkStart w:id="68" w:name="_Ref325354258"/>
      <w:bookmarkStart w:id="69" w:name="_Toc327387964"/>
      <w:r>
        <w:t xml:space="preserve">Die </w:t>
      </w:r>
      <w:r w:rsidRPr="00832005">
        <w:t>Erzählstruktur</w:t>
      </w:r>
      <w:bookmarkEnd w:id="66"/>
      <w:bookmarkEnd w:id="67"/>
      <w:bookmarkEnd w:id="68"/>
      <w:bookmarkEnd w:id="69"/>
    </w:p>
    <w:p w:rsidR="00CF6655" w:rsidRDefault="00CF6655" w:rsidP="00832005">
      <w:pPr>
        <w:pStyle w:val="Text"/>
        <w:ind w:firstLine="0"/>
      </w:pPr>
      <w:r>
        <w:t xml:space="preserve">Für die Bezeichnung als </w:t>
      </w:r>
      <w:r>
        <w:rPr>
          <w:i/>
          <w:iCs/>
        </w:rPr>
        <w:t xml:space="preserve">Tagebuch </w:t>
      </w:r>
      <w:r>
        <w:t>spricht vor allem die streng chronologische Darstellungsweise, die davon absieht, Themen nach inhaltlichen Gesichtspun</w:t>
      </w:r>
      <w:r>
        <w:t>k</w:t>
      </w:r>
      <w:r>
        <w:t>ten zusammenzustellen. Ein typischer Berichtstag sieht so aus (durch Herau</w:t>
      </w:r>
      <w:r>
        <w:t>s</w:t>
      </w:r>
      <w:r>
        <w:t>nahme des thematischen Materials sozusagen ‚skelettiert‘):</w:t>
      </w:r>
    </w:p>
    <w:p w:rsidR="00CF6655" w:rsidRDefault="00CF6655" w:rsidP="007E31C0">
      <w:pPr>
        <w:pStyle w:val="ZitatAbsto"/>
      </w:pPr>
      <w:r>
        <w:t>Montag den 13. November 1905</w:t>
      </w:r>
    </w:p>
    <w:p w:rsidR="00CF6655" w:rsidRDefault="00CF6655" w:rsidP="007E31C0">
      <w:pPr>
        <w:pStyle w:val="ZitatAbstu"/>
      </w:pPr>
      <w:r>
        <w:t>Das Wetter war heute herrlich schön und die Sonne schien prächtig, als ich um 6 Uhr aufstand. Ich hatte vor dem Frühstück mancherlei zu ordnen […]. Morgens von ½ 9</w:t>
      </w:r>
      <w:r w:rsidR="00081453">
        <w:t xml:space="preserve"> – </w:t>
      </w:r>
      <w:r>
        <w:t>12 Uhr hatten wir unsere letzte Sitzung mit den Ältesten. [Inh. d. Sitzung] Alsdann schloß ich die Sitzung mit den Ältesten mit einer an 1. Johs I sich anschließenden längeren Ansprache und Gebet. Am Schluß de</w:t>
      </w:r>
      <w:r>
        <w:t>r</w:t>
      </w:r>
      <w:r>
        <w:t>selben war Bruder Doenges</w:t>
      </w:r>
      <w:r w:rsidR="00363C1C">
        <w:fldChar w:fldCharType="begin"/>
      </w:r>
      <w:r w:rsidR="00710612">
        <w:instrText xml:space="preserve"> XE "</w:instrText>
      </w:r>
      <w:r w:rsidR="00710612" w:rsidRPr="00015866">
        <w:instrText>Doenges, Br.</w:instrText>
      </w:r>
      <w:r w:rsidR="00710612">
        <w:instrText xml:space="preserve">" </w:instrText>
      </w:r>
      <w:r w:rsidR="00363C1C">
        <w:fldChar w:fldCharType="end"/>
      </w:r>
      <w:r>
        <w:t xml:space="preserve"> erschienen. Nachmittags von 5 Uhr ab fand dann eine Sitzung ohne die Ältesten in deutscher Sprache statt. Bruder Doenges</w:t>
      </w:r>
      <w:r w:rsidR="00363C1C">
        <w:fldChar w:fldCharType="begin"/>
      </w:r>
      <w:r w:rsidR="00710612">
        <w:instrText xml:space="preserve"> XE "</w:instrText>
      </w:r>
      <w:r w:rsidR="00710612" w:rsidRPr="00015866">
        <w:instrText>Doenges, Br.</w:instrText>
      </w:r>
      <w:r w:rsidR="00710612">
        <w:instrText xml:space="preserve">" </w:instrText>
      </w:r>
      <w:r w:rsidR="00363C1C">
        <w:fldChar w:fldCharType="end"/>
      </w:r>
      <w:r>
        <w:t xml:space="preserve"> […] begrüßte ich feierlich und herzlich im Namen der Conferenz. [Inh. d. Sitzung] – </w:t>
      </w:r>
      <w:proofErr w:type="gramStart"/>
      <w:r>
        <w:t>Abends</w:t>
      </w:r>
      <w:proofErr w:type="gramEnd"/>
      <w:r>
        <w:t xml:space="preserve"> um ½ 8 Uhr folgten wir einer Einladung der farbigen Frauen der hi</w:t>
      </w:r>
      <w:r>
        <w:t>e</w:t>
      </w:r>
      <w:r>
        <w:t xml:space="preserve">sigen Gemeinde zu einem gemeinsamen Mahl […]. Die Frauen hatten uns </w:t>
      </w:r>
      <w:proofErr w:type="gramStart"/>
      <w:r>
        <w:t>eine sehr gutes, ja fast opulentes</w:t>
      </w:r>
      <w:proofErr w:type="gramEnd"/>
      <w:r>
        <w:t xml:space="preserve"> Mahl bereitet. […] [Nach dem Essen] trat der Stellenboscher Älteste Jacobus Gabrielse</w:t>
      </w:r>
      <w:r w:rsidR="00363C1C">
        <w:fldChar w:fldCharType="begin"/>
      </w:r>
      <w:r w:rsidR="00AA2655">
        <w:instrText xml:space="preserve"> XE "</w:instrText>
      </w:r>
      <w:r w:rsidR="00AA2655" w:rsidRPr="0018782C">
        <w:instrText>Jacobus Gabrielse</w:instrText>
      </w:r>
      <w:r w:rsidR="00AA2655">
        <w:instrText xml:space="preserve">" </w:instrText>
      </w:r>
      <w:r w:rsidR="00363C1C">
        <w:fldChar w:fldCharType="end"/>
      </w:r>
      <w:r>
        <w:t xml:space="preserve"> auf […]. So hatte ich dann auch in längerer Ansprache zu antworten. […] Erst gegen 11 Uhr kamen wir nach Hause.</w:t>
      </w:r>
    </w:p>
    <w:p w:rsidR="00CF6655" w:rsidRDefault="00CF6655" w:rsidP="00832005">
      <w:pPr>
        <w:pStyle w:val="Text"/>
        <w:ind w:firstLine="0"/>
      </w:pPr>
      <w:r>
        <w:t>Zwei Punkte sind hier wichtig, da sie durchgehend im ganzen Tagebuch zu b</w:t>
      </w:r>
      <w:r>
        <w:t>e</w:t>
      </w:r>
      <w:r>
        <w:t>obachten sind:</w:t>
      </w:r>
    </w:p>
    <w:p w:rsidR="00CF6655" w:rsidRDefault="00CF6655" w:rsidP="00CF6655">
      <w:pPr>
        <w:pStyle w:val="Text"/>
      </w:pPr>
      <w:r>
        <w:t>1. Das Berichtete wird in einen festen Rahmen eingespannt. Innerhalb di</w:t>
      </w:r>
      <w:r>
        <w:t>e</w:t>
      </w:r>
      <w:r>
        <w:t>ses Rahmens gibt es Platz für Bewertungen, Beobachtungen und Urteile. D</w:t>
      </w:r>
      <w:r>
        <w:t>a</w:t>
      </w:r>
      <w:r>
        <w:t>durch gelingt es Spiecker, der wenig Interesse an oder Zeit für literarischen Fei</w:t>
      </w:r>
      <w:r>
        <w:t>n</w:t>
      </w:r>
      <w:r>
        <w:t>schliff gehabt haben dürfte, dass das in den kurzen Lücken des Tageplans Aufg</w:t>
      </w:r>
      <w:r>
        <w:t>e</w:t>
      </w:r>
      <w:r>
        <w:t>schriebene immerhin eine Form bekommt: Unzusammenhängende Notizen, Bruchstücke oder Gedankensprünge können so vermieden werden.</w:t>
      </w:r>
    </w:p>
    <w:p w:rsidR="00CF6655" w:rsidRDefault="00CF6655" w:rsidP="00CF6655">
      <w:pPr>
        <w:pStyle w:val="Text"/>
      </w:pPr>
      <w:r>
        <w:t>2. Nur innerhalb der „Einzelpunkte“ gibt es dann typischerweise kleine Zusammenfassungen der Lage, Verweise auf Problemstellungen oder vorige B</w:t>
      </w:r>
      <w:r>
        <w:t>e</w:t>
      </w:r>
      <w:r>
        <w:t>gegnungen, Urteile und manchmal den Ausdruck von Gefühlen. Wenn es zu e</w:t>
      </w:r>
      <w:r>
        <w:t>i</w:t>
      </w:r>
      <w:r>
        <w:t>ner kurzen Darstellung der Geschichte einer Missionsstation kommt, dann mei</w:t>
      </w:r>
      <w:r>
        <w:t>s</w:t>
      </w:r>
      <w:r>
        <w:lastRenderedPageBreak/>
        <w:t>tens in dem Berichtsmoment, wo er die Revision der Bücher vornimmt oder mit dem Missionar eine grundsätzliche Lagebesprechung abhält. Gelegentlich we</w:t>
      </w:r>
      <w:r>
        <w:t>r</w:t>
      </w:r>
      <w:r>
        <w:t>den weitläufige Thematiken in kurzer und eleganter Form präzise zusammeng</w:t>
      </w:r>
      <w:r>
        <w:t>e</w:t>
      </w:r>
      <w:r>
        <w:t>fasst; Beispiele dieser Art werden im Folgenden manchmal zitiert werden. Im Tagebuch selbst haben sie aus den genannten Gründen immer etwas Beiläufiges; sie wirken fast wie „nebenher hingeworfen“ und haben sich der strengen Gesta</w:t>
      </w:r>
      <w:r>
        <w:t>l</w:t>
      </w:r>
      <w:r>
        <w:t>tung zu fügen.</w:t>
      </w:r>
    </w:p>
    <w:p w:rsidR="00CF6655" w:rsidRDefault="00CF6655" w:rsidP="00832005">
      <w:pPr>
        <w:pStyle w:val="Titel3"/>
      </w:pPr>
      <w:bookmarkStart w:id="70" w:name="_Toc130260665"/>
      <w:bookmarkStart w:id="71" w:name="_Toc327387965"/>
      <w:r>
        <w:t>Leseweisen des Reiseberichts</w:t>
      </w:r>
      <w:bookmarkEnd w:id="70"/>
      <w:bookmarkEnd w:id="71"/>
    </w:p>
    <w:p w:rsidR="00CF6655" w:rsidRDefault="00CF6655" w:rsidP="00832005">
      <w:pPr>
        <w:pStyle w:val="Text"/>
        <w:ind w:firstLine="0"/>
      </w:pPr>
      <w:r>
        <w:t>Durch diese selbstauferlegte Berichtsdisziplin wirkt Spieckers Bericht, vom Standpunkt der Lesbarkeit gesehen, oft trocken. Dies gilt, obwohl es sowohl spannungsgeladene als auch reflektierende und nicht zuletzt humorvolle Pass</w:t>
      </w:r>
      <w:r>
        <w:t>a</w:t>
      </w:r>
      <w:r>
        <w:t xml:space="preserve">gen gibt, die aber die Ausnahme </w:t>
      </w:r>
      <w:proofErr w:type="gramStart"/>
      <w:r>
        <w:t>bleiben</w:t>
      </w:r>
      <w:proofErr w:type="gramEnd"/>
      <w:r>
        <w:t>.</w:t>
      </w:r>
    </w:p>
    <w:p w:rsidR="00CF6655" w:rsidRDefault="00CF6655" w:rsidP="00CF6655">
      <w:pPr>
        <w:pStyle w:val="Text"/>
      </w:pPr>
      <w:r>
        <w:t>Betrachten wir das Tagebuch unter dem Gesichtspunkt von drei denkbaren Leseweisen: Mehr als 10 Seiten am Stück zu lesen (a), wird wohl für jeden noch nicht mit den historischen Umständen und den erwähnten Personen vertrauten Leser zur Arbeit, da nur selten längere Episoden den ständigen Wechsel von Ort, Personen und Handlung unterbrechen. Zugleich ist das Tagebuch, wenn man es (b) immer wieder zur Hand nimmt und sich häppchenweise ‚zu Gemüte führt‘, sehr interessant. Doch auch diese Art des Lesens hat ihre Nachteile, da sich die thematischen Gesichtspunkte nicht zu kohärenten Erzählsträngen fügen, so</w:t>
      </w:r>
      <w:r>
        <w:t>n</w:t>
      </w:r>
      <w:r>
        <w:t>dern über größere Strecken hinweg in kleinen Einheiten, oft Einzelsätzen, mi</w:t>
      </w:r>
      <w:r>
        <w:t>t</w:t>
      </w:r>
      <w:r>
        <w:t>geteilt werden. Aus diesem Grund ist auch (c) das „Querlesen“ eine problemat</w:t>
      </w:r>
      <w:r>
        <w:t>i</w:t>
      </w:r>
      <w:r>
        <w:t>sche Leseweise. Dies wird durch die fehlende Einführung der zahlreichen vo</w:t>
      </w:r>
      <w:r>
        <w:t>r</w:t>
      </w:r>
      <w:r>
        <w:t>kommenden Personen noch verstärkt.</w:t>
      </w:r>
    </w:p>
    <w:p w:rsidR="00CF6655" w:rsidRDefault="00CF6655" w:rsidP="00CF6655">
      <w:pPr>
        <w:pStyle w:val="Text"/>
      </w:pPr>
      <w:r>
        <w:t xml:space="preserve">Es fällt also die </w:t>
      </w:r>
      <w:r>
        <w:rPr>
          <w:i/>
          <w:iCs/>
        </w:rPr>
        <w:t xml:space="preserve">Sprödigkeit der Darstellung </w:t>
      </w:r>
      <w:r>
        <w:t>auf, die in deutlichem (und mö</w:t>
      </w:r>
      <w:r>
        <w:t>g</w:t>
      </w:r>
      <w:r>
        <w:t>licherweise bewusstem) Gegensatz zu den literarischen Konventionen der Reis</w:t>
      </w:r>
      <w:r>
        <w:t>e</w:t>
      </w:r>
      <w:r>
        <w:t>literatur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steht und die genannten Leseweisen konterkariert, die mit dem Reiseb</w:t>
      </w:r>
      <w:r>
        <w:t>e</w:t>
      </w:r>
      <w:r>
        <w:t>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gewöhnlich in Zusammenhang gebracht werden: (a) rasches, spannungsg</w:t>
      </w:r>
      <w:r>
        <w:t>e</w:t>
      </w:r>
      <w:r>
        <w:t>bundenes Lesen (‚Hinunterschlingen‘), (b) Lesen in kleinen Stücken (‚Gute</w:t>
      </w:r>
      <w:r>
        <w:t>n</w:t>
      </w:r>
      <w:r>
        <w:t>achtlektüre‘) und (c) Querlesen auf der Suche nach interessanten oder pikare</w:t>
      </w:r>
      <w:r>
        <w:t>s</w:t>
      </w:r>
      <w:r>
        <w:t>ken Episoden, eindrucksvollen Beschreibungen oder nach thematischen Gesichtspunkten (‚Blättern‘).</w:t>
      </w:r>
    </w:p>
    <w:p w:rsidR="00CF6655" w:rsidRDefault="00CF6655" w:rsidP="00CF6655">
      <w:pPr>
        <w:pStyle w:val="Text"/>
      </w:pPr>
      <w:r>
        <w:t>Im ‚idealen‘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wird dagegen (a) ein spannendes Leseerlebnis a</w:t>
      </w:r>
      <w:r>
        <w:t>n</w:t>
      </w:r>
      <w:r>
        <w:t>gestrebt, das einem zum Immer-Weiter-Lesen geradezu zwingt, während alles andere – thematische Kohärenz, inhaltliche Logik, Qualität des Stils – notfalls dahinter zurücktreten darf; (b) Geschehnisse, Beobachtungen und Themen we</w:t>
      </w:r>
      <w:r>
        <w:t>r</w:t>
      </w:r>
      <w:r>
        <w:t>den in Episoden verdaulicher Länge zusammengefasst und (c) ein gegliedertes Wiederaufnehmen von Handlungssträngen macht es einem möglich, an vielen Stellen des Berichts einzusteigen. Nichts davon ist in Spieckers Reisebericht i</w:t>
      </w:r>
      <w:r>
        <w:t>n</w:t>
      </w:r>
      <w:r>
        <w:t>tendiert; teilweise scheint es so, dass er sich von solchen Anforderungen des Re</w:t>
      </w:r>
      <w:r>
        <w:t>i</w:t>
      </w:r>
      <w:r>
        <w:lastRenderedPageBreak/>
        <w:t>seberichts gezielt distanziert und es damit bewusst ablehnt, einen solchen zu schreiben.</w:t>
      </w:r>
    </w:p>
    <w:p w:rsidR="00CF6655" w:rsidRDefault="00CF6655" w:rsidP="00832005">
      <w:pPr>
        <w:pStyle w:val="Titel3"/>
      </w:pPr>
      <w:bookmarkStart w:id="72" w:name="_Toc130260666"/>
      <w:bookmarkStart w:id="73" w:name="_Toc327387966"/>
      <w:r w:rsidRPr="00832005">
        <w:t>Spieckers</w:t>
      </w:r>
      <w:r>
        <w:t xml:space="preserve"> Bericht als Tagebuch</w:t>
      </w:r>
      <w:bookmarkEnd w:id="72"/>
      <w:bookmarkEnd w:id="73"/>
    </w:p>
    <w:p w:rsidR="00CF6655" w:rsidRDefault="00CF6655" w:rsidP="00832005">
      <w:pPr>
        <w:pStyle w:val="Text"/>
        <w:ind w:firstLine="0"/>
      </w:pPr>
      <w:r>
        <w:t>Für das Tagebuch sind dagegen die bei Spiecker zu beobachtenden genannten Eigenschaften charakteristisch:</w:t>
      </w:r>
    </w:p>
    <w:p w:rsidR="00CF6655" w:rsidRDefault="00CF6655" w:rsidP="00832005">
      <w:pPr>
        <w:pStyle w:val="Text"/>
        <w:ind w:firstLine="0"/>
      </w:pPr>
      <w:r>
        <w:t>–</w:t>
      </w:r>
      <w:r w:rsidR="00832005">
        <w:tab/>
      </w:r>
      <w:r>
        <w:t>Gliederung in Einzeltage, die häufig chronologisch dargestellt werden;</w:t>
      </w:r>
    </w:p>
    <w:p w:rsidR="00CF6655" w:rsidRDefault="00CF6655" w:rsidP="00832005">
      <w:pPr>
        <w:pStyle w:val="Text"/>
        <w:ind w:firstLine="0"/>
      </w:pPr>
      <w:r>
        <w:t>–</w:t>
      </w:r>
      <w:r w:rsidR="00832005">
        <w:tab/>
      </w:r>
      <w:r>
        <w:t>Verzicht auf Spannungseffekte;</w:t>
      </w:r>
    </w:p>
    <w:p w:rsidR="00CF6655" w:rsidRDefault="00CF6655" w:rsidP="00832005">
      <w:pPr>
        <w:pStyle w:val="Text"/>
        <w:ind w:firstLine="0"/>
      </w:pPr>
      <w:r>
        <w:t>–</w:t>
      </w:r>
      <w:r w:rsidR="00832005">
        <w:tab/>
      </w:r>
      <w:r>
        <w:t>keine thematische Anknüpfung, sondern beiläufige „Einzelsätze“ zu b</w:t>
      </w:r>
      <w:r>
        <w:t>e</w:t>
      </w:r>
      <w:r>
        <w:t>stimmten Themen;</w:t>
      </w:r>
    </w:p>
    <w:p w:rsidR="00CF6655" w:rsidRDefault="00CF6655" w:rsidP="00832005">
      <w:pPr>
        <w:pStyle w:val="Text"/>
        <w:ind w:firstLine="0"/>
      </w:pPr>
      <w:r>
        <w:t>–</w:t>
      </w:r>
      <w:r w:rsidR="00832005">
        <w:tab/>
      </w:r>
      <w:r>
        <w:t>keine Einführung von</w:t>
      </w:r>
      <w:r w:rsidR="00117A37">
        <w:t xml:space="preserve"> Personen oder Hintergründen</w:t>
      </w:r>
      <w:r w:rsidR="007F6F8C">
        <w:t xml:space="preserve"> und somit </w:t>
      </w:r>
      <w:r>
        <w:t>„Inside</w:t>
      </w:r>
      <w:r>
        <w:t>r</w:t>
      </w:r>
      <w:r>
        <w:t>charakter“;</w:t>
      </w:r>
    </w:p>
    <w:p w:rsidR="00CF6655" w:rsidRDefault="00CF6655" w:rsidP="00832005">
      <w:pPr>
        <w:pStyle w:val="Text"/>
        <w:ind w:firstLine="0"/>
      </w:pPr>
      <w:r>
        <w:t>–</w:t>
      </w:r>
      <w:r w:rsidR="00832005">
        <w:tab/>
      </w:r>
      <w:r>
        <w:t>bisheriges wird ohne Verweis vorausgesetzt.</w:t>
      </w:r>
    </w:p>
    <w:p w:rsidR="00CF6655" w:rsidRDefault="00CF6655" w:rsidP="00CF6655">
      <w:pPr>
        <w:pStyle w:val="Text"/>
      </w:pPr>
      <w:r>
        <w:t>Einige Eigenschaften von Spieckers Tagebuch sind dagegen für Tagebücher untypisch:</w:t>
      </w:r>
    </w:p>
    <w:p w:rsidR="00CF6655" w:rsidRDefault="00CF6655" w:rsidP="00832005">
      <w:pPr>
        <w:pStyle w:val="Text"/>
        <w:ind w:firstLine="0"/>
      </w:pPr>
      <w:r>
        <w:t>–</w:t>
      </w:r>
      <w:r w:rsidR="00832005">
        <w:tab/>
      </w:r>
      <w:r>
        <w:t>strenge Gliederung (Tagebücher sind formal häufig aufgelockerter und re</w:t>
      </w:r>
      <w:r>
        <w:t>i</w:t>
      </w:r>
      <w:r>
        <w:t>chen von protokollartigen Passagen über philosophische Reflexionen bis zu L</w:t>
      </w:r>
      <w:r>
        <w:t>y</w:t>
      </w:r>
      <w:r>
        <w:t>rik);</w:t>
      </w:r>
    </w:p>
    <w:p w:rsidR="00CF6655" w:rsidRDefault="00CF6655" w:rsidP="00832005">
      <w:pPr>
        <w:pStyle w:val="Text"/>
        <w:ind w:firstLine="0"/>
      </w:pPr>
      <w:r>
        <w:t>–</w:t>
      </w:r>
      <w:r w:rsidR="00832005">
        <w:tab/>
      </w:r>
      <w:r>
        <w:t>strikte Beachtung des Zeitablaufs (Tagebücher halten sich selten so streng daran, sie erlauben mehr Flexibilität innerhalb der jeweils berichteten Zeitspanne seit dem letzten Eintrag);</w:t>
      </w:r>
    </w:p>
    <w:p w:rsidR="00CF6655" w:rsidRDefault="00CF6655" w:rsidP="00832005">
      <w:pPr>
        <w:pStyle w:val="Text"/>
        <w:ind w:firstLine="0"/>
      </w:pPr>
      <w:r>
        <w:t>–</w:t>
      </w:r>
      <w:r w:rsidR="00832005">
        <w:tab/>
      </w:r>
      <w:r>
        <w:t xml:space="preserve">geringer Intimitätsgrad (Gefühle werden nur selten ausgesprochen, und dann nur wenn sie zweifelsfrei zu rechtfertigen sind, </w:t>
      </w:r>
      <w:r w:rsidR="00A27C71">
        <w:t>etwa</w:t>
      </w:r>
      <w:r>
        <w:t xml:space="preserve"> wenn es um das Schicksal eines ganzen Volkes geht (916f))</w:t>
      </w:r>
    </w:p>
    <w:p w:rsidR="00CF6655" w:rsidRDefault="00CF6655" w:rsidP="00CF6655">
      <w:pPr>
        <w:pStyle w:val="Text"/>
      </w:pPr>
      <w:r>
        <w:t>Interessant ist, dass Spiecker seine strenge Berichtsweise nur einmal unte</w:t>
      </w:r>
      <w:r>
        <w:t>r</w:t>
      </w:r>
      <w:r>
        <w:t>bricht – dies geschieht zwangsweise bei der schweren Erkrankung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(629ff). Zunächst berichtet er noch im Rückblick genau die ersten Symptome und das rasche Einsetzen der Krankheit. Danach erlaubt er es sich, die zwischen Leben und Tod (629) verbrachte Zeit etwas ungenauer darzustellen als gewöh</w:t>
      </w:r>
      <w:r>
        <w:t>n</w:t>
      </w:r>
      <w:r>
        <w:t>lich; vor allem wohl deshalb, weil er einzelne Ereignisse nicht mehr genau zei</w:t>
      </w:r>
      <w:r>
        <w:t>t</w:t>
      </w:r>
      <w:r>
        <w:t>lich zuordnen kann! Hier geht dem streng disziplinierten, abendländisch nach der Uhr Lebenden plötzlich die Zeit ‚aus dem Leim‘; und nur hier – wenn sein Körper so geschwächt ist, dass er nicht anders kann – darf er seine Selbstdiszi</w:t>
      </w:r>
      <w:r>
        <w:t>p</w:t>
      </w:r>
      <w:r>
        <w:t>lin lockern. Gerade dadurch wirkt eine solche Stelle, bei der Spiecker peinlich jedwedes Pathos oder Gefühl vermeidet, auf den Leser anrührend, fast erschü</w:t>
      </w:r>
      <w:r>
        <w:t>t</w:t>
      </w:r>
      <w:r>
        <w:t>ternd: Gerade in der Unfreiwilligkeit, mit der die auf 2000 Tagebuchseiten eisern durchgehaltene Ordnung hier durchbrochen wird, entsteht auf formaler Ebene ein eindrucksvoller Effekt.</w:t>
      </w:r>
    </w:p>
    <w:p w:rsidR="00CF6655" w:rsidRDefault="00CF6655" w:rsidP="00CF6655">
      <w:pPr>
        <w:pStyle w:val="Text"/>
      </w:pPr>
      <w:r>
        <w:t>Spiecker selbst schreibt über die erste Seite „Mein Tagebuch“. Diese ‚prot</w:t>
      </w:r>
      <w:r>
        <w:t>o</w:t>
      </w:r>
      <w:r>
        <w:t>typische‘ Überschrift, die ja als Einbandaufdruck fast eine Konvention darstellt – wobei das Possessivpronomen den persönlichen Charakter des Tagebuchs b</w:t>
      </w:r>
      <w:r>
        <w:t>e</w:t>
      </w:r>
      <w:r>
        <w:t xml:space="preserve">tont, dem man wie einer nahestehenden Bezugsperson vieles anvertraut –, wirkt </w:t>
      </w:r>
      <w:r>
        <w:lastRenderedPageBreak/>
        <w:t>als handschriftliche Notiz fast als ‚Beschwörung‘ bzw. gezielter Aufruf des Ga</w:t>
      </w:r>
      <w:r>
        <w:t>t</w:t>
      </w:r>
      <w:r>
        <w:t>tungscharakters. Spiecker setzt sich die Darstellungsweise des Tagebuchs als Ziel; es soll kein objektiver „Bericht“ werden, wie die Visitationsberichte, die Spiecker parallel verfasste,</w:t>
      </w:r>
      <w:r>
        <w:rPr>
          <w:rStyle w:val="Funotenzeichen"/>
        </w:rPr>
        <w:footnoteReference w:id="36"/>
      </w:r>
      <w:r>
        <w:t xml:space="preserve"> sondern eben den persönlichen, spontanen und u</w:t>
      </w:r>
      <w:r>
        <w:t>n</w:t>
      </w:r>
      <w:r>
        <w:t>zensierten Charakter annehmen, den man damals wie heute einem Tagebuch z</w:t>
      </w:r>
      <w:r>
        <w:t>u</w:t>
      </w:r>
      <w:r>
        <w:t>schrieb.</w:t>
      </w:r>
      <w:r>
        <w:rPr>
          <w:rStyle w:val="Funotenzeichen"/>
        </w:rPr>
        <w:footnoteReference w:id="37"/>
      </w:r>
      <w:r>
        <w:t xml:space="preserve"> Dazu passt, dass Spiecker die Tagebuchseiten paketweise an seine Frau in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schickte, die sie dann ins Missionshaus brachte.</w:t>
      </w:r>
      <w:r>
        <w:rPr>
          <w:rStyle w:val="Funotenzeichen"/>
        </w:rPr>
        <w:footnoteReference w:id="38"/>
      </w:r>
      <w:r>
        <w:t xml:space="preserve"> Während seine Frau also die erste Leserin war, blieb sie doch nicht die einzige, und der – wenn man die Überschrift „Mein Tagebuch“ so weitgehend interpretieren will – </w:t>
      </w:r>
      <w:proofErr w:type="gramStart"/>
      <w:r>
        <w:t>intendierte persönliche</w:t>
      </w:r>
      <w:proofErr w:type="gramEnd"/>
      <w:r>
        <w:t xml:space="preserve"> Charakter wurde durch dieses Bewusstsein gestört, so dass der T</w:t>
      </w:r>
      <w:r>
        <w:t>a</w:t>
      </w:r>
      <w:r>
        <w:t>gebuchcharakter, wie oben gezeigt, unvollständig bleibt. Immerhin ist Spiecker im Tagebuch in manchen Punkten offener als im offiziellen Visitationsbericht.</w:t>
      </w:r>
      <w:r>
        <w:rPr>
          <w:rStyle w:val="Funotenzeichen"/>
        </w:rPr>
        <w:footnoteReference w:id="39"/>
      </w:r>
    </w:p>
    <w:p w:rsidR="00CF6655" w:rsidRDefault="00CF6655" w:rsidP="00832005">
      <w:pPr>
        <w:pStyle w:val="Titel3"/>
      </w:pPr>
      <w:bookmarkStart w:id="74" w:name="_Toc130260667"/>
      <w:bookmarkStart w:id="75" w:name="_Toc327387967"/>
      <w:r>
        <w:t>… und Zeitdokument</w:t>
      </w:r>
      <w:bookmarkEnd w:id="74"/>
      <w:bookmarkEnd w:id="75"/>
    </w:p>
    <w:p w:rsidR="00CF6655" w:rsidRDefault="00CF6655" w:rsidP="00832005">
      <w:pPr>
        <w:pStyle w:val="Text"/>
        <w:ind w:firstLine="0"/>
      </w:pPr>
      <w:r>
        <w:t>Spieckers Tagebuch stellt zugleich ein Zeitdokument dar. Zwar soll, wie in der Einleitung bereits erläutert wurde, hier auf eine geschichtswissenschaftliche Herangehensweise bewusst verzichtet werden, da dabei das Tagebuch als Quelle benutzt würde und zwangsläufig in seiner Textualität zurücktreten müsste. In dieser Arbeit soll jedoch gerade der Charakter als Text, als autonomes schriftl</w:t>
      </w:r>
      <w:r>
        <w:t>i</w:t>
      </w:r>
      <w:r>
        <w:t>ches Dokument im Vordergrund stehen.</w:t>
      </w:r>
    </w:p>
    <w:p w:rsidR="00CF6655" w:rsidRDefault="00CF6655" w:rsidP="00CF6655">
      <w:pPr>
        <w:pStyle w:val="Text"/>
      </w:pPr>
      <w:r>
        <w:t>Zugleich handelt es sich aber um einen Text, der von historischen Gegebe</w:t>
      </w:r>
      <w:r>
        <w:t>n</w:t>
      </w:r>
      <w:r>
        <w:t>heiten stark bestimmt wurde, ja zu einem wichtigen Teil direkt von ihnen ha</w:t>
      </w:r>
      <w:r>
        <w:t>n</w:t>
      </w:r>
      <w:r>
        <w:t>delt! Da wir für eine sorgfältige Lektüre diese Gegebenheiten natürlich mit ei</w:t>
      </w:r>
      <w:r>
        <w:t>n</w:t>
      </w:r>
      <w:r>
        <w:t>beziehen müssen, geraten wir wieder von Neuem in die Gefahr, uns im histor</w:t>
      </w:r>
      <w:r>
        <w:t>i</w:t>
      </w:r>
      <w:r>
        <w:t>schen Abgleich zahlreicher komplexer Themen zu verlieren und ‚den Wald vor lauter Bäumen nicht zu sehen‘.</w:t>
      </w:r>
    </w:p>
    <w:p w:rsidR="00CF6655" w:rsidRDefault="00CF6655" w:rsidP="00CF6655">
      <w:pPr>
        <w:pStyle w:val="Text"/>
      </w:pPr>
      <w:r>
        <w:t>Diese Schwierigkeit lässt sich jedoch durch Bezugnahme auf ein Fo</w:t>
      </w:r>
      <w:r>
        <w:t>r</w:t>
      </w:r>
      <w:r>
        <w:t xml:space="preserve">schungsgebiet überwinden, das in England, Frankreich und anderen ehemaligen </w:t>
      </w:r>
      <w:r>
        <w:lastRenderedPageBreak/>
        <w:t>Kolonialnationen seit Ende der 70er Jahre einflussreich wurde: die Theorie des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Diese in Deutschland in der Beschäftigung mit der eigenen Kolonialgeschichte</w:t>
      </w:r>
      <w:r w:rsidR="00363C1C">
        <w:fldChar w:fldCharType="begin"/>
      </w:r>
      <w:r w:rsidR="003264BA">
        <w:instrText xml:space="preserve"> XE "</w:instrText>
      </w:r>
      <w:r w:rsidR="003264BA" w:rsidRPr="009F1046">
        <w:instrText>Kolonialgeschichte</w:instrText>
      </w:r>
      <w:r w:rsidR="003264BA">
        <w:instrText xml:space="preserve">" </w:instrText>
      </w:r>
      <w:r w:rsidR="00363C1C">
        <w:fldChar w:fldCharType="end"/>
      </w:r>
      <w:r>
        <w:t xml:space="preserve"> leider noch relativ wenig angewandte Theorie betrachtet Te</w:t>
      </w:r>
      <w:r>
        <w:t>x</w:t>
      </w:r>
      <w:r>
        <w:t>te in ihren kolonialen Entstehungshintergründen und zugleich unter diskursan</w:t>
      </w:r>
      <w:r>
        <w:t>a</w:t>
      </w:r>
      <w:r>
        <w:t>lytischen Gesichtspunkten als Teil des Kolonialsystems und seines allumfasse</w:t>
      </w:r>
      <w:r>
        <w:t>n</w:t>
      </w:r>
      <w:r>
        <w:t>den Weltbilds, dessen Spuren sie in der individuellen Textproduktion nachweist.</w:t>
      </w:r>
    </w:p>
    <w:p w:rsidR="00CF6655" w:rsidRDefault="00CF6655" w:rsidP="00CF6655">
      <w:pPr>
        <w:pStyle w:val="Text"/>
      </w:pPr>
      <w:r>
        <w:t>Die Anwendung des postkolonialen Ansatzes auf Reiseliteratur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hat Mary Louise Pratt exemplarisch in ihrem Buch „Imperial Eyes: Travel Writing and Transculturation“ vorgeführt.</w:t>
      </w:r>
      <w:r>
        <w:rPr>
          <w:rStyle w:val="Funotenzeichen"/>
          <w:lang w:val="en-GB"/>
        </w:rPr>
        <w:footnoteReference w:id="40"/>
      </w:r>
      <w:r>
        <w:t xml:space="preserve"> Seitdem sind viele Studien zum Thema erschi</w:t>
      </w:r>
      <w:r>
        <w:t>e</w:t>
      </w:r>
      <w:r>
        <w:t>nen. Hier soll jedoch keine Darstellung dieser spezifischen Analyseansätze erfo</w:t>
      </w:r>
      <w:r>
        <w:t>l</w:t>
      </w:r>
      <w:r>
        <w:t>gen, die den Theorieapparat zu sehr aufblähen würde. – Es bleibt dabei: Spieckers Tagebuch selbst soll möglichst viel Raum in dieser Arbeit einnehmen!</w:t>
      </w:r>
    </w:p>
    <w:p w:rsidR="00CF6655" w:rsidRDefault="00CF6655" w:rsidP="00CF6655">
      <w:pPr>
        <w:pStyle w:val="Text"/>
      </w:pPr>
      <w:r>
        <w:t>Daher wird die postkoloniale Theorie zunächst nur kurz eingeführt (A</w:t>
      </w:r>
      <w:r>
        <w:t>b</w:t>
      </w:r>
      <w:r>
        <w:t xml:space="preserve">schnitt </w:t>
      </w:r>
      <w:r w:rsidR="00363C1C">
        <w:fldChar w:fldCharType="begin"/>
      </w:r>
      <w:r w:rsidR="000615D5">
        <w:instrText xml:space="preserve"> REF _Ref325354443 \r \h </w:instrText>
      </w:r>
      <w:r w:rsidR="00363C1C">
        <w:fldChar w:fldCharType="separate"/>
      </w:r>
      <w:r w:rsidR="00216538">
        <w:t>1.4.1</w:t>
      </w:r>
      <w:r w:rsidR="00363C1C">
        <w:fldChar w:fldCharType="end"/>
      </w:r>
      <w:r>
        <w:t xml:space="preserve">) und in ihrer Bedeutung für Reiseberichte vorgestellt (Abschnitt </w:t>
      </w:r>
      <w:r w:rsidR="00363C1C">
        <w:fldChar w:fldCharType="begin"/>
      </w:r>
      <w:r w:rsidR="000615D5">
        <w:instrText xml:space="preserve"> REF _Ref325354456 \r \h </w:instrText>
      </w:r>
      <w:r w:rsidR="00363C1C">
        <w:fldChar w:fldCharType="separate"/>
      </w:r>
      <w:r w:rsidR="00216538">
        <w:t>1.4.2</w:t>
      </w:r>
      <w:r w:rsidR="00363C1C">
        <w:fldChar w:fldCharType="end"/>
      </w:r>
      <w:r>
        <w:t xml:space="preserve">). um uns auf den „Blick auf das Land“ (Abschnitt </w:t>
      </w:r>
      <w:r w:rsidR="00363C1C">
        <w:fldChar w:fldCharType="begin"/>
      </w:r>
      <w:r w:rsidR="000615D5">
        <w:instrText xml:space="preserve"> REF _Ref325354472 \r \h </w:instrText>
      </w:r>
      <w:r w:rsidR="00363C1C">
        <w:fldChar w:fldCharType="separate"/>
      </w:r>
      <w:r w:rsidR="00216538">
        <w:t>1.5</w:t>
      </w:r>
      <w:r w:rsidR="00363C1C">
        <w:fldChar w:fldCharType="end"/>
      </w:r>
      <w:r>
        <w:t>) vorzubereiten. In der Folge wird sie gezielt an einigen Punkten eingebracht, um durchgängig wic</w:t>
      </w:r>
      <w:r>
        <w:t>h</w:t>
      </w:r>
      <w:r>
        <w:t xml:space="preserve">tige Thematiken zu beleuchten. So wird sie in Abschnitt </w:t>
      </w:r>
      <w:r w:rsidR="00363C1C">
        <w:fldChar w:fldCharType="begin"/>
      </w:r>
      <w:r w:rsidR="000615D5">
        <w:instrText xml:space="preserve"> REF _Ref325354582 \r \h </w:instrText>
      </w:r>
      <w:r w:rsidR="00363C1C">
        <w:fldChar w:fldCharType="separate"/>
      </w:r>
      <w:r w:rsidR="00216538">
        <w:t>3.2.1</w:t>
      </w:r>
      <w:r w:rsidR="00363C1C">
        <w:fldChar w:fldCharType="end"/>
      </w:r>
      <w:r>
        <w:t xml:space="preserve"> herangezogen, um den Mechanismus des „kolonialen Begehrens“ zu beleuchten; in Abschnitt </w:t>
      </w:r>
      <w:r w:rsidR="00363C1C">
        <w:fldChar w:fldCharType="begin"/>
      </w:r>
      <w:r w:rsidR="000615D5">
        <w:instrText xml:space="preserve"> REF _Ref325354606 \r \h </w:instrText>
      </w:r>
      <w:r w:rsidR="00363C1C">
        <w:fldChar w:fldCharType="separate"/>
      </w:r>
      <w:r w:rsidR="00216538">
        <w:t>2.3.1.2</w:t>
      </w:r>
      <w:r w:rsidR="00363C1C">
        <w:fldChar w:fldCharType="end"/>
      </w:r>
      <w:r>
        <w:t xml:space="preserve"> wird der im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wirksame Vorgang des „</w:t>
      </w:r>
      <w:r w:rsidR="005A6F7F">
        <w:t>Othering</w:t>
      </w:r>
      <w:r>
        <w:t>“</w:t>
      </w:r>
      <w:r w:rsidR="000615D5">
        <w:t xml:space="preserve"> an einem unkonventionellen Beispiel</w:t>
      </w:r>
      <w:r>
        <w:t xml:space="preserve"> erläutert</w:t>
      </w:r>
      <w:r w:rsidR="000615D5">
        <w:t>.</w:t>
      </w:r>
    </w:p>
    <w:p w:rsidR="00CF6655" w:rsidRDefault="00CF6655" w:rsidP="00CF6655">
      <w:pPr>
        <w:pStyle w:val="Text"/>
      </w:pPr>
      <w:r>
        <w:t>Dabei kommt das Tagebuch als Zeitdokument wieder in den Blick: Es sollen indirekt, über die durchgängig wirkenden Grundkonstellationen des Koloniali</w:t>
      </w:r>
      <w:r>
        <w:t>s</w:t>
      </w:r>
      <w:r>
        <w:t>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und ihre Spiegelung im kolonialen Diskurs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die historischen Hintergründe eingebracht werden. Auf dieselbe Weise sollen die Mechanismen der Mission u</w:t>
      </w:r>
      <w:r>
        <w:t>n</w:t>
      </w:r>
      <w:r>
        <w:t>ter kolonialen Bedingungen aus dem Text heraus abgeleitet werden, wobei wi</w:t>
      </w:r>
      <w:r>
        <w:t>e</w:t>
      </w:r>
      <w:r>
        <w:t>derum das Augenmerk stärker auf Perspektive, Position in einem Diskurs und Ideologeme – der Religion, des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des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des ‚Kulturexports‘ und der eurozentrischen Denkweise – gerichtet sein wird als auf einer vermein</w:t>
      </w:r>
      <w:r>
        <w:t>t</w:t>
      </w:r>
      <w:r>
        <w:t>lich ‚historisch objektiven Realität‘. Dieselbe kritische Umgangsweise ist im Al</w:t>
      </w:r>
      <w:r>
        <w:t>l</w:t>
      </w:r>
      <w:r>
        <w:t>gemeinen aber auch mit den geschichtswissenschaftlichen Texten aus einem ga</w:t>
      </w:r>
      <w:r>
        <w:t>n</w:t>
      </w:r>
      <w:r>
        <w:t>zen Jahrhundert, die hier zitiert werden, angebracht; diese unterscheiden sich untereinander bereits dramatisch in ihren Bewertungen jener ‚Realität‘ und sol</w:t>
      </w:r>
      <w:r>
        <w:t>l</w:t>
      </w:r>
      <w:r>
        <w:t>ten daher selbst als Texte betrachtet werden, denen – selbst im Fall entschied</w:t>
      </w:r>
      <w:r>
        <w:t>e</w:t>
      </w:r>
      <w:r>
        <w:t>ner Abgrenzung – im Sprechen über die Kolonisation die Loslösung vom kolon</w:t>
      </w:r>
      <w:r>
        <w:t>i</w:t>
      </w:r>
      <w:r>
        <w:t>alen Diskurs nicht gelingen kann. Und letztendlich: Dasselbe ‚caveat‘ gilt natü</w:t>
      </w:r>
      <w:r>
        <w:t>r</w:t>
      </w:r>
      <w:r>
        <w:t>lich auch für diese Arbeit!</w:t>
      </w:r>
    </w:p>
    <w:p w:rsidR="00CF6655" w:rsidRDefault="00CF6655" w:rsidP="00832005">
      <w:pPr>
        <w:pStyle w:val="Titel2"/>
      </w:pPr>
      <w:bookmarkStart w:id="76" w:name="_Toc130260668"/>
      <w:bookmarkStart w:id="77" w:name="_Toc327387968"/>
      <w:bookmarkStart w:id="78" w:name="_Toc122313619"/>
      <w:bookmarkStart w:id="79" w:name="_Toc122313707"/>
      <w:r>
        <w:lastRenderedPageBreak/>
        <w:t>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als Methode</w:t>
      </w:r>
      <w:bookmarkEnd w:id="76"/>
      <w:bookmarkEnd w:id="77"/>
    </w:p>
    <w:p w:rsidR="00CF6655" w:rsidRDefault="00CF6655" w:rsidP="00832005">
      <w:pPr>
        <w:pStyle w:val="Text"/>
        <w:ind w:firstLine="0"/>
      </w:pPr>
      <w:r>
        <w:t>Der Forschungsansatz des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der im englischsprachigen Raum seit bald drei Jahrzehnten für die Erforschung kolonialer und postkolonialer – </w:t>
      </w:r>
      <w:r w:rsidR="007F6F8C">
        <w:t>a</w:t>
      </w:r>
      <w:r w:rsidR="007F6F8C">
        <w:t>l</w:t>
      </w:r>
      <w:r w:rsidR="007F6F8C">
        <w:t>so</w:t>
      </w:r>
      <w:r>
        <w:t xml:space="preserve"> vom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bestimmter – Diskurse verwendet wird, hat erkannt, dass es großer Distanzierungs- und Analyseanstrengungen bedarf, um im Sprechen über Texte, die in kolonialen Kontexten entstanden sind, nicht selbst in die Mu</w:t>
      </w:r>
      <w:r>
        <w:t>s</w:t>
      </w:r>
      <w:r>
        <w:t>ter des kolonialen Denkens zu verfallen; umso mehr, als das koloniale Erbe s</w:t>
      </w:r>
      <w:r>
        <w:t>o</w:t>
      </w:r>
      <w:r>
        <w:t>wohl die Kolonisierenden (Europäer) als auch die Kolonisierten bis in die G</w:t>
      </w:r>
      <w:r>
        <w:t>e</w:t>
      </w:r>
      <w:r>
        <w:t>genwart in vieler Hinsicht bestimmt. In der traditionellen Geschichtswisse</w:t>
      </w:r>
      <w:r>
        <w:t>n</w:t>
      </w:r>
      <w:r>
        <w:t>schaft ist dagegen naiv angenommen worden, man brauche nur die Texte obje</w:t>
      </w:r>
      <w:r>
        <w:t>k</w:t>
      </w:r>
      <w:r>
        <w:t>tiv zu lesen, um sich ein Urteil über sie und die darin beschriebenen Verhältnisse erlauben zu können. Man übersah dabei, dass schon diese ‚Objektivität‘ selbst in Komplizität mit der im Namen von Fortschritt, Wissenschaft und Rationalität begangenen Europäisierung der Welt steht. Für uns bietet die postkoloniale Theorie, Möglichkeit, den kolonialen Blick Spieckers zu verstehen und mit dem anderer Europäer in der Kolonie zu vergleichen.</w:t>
      </w:r>
    </w:p>
    <w:p w:rsidR="00CF6655" w:rsidRDefault="00CF6655" w:rsidP="00832005">
      <w:pPr>
        <w:pStyle w:val="Titel3"/>
      </w:pPr>
      <w:bookmarkStart w:id="80" w:name="_Toc130260669"/>
      <w:bookmarkStart w:id="81" w:name="_Ref325354443"/>
      <w:bookmarkStart w:id="82" w:name="_Toc327387969"/>
      <w:r>
        <w:t>Edward Said, Homi K. Bhabha</w:t>
      </w:r>
      <w:r w:rsidR="00363C1C">
        <w:fldChar w:fldCharType="begin"/>
      </w:r>
      <w:r w:rsidR="00AA2655">
        <w:instrText xml:space="preserve"> XE "</w:instrText>
      </w:r>
      <w:r w:rsidR="00AA2655" w:rsidRPr="00884FE3">
        <w:instrText>Bhabha, Homi K.</w:instrText>
      </w:r>
      <w:r w:rsidR="00AA2655">
        <w:instrText xml:space="preserve">" </w:instrText>
      </w:r>
      <w:r w:rsidR="00363C1C">
        <w:fldChar w:fldCharType="end"/>
      </w:r>
      <w:r>
        <w:t xml:space="preserve"> und der koloniale Diskurs</w:t>
      </w:r>
      <w:bookmarkEnd w:id="80"/>
      <w:bookmarkEnd w:id="81"/>
      <w:bookmarkEnd w:id="82"/>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p>
    <w:p w:rsidR="00CF6655" w:rsidRDefault="00CF6655" w:rsidP="00832005">
      <w:pPr>
        <w:pStyle w:val="Text"/>
        <w:ind w:firstLine="0"/>
        <w:rPr>
          <w:lang w:val="en-GB"/>
        </w:rPr>
      </w:pPr>
      <w:r>
        <w:t>Der Beitrag der postkolonialen Theorie zum Verständnis von Reiseberichten b</w:t>
      </w:r>
      <w:r>
        <w:t>e</w:t>
      </w:r>
      <w:r>
        <w:t>steht darin, dass sie die erste Theorie war, die eine grundlegende und nicht-affirmative Analyse des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des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wagte. Zwar war vor E</w:t>
      </w:r>
      <w:r>
        <w:t>d</w:t>
      </w:r>
      <w:r>
        <w:t>ward Saids</w:t>
      </w:r>
      <w:r w:rsidR="00363C1C">
        <w:fldChar w:fldCharType="begin"/>
      </w:r>
      <w:r w:rsidR="00AA2655">
        <w:instrText xml:space="preserve"> XE "</w:instrText>
      </w:r>
      <w:r w:rsidR="00AA2655" w:rsidRPr="005F1D1F">
        <w:instrText>Said, Edward</w:instrText>
      </w:r>
      <w:r w:rsidR="00AA2655">
        <w:instrText xml:space="preserve">" </w:instrText>
      </w:r>
      <w:r w:rsidR="00363C1C">
        <w:fldChar w:fldCharType="end"/>
      </w:r>
      <w:r>
        <w:t xml:space="preserve"> grundlegendem Buch „Orientalism“,</w:t>
      </w:r>
      <w:r>
        <w:rPr>
          <w:rStyle w:val="Funotenzeichen"/>
        </w:rPr>
        <w:footnoteReference w:id="41"/>
      </w:r>
      <w:r>
        <w:t xml:space="preserve"> das 1978 erschien und häufig als Startsignal für die Etablierung der postkolonialen Bewegung an der Univers</w:t>
      </w:r>
      <w:r>
        <w:t>i</w:t>
      </w:r>
      <w:r>
        <w:t>täten genannt wird, bereits viel über Imperialismus und Kolonialismus geschri</w:t>
      </w:r>
      <w:r>
        <w:t>e</w:t>
      </w:r>
      <w:r>
        <w:t>ben worden; doch das Problem dieser Arbeiten war, dass sie sich niemals vol</w:t>
      </w:r>
      <w:r>
        <w:t>l</w:t>
      </w:r>
      <w:r>
        <w:t>ständig aus dem Diskurs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xml:space="preserve"> der bearbeiteten Gebiete lösen konnten und daher, bei allem Willen zur Kritik, letztlich indirekt immer wieder affirmativ den Her</w:t>
      </w:r>
      <w:r>
        <w:t>r</w:t>
      </w:r>
      <w:r>
        <w:t>schaftsdiskurs bestätigten.</w:t>
      </w:r>
      <w:r>
        <w:rPr>
          <w:rStyle w:val="Funotenzeichen"/>
        </w:rPr>
        <w:footnoteReference w:id="42"/>
      </w:r>
      <w:r>
        <w:t xml:space="preserve"> Die postkoloniale Theorie kann hier abhelfen, da sie von Texten nicht naiv auf die kulturellen, anthropologischen oder historischen </w:t>
      </w:r>
      <w:r>
        <w:lastRenderedPageBreak/>
        <w:t>‚Fakten‘ zurückschließt, sondern sich vielmehr auf eine radikale Diskursanalyse</w:t>
      </w:r>
      <w:r w:rsidR="00363C1C">
        <w:fldChar w:fldCharType="begin"/>
      </w:r>
      <w:r w:rsidR="00AA2655">
        <w:instrText xml:space="preserve"> XE "</w:instrText>
      </w:r>
      <w:r w:rsidR="00AA2655" w:rsidRPr="00AF4C35">
        <w:instrText>Diskursanalyse</w:instrText>
      </w:r>
      <w:r w:rsidR="00AA2655">
        <w:instrText xml:space="preserve">" </w:instrText>
      </w:r>
      <w:r w:rsidR="00363C1C">
        <w:fldChar w:fldCharType="end"/>
      </w:r>
      <w:r>
        <w:t xml:space="preserve"> stützt. </w:t>
      </w:r>
      <w:r>
        <w:rPr>
          <w:lang w:val="en-GB"/>
        </w:rPr>
        <w:t>In den Worten von Robert Young: „Colonial-discourse analysis can therefore look at the wider variety of texts of colonialism as something more than mere documentation or ‘evidence’, and also emphasize the ways in which colonialism involved not just a military or economic activity but permeated forms of knowledge which, if unchallenged, may continue to be the very ones through which we try to understand colonialism itself</w:t>
      </w:r>
      <w:proofErr w:type="gramStart"/>
      <w:r>
        <w:rPr>
          <w:lang w:val="en-GB"/>
        </w:rPr>
        <w:t>.“</w:t>
      </w:r>
      <w:proofErr w:type="gramEnd"/>
      <w:r>
        <w:rPr>
          <w:rStyle w:val="Funotenzeichen"/>
          <w:lang w:val="en-GB"/>
        </w:rPr>
        <w:footnoteReference w:id="43"/>
      </w:r>
    </w:p>
    <w:p w:rsidR="00CF6655" w:rsidRDefault="00CF6655" w:rsidP="00CF6655">
      <w:pPr>
        <w:pStyle w:val="Text"/>
      </w:pPr>
      <w:r>
        <w:t>Young unterscheidet drei Hauptlinien der Saidschen Argumentation:</w:t>
      </w:r>
      <w:r>
        <w:rPr>
          <w:rStyle w:val="Funotenzeichen"/>
        </w:rPr>
        <w:footnoteReference w:id="44"/>
      </w:r>
      <w:r>
        <w:t xml:space="preserve"> Er</w:t>
      </w:r>
      <w:r>
        <w:t>s</w:t>
      </w:r>
      <w:r>
        <w:t>tens zeigt dieser, wie sich mit Hilfe des Foucaultschen Diskursbegriffs eine Ideologie zugleich als eine Form des Bewusstseins und als eine Handlungspraxis verstehen lässt; in Anlehnung an Althusser lässt sich daraus die Möglichkeit a</w:t>
      </w:r>
      <w:r>
        <w:t>b</w:t>
      </w:r>
      <w:r>
        <w:t>leiten, dass kulturelle Wirklichkeitskonstruktionen zu geschichtsbildenden Fa</w:t>
      </w:r>
      <w:r>
        <w:t>k</w:t>
      </w:r>
      <w:r>
        <w:t>toren werden können. Bei einer marxistischen Interpretation der Kultursphäre als bloßem Überbau der Wirtschaftssphäre wäre diese Wirkungsrichtung kaum zu verstehen. Damit schafft Foucault</w:t>
      </w:r>
      <w:r w:rsidR="00363C1C">
        <w:fldChar w:fldCharType="begin"/>
      </w:r>
      <w:r w:rsidR="00AA2655">
        <w:instrText xml:space="preserve"> XE "</w:instrText>
      </w:r>
      <w:r w:rsidR="00AA2655" w:rsidRPr="00DA740C">
        <w:instrText>Foucault, Michel</w:instrText>
      </w:r>
      <w:r w:rsidR="00AA2655">
        <w:instrText xml:space="preserve">" </w:instrText>
      </w:r>
      <w:r w:rsidR="00363C1C">
        <w:fldChar w:fldCharType="end"/>
      </w:r>
      <w:r>
        <w:t>, wie Said</w:t>
      </w:r>
      <w:r w:rsidR="00363C1C">
        <w:fldChar w:fldCharType="begin"/>
      </w:r>
      <w:r w:rsidR="00AA2655">
        <w:instrText xml:space="preserve"> XE "</w:instrText>
      </w:r>
      <w:r w:rsidR="00AA2655" w:rsidRPr="00EB6CC4">
        <w:instrText>Said, Edward</w:instrText>
      </w:r>
      <w:r w:rsidR="00AA2655">
        <w:instrText xml:space="preserve">" </w:instrText>
      </w:r>
      <w:r w:rsidR="00363C1C">
        <w:fldChar w:fldCharType="end"/>
      </w:r>
      <w:r>
        <w:t xml:space="preserve"> zeigt, die Voraussetzung dafür, die Kultur als autonomen Handlungsraum zu definieren, der historisch besti</w:t>
      </w:r>
      <w:r>
        <w:t>m</w:t>
      </w:r>
      <w:r>
        <w:t>mend tätig wird, eine zentrale Voraussetzung für die Befreiung der Kultur- und insbesondere der Textwissenschaften aus dem selbstgebauten Elfenbeinturm; die Analyse kultureller Diskurse und Konstruktionen wird plötzlich in jeder Hi</w:t>
      </w:r>
      <w:r>
        <w:t>n</w:t>
      </w:r>
      <w:r>
        <w:t>sicht relevant für das Verständnis gesellschaftlicher Bedingungen, politischer Systeme und historischer Abläufe. Damit war die Tür geöffnet für den bis heute andauernden Bedeutungsgewinn dieser Wissenschaften.</w:t>
      </w:r>
    </w:p>
    <w:p w:rsidR="00CF6655" w:rsidRDefault="00CF6655" w:rsidP="00CF6655">
      <w:pPr>
        <w:pStyle w:val="Text"/>
      </w:pPr>
      <w:r>
        <w:t>Zweitens wird von Said erstmalig die Rolle der akademischen Disziplinen als Begründungs- und Rechtfertigungsmechanismen, ja bisweilen sogar erst als A</w:t>
      </w:r>
      <w:r>
        <w:t>n</w:t>
      </w:r>
      <w:r>
        <w:t>stifter für die sehr realen Vorgänge des Imperialismus,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und der weltweiten kulturellen Vereinheitlichung nach westlichem Vorbild in ihrer ga</w:t>
      </w:r>
      <w:r>
        <w:t>n</w:t>
      </w:r>
      <w:r>
        <w:t>zen Breite beschrieben, wobei der „Orientalismus</w:t>
      </w:r>
      <w:r w:rsidR="00363C1C">
        <w:fldChar w:fldCharType="begin"/>
      </w:r>
      <w:r w:rsidR="00857DD8">
        <w:instrText xml:space="preserve"> XE "</w:instrText>
      </w:r>
      <w:r w:rsidR="00857DD8" w:rsidRPr="003A449B">
        <w:instrText>Orientalismus</w:instrText>
      </w:r>
      <w:r w:rsidR="00857DD8">
        <w:instrText xml:space="preserve">" </w:instrText>
      </w:r>
      <w:r w:rsidR="00363C1C">
        <w:fldChar w:fldCharType="end"/>
      </w:r>
      <w:r>
        <w:t>“ nur ein Beispiel für einen so</w:t>
      </w:r>
      <w:r>
        <w:t>l</w:t>
      </w:r>
      <w:r>
        <w:t>chen akademischen Diskurs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xml:space="preserve"> darstellt.</w:t>
      </w:r>
    </w:p>
    <w:p w:rsidR="00CF6655" w:rsidRDefault="00CF6655" w:rsidP="00CF6655">
      <w:pPr>
        <w:pStyle w:val="Text"/>
      </w:pPr>
      <w:r>
        <w:t>Damit zusammenhängend ergibt sich die dritte und wohl umstrittenste Fo</w:t>
      </w:r>
      <w:r>
        <w:t>l</w:t>
      </w:r>
      <w:r>
        <w:t>gerung von Saids Buch: Sie besagt, dass dieser Diskurs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xml:space="preserve"> über den ‚Orient‘ nicht etwa nur unter bestimmten, beispielsweise durch die kulturelle Perspektive der Autoren bedingten Verfälschungen litt, die sich theoretisch durch Objektivierungen korrigieren lassen könnten, sondern dass sie ihr Objekt, der ‚Orient‘, überhaupt erst kreierte, indem sie das „Andere“ des Westens nach de</w:t>
      </w:r>
      <w:r>
        <w:t>s</w:t>
      </w:r>
      <w:r>
        <w:t>sen Vorstellungen und Bedürfnissen erschuf. Die Texte erzeugten nicht nur Wi</w:t>
      </w:r>
      <w:r>
        <w:t>s</w:t>
      </w:r>
      <w:r>
        <w:t>sen, sondern auch die scheinbare Realität, über die sie Wissen zu gewinnen vo</w:t>
      </w:r>
      <w:r>
        <w:t>r</w:t>
      </w:r>
      <w:r>
        <w:t>gaben; der Orient selbst ist ein Konstrukt, das nur im Rahmen des Orientali</w:t>
      </w:r>
      <w:r>
        <w:t>s</w:t>
      </w:r>
      <w:r>
        <w:t>mus</w:t>
      </w:r>
      <w:r w:rsidR="00363C1C">
        <w:fldChar w:fldCharType="begin"/>
      </w:r>
      <w:r w:rsidR="00857DD8">
        <w:instrText xml:space="preserve"> XE "</w:instrText>
      </w:r>
      <w:r w:rsidR="00857DD8" w:rsidRPr="003A449B">
        <w:instrText>Orientalismus</w:instrText>
      </w:r>
      <w:r w:rsidR="00857DD8">
        <w:instrText xml:space="preserve">" </w:instrText>
      </w:r>
      <w:r w:rsidR="00363C1C">
        <w:fldChar w:fldCharType="end"/>
      </w:r>
      <w:r>
        <w:t xml:space="preserve"> verstanden werden kann. </w:t>
      </w:r>
    </w:p>
    <w:p w:rsidR="00CF6655" w:rsidRDefault="00CF6655" w:rsidP="00CF6655">
      <w:pPr>
        <w:pStyle w:val="Text"/>
      </w:pPr>
      <w:r>
        <w:lastRenderedPageBreak/>
        <w:t>Homi K. Bhabha</w:t>
      </w:r>
      <w:r w:rsidR="00363C1C">
        <w:fldChar w:fldCharType="begin"/>
      </w:r>
      <w:r w:rsidR="00AA2655">
        <w:instrText xml:space="preserve"> XE "</w:instrText>
      </w:r>
      <w:r w:rsidR="00AA2655" w:rsidRPr="00884FE3">
        <w:instrText>Bhabha, Homi K.</w:instrText>
      </w:r>
      <w:r w:rsidR="00AA2655">
        <w:instrText xml:space="preserve">" </w:instrText>
      </w:r>
      <w:r w:rsidR="00363C1C">
        <w:fldChar w:fldCharType="end"/>
      </w:r>
      <w:r>
        <w:t xml:space="preserve"> widersprach als erster der ‚totalisierenden‘ Darstellung des Orientalismus</w:t>
      </w:r>
      <w:r w:rsidR="00363C1C">
        <w:fldChar w:fldCharType="begin"/>
      </w:r>
      <w:r w:rsidR="00857DD8">
        <w:instrText xml:space="preserve"> XE "</w:instrText>
      </w:r>
      <w:r w:rsidR="00857DD8" w:rsidRPr="003A449B">
        <w:instrText>Orientalismus</w:instrText>
      </w:r>
      <w:r w:rsidR="00857DD8">
        <w:instrText xml:space="preserve">" </w:instrText>
      </w:r>
      <w:r w:rsidR="00363C1C">
        <w:fldChar w:fldCharType="end"/>
      </w:r>
      <w:r>
        <w:t xml:space="preserve"> bei Said</w:t>
      </w:r>
      <w:r w:rsidR="00363C1C">
        <w:fldChar w:fldCharType="begin"/>
      </w:r>
      <w:r w:rsidR="00AA2655">
        <w:instrText xml:space="preserve"> XE "</w:instrText>
      </w:r>
      <w:r w:rsidR="00AA2655" w:rsidRPr="00703CFC">
        <w:instrText>Said, Edward</w:instrText>
      </w:r>
      <w:r w:rsidR="00AA2655">
        <w:instrText xml:space="preserve">" </w:instrText>
      </w:r>
      <w:r w:rsidR="00363C1C">
        <w:fldChar w:fldCharType="end"/>
      </w:r>
      <w:r>
        <w:t>.</w:t>
      </w:r>
      <w:r>
        <w:rPr>
          <w:rStyle w:val="Funotenzeichen"/>
        </w:rPr>
        <w:footnoteReference w:id="45"/>
      </w:r>
      <w:r>
        <w:t xml:space="preserve"> Er fügte den diskursanalytischen Methoden Saids ps</w:t>
      </w:r>
      <w:r>
        <w:t>y</w:t>
      </w:r>
      <w:r>
        <w:t>choanalytische Überlegungen hinzu und baute eine Unterscheidung zwischen dem „manifesten“ und dem „latenten“ Orientalismus auf, wobei der erstere das Material von wissenschaftlichen Texten über den Orient meint, während der zweite ein unbewusster Zustand der Phantasien und des Begehrens nach dem Anderen ist, dass nach den Bedürfnissen der eigenen Psyche konstruiert wird; beide Formen des Orientalismus stehen in Wechselwirkung miteinander und verschmelzen schließlich zu einem Amalgam aus Phantasie, Begehren und scheinbarem Wissen.</w:t>
      </w:r>
      <w:r>
        <w:rPr>
          <w:rStyle w:val="Funotenzeichen"/>
        </w:rPr>
        <w:footnoteReference w:id="46"/>
      </w:r>
    </w:p>
    <w:p w:rsidR="00CF6655" w:rsidRDefault="00CF6655" w:rsidP="00CF6655">
      <w:pPr>
        <w:pStyle w:val="Text"/>
      </w:pPr>
      <w:r>
        <w:t>Ein Schlüsselbegriff bei Bhabha ist die „Ambivalenz“ dieses Begehrens, ein Begriff, der in der Psychoanalyse das gleichzeitige Vorhandensein von Anzi</w:t>
      </w:r>
      <w:r>
        <w:t>e</w:t>
      </w:r>
      <w:r>
        <w:t>hung und Abstoßung meint und im kolonialen Kontext übertragen wird auf die Mischung von Begehren und fanatischer Ableugnung des Begehrens; die laut g</w:t>
      </w:r>
      <w:r>
        <w:t>e</w:t>
      </w:r>
      <w:r>
        <w:t>äußerte Verachtung für Kultur, Menschen und Land, die man doch zugleich b</w:t>
      </w:r>
      <w:r>
        <w:t>e</w:t>
      </w:r>
      <w:r>
        <w:t>sitzen und beherrschen will; die Gleichzeitigkeit der Betonung der „Andersheit“ mit dem abgeleugneten Prozess der Vermischung und Hybridisierung.</w:t>
      </w:r>
      <w:r>
        <w:rPr>
          <w:rStyle w:val="Funotenzeichen"/>
        </w:rPr>
        <w:footnoteReference w:id="47"/>
      </w:r>
      <w:r>
        <w:t xml:space="preserve"> Diese Ambivalenz steht nach Bhabha im Zentrum des kolonialen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und e</w:t>
      </w:r>
      <w:r>
        <w:t>r</w:t>
      </w:r>
      <w:r>
        <w:t>zeugt ihn in vielen Fällen erst;</w:t>
      </w:r>
      <w:r>
        <w:rPr>
          <w:rStyle w:val="Funotenzeichen"/>
        </w:rPr>
        <w:footnoteReference w:id="48"/>
      </w:r>
      <w:r>
        <w:t xml:space="preserve"> sie konstituiert die charakteristische Form des kolonialen Begehrens (vgl. Abschnitt </w:t>
      </w:r>
      <w:r w:rsidR="00363C1C">
        <w:fldChar w:fldCharType="begin"/>
      </w:r>
      <w:r w:rsidR="00846687">
        <w:instrText xml:space="preserve"> REF _Ref325354703 \r \h </w:instrText>
      </w:r>
      <w:r w:rsidR="00363C1C">
        <w:fldChar w:fldCharType="separate"/>
      </w:r>
      <w:r w:rsidR="00216538">
        <w:t>3.2</w:t>
      </w:r>
      <w:r w:rsidR="00363C1C">
        <w:fldChar w:fldCharType="end"/>
      </w:r>
      <w:r>
        <w:t>).</w:t>
      </w:r>
    </w:p>
    <w:p w:rsidR="00CF6655" w:rsidRDefault="00CF6655" w:rsidP="00CF6655">
      <w:pPr>
        <w:pStyle w:val="Text"/>
      </w:pPr>
      <w:r>
        <w:t>War Edward Saids</w:t>
      </w:r>
      <w:r w:rsidR="00363C1C">
        <w:fldChar w:fldCharType="begin"/>
      </w:r>
      <w:r w:rsidR="00AA2655">
        <w:instrText xml:space="preserve"> XE "</w:instrText>
      </w:r>
      <w:r w:rsidR="00AA2655" w:rsidRPr="005F1D1F">
        <w:instrText>Said, Edward</w:instrText>
      </w:r>
      <w:r w:rsidR="00AA2655">
        <w:instrText xml:space="preserve">" </w:instrText>
      </w:r>
      <w:r w:rsidR="00363C1C">
        <w:fldChar w:fldCharType="end"/>
      </w:r>
      <w:r>
        <w:t xml:space="preserve"> Werk wirklich erst der Auftakt für die Entwicklung einer theoretisch fundierten Kolonialismuskritik? Leela Gandhi</w:t>
      </w:r>
      <w:r w:rsidR="00363C1C">
        <w:fldChar w:fldCharType="begin"/>
      </w:r>
      <w:r w:rsidR="00AA2655">
        <w:instrText xml:space="preserve"> XE "</w:instrText>
      </w:r>
      <w:r w:rsidR="00AA2655" w:rsidRPr="009D3594">
        <w:instrText xml:space="preserve">Gandhi, </w:instrText>
      </w:r>
      <w:r w:rsidR="00D75BD6">
        <w:instrText>Leela</w:instrText>
      </w:r>
      <w:r w:rsidR="00AA2655">
        <w:instrText xml:space="preserve">" </w:instrText>
      </w:r>
      <w:r w:rsidR="00363C1C">
        <w:fldChar w:fldCharType="end"/>
      </w:r>
      <w:r>
        <w:t xml:space="preserve"> hat, wie auch andere, den Verdacht geäußert, dass „Orientalism“ nur von der Bewegung, die sich u</w:t>
      </w:r>
      <w:r>
        <w:t>n</w:t>
      </w:r>
      <w:r>
        <w:t>mittelbar darauf bezieht, als revolutionärer Text bezeichnet wird, wobei sie sich auf Raymond Williams' Unterscheidung zwischen Texten, die auf dem Wissen</w:t>
      </w:r>
      <w:r>
        <w:t>s</w:t>
      </w:r>
      <w:r>
        <w:t>stand ihrer Zeit operieren (‘indicative texts’), und solchen, die ihn durch eine r</w:t>
      </w:r>
      <w:r>
        <w:t>a</w:t>
      </w:r>
      <w:r>
        <w:t>dikale Perspektive grundlegend erweitern (‘subjunctive texts’), aufgreift:</w:t>
      </w:r>
    </w:p>
    <w:p w:rsidR="00CF6655" w:rsidRDefault="00CF6655" w:rsidP="00CF6655">
      <w:pPr>
        <w:pStyle w:val="Zitat"/>
        <w:rPr>
          <w:lang w:val="en-GB"/>
        </w:rPr>
      </w:pPr>
      <w:r>
        <w:rPr>
          <w:lang w:val="en-GB"/>
        </w:rPr>
        <w:t>Said’s detractors have implicitly invoked the logic of Williams’ distinction b</w:t>
      </w:r>
      <w:r>
        <w:rPr>
          <w:lang w:val="en-GB"/>
        </w:rPr>
        <w:t>e</w:t>
      </w:r>
      <w:r>
        <w:rPr>
          <w:lang w:val="en-GB"/>
        </w:rPr>
        <w:t xml:space="preserve">tween ‘indicative’ and ‘subjunctive’ texts to insist that </w:t>
      </w:r>
      <w:r>
        <w:rPr>
          <w:i/>
          <w:iCs/>
          <w:lang w:val="en-GB"/>
        </w:rPr>
        <w:t xml:space="preserve">Orientalism </w:t>
      </w:r>
      <w:r>
        <w:rPr>
          <w:lang w:val="en-GB"/>
        </w:rPr>
        <w:t>is utterly, even boringly, symptomatic and indicative of what was happening in the A</w:t>
      </w:r>
      <w:r>
        <w:rPr>
          <w:lang w:val="en-GB"/>
        </w:rPr>
        <w:t>n</w:t>
      </w:r>
      <w:r>
        <w:rPr>
          <w:lang w:val="en-GB"/>
        </w:rPr>
        <w:t>glo-American academy in the late 1970s and early 1980s. […] [The critic Aijaz] Ahmad also argues that in the absence of any serious or legitimate ‘leftist’ thought, most intellectuals of this reactionary era guiltily took refuge in token and flabby forms of ecologism and ‘third worldism’.</w:t>
      </w:r>
      <w:r>
        <w:rPr>
          <w:rStyle w:val="Funotenzeichen"/>
          <w:lang w:val="en-GB"/>
        </w:rPr>
        <w:footnoteReference w:id="49"/>
      </w:r>
    </w:p>
    <w:p w:rsidR="00CF6655" w:rsidRDefault="00CF6655" w:rsidP="00832005">
      <w:pPr>
        <w:pStyle w:val="Text"/>
        <w:ind w:firstLine="0"/>
      </w:pPr>
      <w:r>
        <w:lastRenderedPageBreak/>
        <w:t>Sie argumentiert, dass die postkoloniale Theorie damit letztlich nur für die wes</w:t>
      </w:r>
      <w:r>
        <w:t>t</w:t>
      </w:r>
      <w:r>
        <w:t>liche Universität selbst wirkungsvoll war, die sie aus ihrem altmodisch ethn</w:t>
      </w:r>
      <w:r>
        <w:t>o</w:t>
      </w:r>
      <w:r>
        <w:t>zentrischem Elfenbeinturm herausholte und ihr einen modernen Anstrich gab:</w:t>
      </w:r>
    </w:p>
    <w:p w:rsidR="00CF6655" w:rsidRDefault="00CF6655" w:rsidP="00CF6655">
      <w:pPr>
        <w:pStyle w:val="Zitat"/>
        <w:rPr>
          <w:lang w:val="en-GB"/>
        </w:rPr>
      </w:pPr>
      <w:r>
        <w:rPr>
          <w:lang w:val="en-GB"/>
        </w:rPr>
        <w:t>In my reading of this field, there is little doubt that in its current mood pos</w:t>
      </w:r>
      <w:r>
        <w:rPr>
          <w:lang w:val="en-GB"/>
        </w:rPr>
        <w:t>t</w:t>
      </w:r>
      <w:r>
        <w:rPr>
          <w:lang w:val="en-GB"/>
        </w:rPr>
        <w:t>colonial theory principally addresses the needs of the Western academy. It a</w:t>
      </w:r>
      <w:r>
        <w:rPr>
          <w:lang w:val="en-GB"/>
        </w:rPr>
        <w:t>t</w:t>
      </w:r>
      <w:r>
        <w:rPr>
          <w:lang w:val="en-GB"/>
        </w:rPr>
        <w:t>tempts to reform the intellectual and epistemological exclusions of this aca</w:t>
      </w:r>
      <w:r>
        <w:rPr>
          <w:lang w:val="en-GB"/>
        </w:rPr>
        <w:t>d</w:t>
      </w:r>
      <w:r>
        <w:rPr>
          <w:lang w:val="en-GB"/>
        </w:rPr>
        <w:t>emy […]. But, of course, what postcolonialism fails to recognise is that what counts as ‘marginal’ in relation to the West has often been central and found</w:t>
      </w:r>
      <w:r>
        <w:rPr>
          <w:lang w:val="en-GB"/>
        </w:rPr>
        <w:t>a</w:t>
      </w:r>
      <w:r>
        <w:rPr>
          <w:lang w:val="en-GB"/>
        </w:rPr>
        <w:t>tional in the non-West.</w:t>
      </w:r>
      <w:r>
        <w:rPr>
          <w:rStyle w:val="Funotenzeichen"/>
          <w:lang w:val="en-GB"/>
        </w:rPr>
        <w:footnoteReference w:id="50"/>
      </w:r>
    </w:p>
    <w:p w:rsidR="00CF6655" w:rsidRDefault="00CF6655" w:rsidP="00832005">
      <w:pPr>
        <w:pStyle w:val="Text"/>
        <w:ind w:firstLine="0"/>
      </w:pPr>
      <w:r>
        <w:t>Dem könnte man entgegenhalten, dass Vorgänger von Said</w:t>
      </w:r>
      <w:r w:rsidR="00363C1C">
        <w:fldChar w:fldCharType="begin"/>
      </w:r>
      <w:r w:rsidR="00AA2655">
        <w:instrText xml:space="preserve"> XE "</w:instrText>
      </w:r>
      <w:r w:rsidR="00AA2655" w:rsidRPr="00424754">
        <w:instrText>Said, Edward</w:instrText>
      </w:r>
      <w:r w:rsidR="00AA2655">
        <w:instrText xml:space="preserve">" </w:instrText>
      </w:r>
      <w:r w:rsidR="00363C1C">
        <w:fldChar w:fldCharType="end"/>
      </w:r>
      <w:r>
        <w:t xml:space="preserve"> wie Albert Memmi</w:t>
      </w:r>
      <w:r w:rsidR="00363C1C">
        <w:fldChar w:fldCharType="begin"/>
      </w:r>
      <w:r w:rsidR="00AA2655">
        <w:instrText xml:space="preserve"> XE "</w:instrText>
      </w:r>
      <w:r w:rsidR="00AA2655" w:rsidRPr="00AF0B05">
        <w:instrText>Memmi, Albert</w:instrText>
      </w:r>
      <w:r w:rsidR="00AA2655">
        <w:instrText xml:space="preserve">" </w:instrText>
      </w:r>
      <w:r w:rsidR="00363C1C">
        <w:fldChar w:fldCharType="end"/>
      </w:r>
      <w:r>
        <w:t>,</w:t>
      </w:r>
      <w:r>
        <w:rPr>
          <w:rStyle w:val="Funotenzeichen"/>
        </w:rPr>
        <w:footnoteReference w:id="51"/>
      </w:r>
      <w:r>
        <w:t xml:space="preserve"> Mahatma Gandhi</w:t>
      </w:r>
      <w:r w:rsidR="00363C1C">
        <w:fldChar w:fldCharType="begin"/>
      </w:r>
      <w:r w:rsidR="00AA2655">
        <w:instrText xml:space="preserve"> XE "</w:instrText>
      </w:r>
      <w:r w:rsidR="00AA2655" w:rsidRPr="009D3594">
        <w:instrText>Gandhi, Mahatma</w:instrText>
      </w:r>
      <w:r w:rsidR="00AA2655">
        <w:instrText xml:space="preserve">" </w:instrText>
      </w:r>
      <w:r w:rsidR="00363C1C">
        <w:fldChar w:fldCharType="end"/>
      </w:r>
      <w:r>
        <w:t xml:space="preserve"> oder Frantz Fanon</w:t>
      </w:r>
      <w:r w:rsidR="00363C1C">
        <w:fldChar w:fldCharType="begin"/>
      </w:r>
      <w:r w:rsidR="00AA2655">
        <w:instrText xml:space="preserve"> XE "</w:instrText>
      </w:r>
      <w:r w:rsidR="00AA2655" w:rsidRPr="00362E25">
        <w:instrText>Fanon, Frantz</w:instrText>
      </w:r>
      <w:r w:rsidR="00AA2655">
        <w:instrText xml:space="preserve">" </w:instrText>
      </w:r>
      <w:r w:rsidR="00363C1C">
        <w:fldChar w:fldCharType="end"/>
      </w:r>
      <w:r>
        <w:rPr>
          <w:rStyle w:val="Funotenzeichen"/>
        </w:rPr>
        <w:footnoteReference w:id="52"/>
      </w:r>
      <w:r>
        <w:t xml:space="preserve"> im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eine starke Bet</w:t>
      </w:r>
      <w:r>
        <w:t>o</w:t>
      </w:r>
      <w:r>
        <w:t>nung erfahren. – Beachtenswert ist dagegen der Hinweis auf die Harmlosigkeit einer Theorie, die häufig in der Verurteilung des längst gesellschaftlich Verurtei</w:t>
      </w:r>
      <w:r>
        <w:t>l</w:t>
      </w:r>
      <w:r>
        <w:t>ten und in einer Detailanalyse der bereits von antikolonialen Kräften im 19. Jahrhundert, oft unter persönlichem Risiko und Verfolgung durch den Staat, aufgezeigten Zusammenhänge stehen bleibt; einer Theorie ferner, deren Kritik am Neokolonialismus und der neoliberalen Weltordnung, die ohne den Koloni</w:t>
      </w:r>
      <w:r>
        <w:t>a</w:t>
      </w:r>
      <w:r>
        <w:t>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überhaupt nicht denkbar wäre, fast nie zu einem konkreten politischen Programm führt.</w:t>
      </w:r>
      <w:r>
        <w:rPr>
          <w:rStyle w:val="Funotenzeichen"/>
        </w:rPr>
        <w:footnoteReference w:id="53"/>
      </w:r>
      <w:r>
        <w:t xml:space="preserve"> So bleiben die politischen Profiteure des Neokolonialismus unbedroht, während die ‚Postkolonialen‘ gutdotierte Universitätsposten erha</w:t>
      </w:r>
      <w:r>
        <w:t>l</w:t>
      </w:r>
      <w:r>
        <w:t>ten.</w:t>
      </w:r>
    </w:p>
    <w:p w:rsidR="00CF6655" w:rsidRDefault="00CF6655" w:rsidP="00CF6655">
      <w:pPr>
        <w:pStyle w:val="Text"/>
      </w:pPr>
      <w:r>
        <w:t>Diese berechtigten Kritikpunkte sollen uns aber nicht davon abhalten, ein</w:t>
      </w:r>
      <w:r>
        <w:t>i</w:t>
      </w:r>
      <w:r>
        <w:t>ge zentrale Begriffe dieser Theorie auf das Spieckersche Tagebuch anzuwenden und zu sehen, ob sie zu einem Verständnis dieses Texts beitragen können.</w:t>
      </w:r>
    </w:p>
    <w:p w:rsidR="00CF6655" w:rsidRDefault="00CF6655" w:rsidP="00832005">
      <w:pPr>
        <w:pStyle w:val="Titel3"/>
      </w:pPr>
      <w:bookmarkStart w:id="83" w:name="_Toc130260670"/>
      <w:bookmarkStart w:id="84" w:name="_Ref325354456"/>
      <w:bookmarkStart w:id="85" w:name="_Toc327387970"/>
      <w:r w:rsidRPr="00832005">
        <w:t>Reiseberichte</w:t>
      </w:r>
      <w:r>
        <w:t xml:space="preserve"> und Postkolonialismus</w:t>
      </w:r>
      <w:bookmarkEnd w:id="83"/>
      <w:bookmarkEnd w:id="84"/>
      <w:bookmarkEnd w:id="85"/>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p>
    <w:p w:rsidR="00CF6655" w:rsidRDefault="00CF6655" w:rsidP="00832005">
      <w:pPr>
        <w:pStyle w:val="Text"/>
        <w:ind w:firstLine="0"/>
      </w:pPr>
      <w:r>
        <w:t>Dass Reiseberichte in letzter Zeit als Forschungsgegenstand der Literaturwisse</w:t>
      </w:r>
      <w:r>
        <w:t>n</w:t>
      </w:r>
      <w:r>
        <w:t xml:space="preserve">schaft stärker in den Blick geraten sind, kann durchaus im Zusammenhang mit </w:t>
      </w:r>
      <w:r>
        <w:lastRenderedPageBreak/>
        <w:t>dem Aufkommen des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gesehen werden; immerhin besteht ein wichtiger Interessensbereich dieser Forschungsrichtung darin, den Blick des Westens auf nicht-westliche Kulturen zu untersuchen. Dafür sind Reiseberichte, die für lange Zeit fast ausschließlich von Europäern verfasst wurden und das e</w:t>
      </w:r>
      <w:r>
        <w:t>u</w:t>
      </w:r>
      <w:r>
        <w:t>ropäische Bild der außereuropäischen Welt prägten, eine zentrale Instanz.</w:t>
      </w:r>
    </w:p>
    <w:p w:rsidR="00CF6655" w:rsidRDefault="00CF6655" w:rsidP="00CF6655">
      <w:pPr>
        <w:pStyle w:val="Text"/>
      </w:pPr>
      <w:r>
        <w:t>Reiseliteratur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hängt so eng mit Imperialismus und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zusa</w:t>
      </w:r>
      <w:r>
        <w:t>m</w:t>
      </w:r>
      <w:r>
        <w:t>men, dass ihre Untersuchung als Literatur, unter dem Schwerpunkt des individ</w:t>
      </w:r>
      <w:r>
        <w:t>u</w:t>
      </w:r>
      <w:r>
        <w:t xml:space="preserve">ellen, mehr oder minder ‚künstlerischen‘ Ausdrucks, genauso naiv erscheint wie die Behandlung als Faktenbericht. </w:t>
      </w:r>
      <w:r>
        <w:rPr>
          <w:lang w:val="en-GB"/>
        </w:rPr>
        <w:t>Pordzik schreibt dazu: „The cultural fact of a literary mode […] implicated in the colonial enterprise and the national effort of overseas expansion weakens the arguments of those who still argue that travel writing is a predominantly informative and therefore politically innocent form of textual production.“</w:t>
      </w:r>
      <w:r>
        <w:rPr>
          <w:rStyle w:val="Funotenzeichen"/>
          <w:lang w:val="en-GB"/>
        </w:rPr>
        <w:footnoteReference w:id="54"/>
      </w:r>
      <w:r>
        <w:rPr>
          <w:lang w:val="en-GB"/>
        </w:rPr>
        <w:t xml:space="preserve"> </w:t>
      </w:r>
      <w:r>
        <w:t>Vor diesem Hintergrund betont Dennis Porter, dass der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sich, bei aller Ambivalenz seiner Möglichkeiten, nicht aus der b</w:t>
      </w:r>
      <w:r>
        <w:t>e</w:t>
      </w:r>
      <w:r>
        <w:t>kannten Rolle als Konstrukteur des europäischen Welt-Bilds lösen konnte:</w:t>
      </w:r>
    </w:p>
    <w:p w:rsidR="00CF6655" w:rsidRDefault="00CF6655" w:rsidP="00CF6655">
      <w:pPr>
        <w:pStyle w:val="Zitat"/>
        <w:rPr>
          <w:lang w:val="en-GB"/>
        </w:rPr>
      </w:pPr>
      <w:r>
        <w:rPr>
          <w:lang w:val="en-GB"/>
        </w:rPr>
        <w:t>At best […] European travel writing has been an effort to overcome cultural distance through a protracted act of understanding. At worst it has been the vehicle for the expression of Eurocentric conceit or racist intolerance. Yet, in either case, one thing is certain. From the narratives of youthful grand tourists or the journals of circumnavigators of the globe in the eighteenth century to the impressionistic sketches of nineteenth-century aesthetes or the field studies of contemporary ethnographers, written accounts of foreign places and their peoples are of interest for an important reason. They have traditionally been the vehicle by which our knowledge of things foreign has been mediated.</w:t>
      </w:r>
      <w:r>
        <w:rPr>
          <w:rStyle w:val="Funotenzeichen"/>
          <w:lang w:val="en-GB"/>
        </w:rPr>
        <w:footnoteReference w:id="55"/>
      </w:r>
    </w:p>
    <w:p w:rsidR="00CF6655" w:rsidRDefault="00CF6655" w:rsidP="00A41BBC">
      <w:pPr>
        <w:pStyle w:val="Text"/>
        <w:ind w:firstLine="0"/>
      </w:pPr>
      <w:r>
        <w:t>Auch ein anderer wichtiger Aspekt ist gerade bei der Beschäftigung mit Reisel</w:t>
      </w:r>
      <w:r>
        <w:t>i</w:t>
      </w:r>
      <w:r>
        <w:t>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zu beachten: Die Situation des Kulturdialogs, in der er entsteht, unte</w:t>
      </w:r>
      <w:r>
        <w:t>r</w:t>
      </w:r>
      <w:r>
        <w:t xml:space="preserve">scheidet ihn grundsätzlich von anderen literarischen oder auch Sachtexten. </w:t>
      </w:r>
      <w:r>
        <w:rPr>
          <w:lang w:val="en-GB"/>
        </w:rPr>
        <w:t xml:space="preserve">Pordzik merkt an: „Travel writing as description </w:t>
      </w:r>
      <w:r>
        <w:rPr>
          <w:i/>
          <w:iCs/>
          <w:lang w:val="en-GB"/>
        </w:rPr>
        <w:t xml:space="preserve">and </w:t>
      </w:r>
      <w:r>
        <w:rPr>
          <w:lang w:val="en-GB"/>
        </w:rPr>
        <w:t>interrogation of imperial power is not inevitably ‘one-way traffic’, only because Europeans mapped the world rather than the world mapping them; in fact, it brings into sharp focus the enforced dialogic situation of two or more cultures moved into sudden pro</w:t>
      </w:r>
      <w:r>
        <w:rPr>
          <w:lang w:val="en-GB"/>
        </w:rPr>
        <w:t>x</w:t>
      </w:r>
      <w:r>
        <w:rPr>
          <w:lang w:val="en-GB"/>
        </w:rPr>
        <w:t>imity.“</w:t>
      </w:r>
      <w:r>
        <w:rPr>
          <w:rStyle w:val="Funotenzeichen"/>
          <w:lang w:val="en-GB"/>
        </w:rPr>
        <w:footnoteReference w:id="56"/>
      </w:r>
      <w:r>
        <w:rPr>
          <w:lang w:val="en-GB"/>
        </w:rPr>
        <w:t xml:space="preserve"> </w:t>
      </w:r>
      <w:r>
        <w:t>Doch während Europäer es als selbstverständliches Privileg in A</w:t>
      </w:r>
      <w:r>
        <w:t>n</w:t>
      </w:r>
      <w:r>
        <w:t>spruch nahmen, die ganze Welt zu bereisen, blieb die umgekehrte Reisemöglic</w:t>
      </w:r>
      <w:r>
        <w:t>h</w:t>
      </w:r>
      <w:r>
        <w:t>keit lange Zeit auf seltene Einzelfälle beschränkt.</w:t>
      </w:r>
    </w:p>
    <w:p w:rsidR="00CF6655" w:rsidRDefault="00CF6655" w:rsidP="00CF6655">
      <w:pPr>
        <w:pStyle w:val="Text"/>
      </w:pPr>
      <w:r>
        <w:t>So wurden die Chancen zum wirklichen Voneinander- und Aneinander-Lernen, die Reiseliteratur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bieten kann, durch die im Hintergrund immer präsente ‚Einbahnstraße‘ der imperialistischen Machtausübung zerstört, die die Struktur des Austauschs von vornherein als ungleich festlegte. Dabei degenerierte der D</w:t>
      </w:r>
      <w:r>
        <w:t>i</w:t>
      </w:r>
      <w:r>
        <w:t xml:space="preserve">alog, auch wenn er gelegentlich von idealistischen Reisenden von gleich zu gleich </w:t>
      </w:r>
      <w:r>
        <w:lastRenderedPageBreak/>
        <w:t>begonnen wurde, in eine zwar nicht einseitige, aber asymmetrische Relation, wobei (nicht-europäische) Waren gegen (europäische) Einwanderer ausgetauscht wurden; Gastfreundschaft gegen Krankheit; Gold gegen Waffen; Faszination des Anderen gegen kulturelle Überformung; der ‚exotische Touch‘ für eine gegen die Zerstörung hunderter anderer Kulturen.</w:t>
      </w:r>
    </w:p>
    <w:p w:rsidR="00CF6655" w:rsidRDefault="00CF6655" w:rsidP="00CF6655">
      <w:pPr>
        <w:pStyle w:val="Text"/>
      </w:pPr>
      <w:r>
        <w:t>Wenn die postkoloniale Theorie die Erkenntnis der Konstruiertheit des „anderen“ ermöglicht, muss man sich doch zugleich vor einer allzu starken Rel</w:t>
      </w:r>
      <w:r>
        <w:t>a</w:t>
      </w:r>
      <w:r>
        <w:t>tivierung in Acht nehmen, die jede Erkenntnismöglichkeit ausschließt und dabei in ihrer Radikalität noch nicht einmal neu ist, wie Karl Guthke betont:</w:t>
      </w:r>
    </w:p>
    <w:p w:rsidR="00CF6655" w:rsidRDefault="00CF6655" w:rsidP="00CF6655">
      <w:pPr>
        <w:pStyle w:val="Zitat"/>
      </w:pPr>
      <w:r>
        <w:t>Befangen in den je eigenen Kategorien, wäre jede vermeintliche Begegnung mit dem Fremden unwiderruflich ein Herumirren in einem veritablen Labyrinth von Spiegelkabinetten? […] Diesem Schluß kam schon Herder mindestens n</w:t>
      </w:r>
      <w:r>
        <w:t>a</w:t>
      </w:r>
      <w:r>
        <w:t>he mit seiner radikal pluralistischen Auffassung von der kulturellen Inko</w:t>
      </w:r>
      <w:r>
        <w:t>m</w:t>
      </w:r>
      <w:r>
        <w:t>mensurabilität, die den Gedanken einer alle Menschen verbindenden Human</w:t>
      </w:r>
      <w:r>
        <w:t>i</w:t>
      </w:r>
      <w:r>
        <w:t>tät zur Utopie zu vertagen droht. Unmißverständlich sympathisieren heute die poststrukturalistische Kulturwissenschaft und Anthropologie mit der Folg</w:t>
      </w:r>
      <w:r>
        <w:t>e</w:t>
      </w:r>
      <w:r>
        <w:t>rung, daß die wahre Identität des Fremden ein Buch mit sieben Siegeln bleibe […].</w:t>
      </w:r>
      <w:r>
        <w:rPr>
          <w:rStyle w:val="Funotenzeichen"/>
        </w:rPr>
        <w:footnoteReference w:id="57"/>
      </w:r>
    </w:p>
    <w:p w:rsidR="00CF6655" w:rsidRDefault="00CF6655" w:rsidP="00A41BBC">
      <w:pPr>
        <w:pStyle w:val="Text"/>
        <w:ind w:firstLine="0"/>
      </w:pPr>
      <w:r>
        <w:t>Guthke empfiehlt als Gegenmittel die von Forster</w:t>
      </w:r>
      <w:r w:rsidR="00363C1C">
        <w:fldChar w:fldCharType="begin"/>
      </w:r>
      <w:r w:rsidR="00CA3EE6">
        <w:instrText xml:space="preserve"> XE "</w:instrText>
      </w:r>
      <w:r w:rsidR="00CA3EE6" w:rsidRPr="00945D44">
        <w:instrText>Forster, Georg</w:instrText>
      </w:r>
      <w:r w:rsidR="00CA3EE6">
        <w:instrText xml:space="preserve">" </w:instrText>
      </w:r>
      <w:r w:rsidR="00363C1C">
        <w:fldChar w:fldCharType="end"/>
      </w:r>
      <w:r>
        <w:t xml:space="preserve"> praktizierte ‚Sicht des and</w:t>
      </w:r>
      <w:r>
        <w:t>e</w:t>
      </w:r>
      <w:r>
        <w:t>ren‘ – wobei die Frage gestellt werden darf, ob dies nicht eine noch gefährlichere Art der Zuschreibung ist, da sie in Gefahr steht, statt dem Blick des anderen g</w:t>
      </w:r>
      <w:r>
        <w:t>e</w:t>
      </w:r>
      <w:r>
        <w:t>wissermaßen den eigenen ‚im Spiegel‘ (nämlich bewusst seitenverkehrt) zu s</w:t>
      </w:r>
      <w:r>
        <w:t>e</w:t>
      </w:r>
      <w:r>
        <w:t>hen:</w:t>
      </w:r>
    </w:p>
    <w:p w:rsidR="00CF6655" w:rsidRDefault="00CF6655" w:rsidP="00CF6655">
      <w:pPr>
        <w:pStyle w:val="Zitat"/>
      </w:pPr>
      <w:r>
        <w:t>Differenzierter war da schon der Blick [von] Georg Forster</w:t>
      </w:r>
      <w:r w:rsidR="00363C1C">
        <w:fldChar w:fldCharType="begin"/>
      </w:r>
      <w:r w:rsidR="00CA3EE6">
        <w:instrText xml:space="preserve"> XE "</w:instrText>
      </w:r>
      <w:r w:rsidR="00CA3EE6" w:rsidRPr="00A60222">
        <w:instrText>Forster, Georg</w:instrText>
      </w:r>
      <w:r w:rsidR="00CA3EE6">
        <w:instrText xml:space="preserve">" </w:instrText>
      </w:r>
      <w:r w:rsidR="00363C1C">
        <w:fldChar w:fldCharType="end"/>
      </w:r>
      <w:r>
        <w:t xml:space="preserve"> im Vorbericht zu seiner </w:t>
      </w:r>
      <w:r>
        <w:rPr>
          <w:i/>
          <w:iCs/>
        </w:rPr>
        <w:t>Reise um die Welt.</w:t>
      </w:r>
      <w:r>
        <w:t xml:space="preserve"> Er machte jedenfalls den Versuch, den anderen und seine Handlungsweise von diesem her zu sehen; Lichtenbergs Bemerkung, der Indianer, „der den Kolumbus zuerst entdeckte, machte eine böse Entdeckung“, hätte auch seiner Meinung nach ins schwarze getroffen.“</w:t>
      </w:r>
      <w:r>
        <w:rPr>
          <w:rStyle w:val="Funotenzeichen"/>
        </w:rPr>
        <w:footnoteReference w:id="58"/>
      </w:r>
    </w:p>
    <w:p w:rsidR="00CF6655" w:rsidRDefault="00CF6655" w:rsidP="00A41BBC">
      <w:pPr>
        <w:pStyle w:val="Text"/>
        <w:ind w:firstLine="0"/>
      </w:pPr>
      <w:r>
        <w:t>Ohne in Beliebigkeit zu verfallen, kann die postkoloniale Theorie jedoch dazu verwendet werden, die Formen der Wirklichkeitsproduktion in Reiseberichten zu analysieren. Mary Louise Pratt formuliert einige der in diesem Zusamme</w:t>
      </w:r>
      <w:r>
        <w:t>n</w:t>
      </w:r>
      <w:r>
        <w:t>hang relevanten Fragen:</w:t>
      </w:r>
    </w:p>
    <w:p w:rsidR="00CF6655" w:rsidRPr="007645B5" w:rsidRDefault="00CF6655" w:rsidP="00CF6655">
      <w:pPr>
        <w:pStyle w:val="Zitat"/>
      </w:pPr>
      <w:r>
        <w:rPr>
          <w:lang w:val="en-GB"/>
        </w:rPr>
        <w:t>How has travel and exploration writing produced “the rest of the world” for European readerships at particular points in Europe’s expansionist trajectory? How has it produced Europe’s differentiated conceptions of itself in relation to something it became possible to call “the rest of the world“? How do such si</w:t>
      </w:r>
      <w:r>
        <w:rPr>
          <w:lang w:val="en-GB"/>
        </w:rPr>
        <w:t>g</w:t>
      </w:r>
      <w:r>
        <w:rPr>
          <w:lang w:val="en-GB"/>
        </w:rPr>
        <w:lastRenderedPageBreak/>
        <w:t xml:space="preserve">nifying practices encode and legitimate the aspirations of economic expansion and empire? </w:t>
      </w:r>
      <w:r w:rsidRPr="007645B5">
        <w:t>How do they betray them?</w:t>
      </w:r>
      <w:r>
        <w:rPr>
          <w:rStyle w:val="Funotenzeichen"/>
          <w:lang w:val="en-GB"/>
        </w:rPr>
        <w:footnoteReference w:id="59"/>
      </w:r>
    </w:p>
    <w:p w:rsidR="00CF6655" w:rsidRDefault="00CF6655" w:rsidP="00A41BBC">
      <w:pPr>
        <w:pStyle w:val="Text"/>
        <w:ind w:firstLine="0"/>
      </w:pPr>
      <w:r>
        <w:t>Auch an Spieckers Te</w:t>
      </w:r>
      <w:r w:rsidR="00CA3EE6">
        <w:t>xt, der nicht</w:t>
      </w:r>
      <w:r>
        <w:t xml:space="preserve"> </w:t>
      </w:r>
      <w:r w:rsidR="00CA3EE6">
        <w:t>zur Veröffentlichung gedacht</w:t>
      </w:r>
      <w:r>
        <w:t xml:space="preserve"> </w:t>
      </w:r>
      <w:r w:rsidR="00CA3EE6">
        <w:t>war</w:t>
      </w:r>
      <w:r>
        <w:t>, lassen sich diese Fragen sinnvoll stellen; obwohl er kein auf ‚Entdeckung‘ oder Präsentation der Fremde für europäische Leser ausgerichteter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ist, ist er doch von den genannten Mechanismen geprägt. Im nächsten Abschnitt wird uns jener e</w:t>
      </w:r>
      <w:r>
        <w:t>u</w:t>
      </w:r>
      <w:r>
        <w:t>ropäische ‚Blick auf das Land‘ begegnen. Einige der Verzerrungen, die wir im ganzen Text beachten müssen, lassen sich in ihren Ursprüngen lokalisieren. Sie geschehen</w:t>
      </w:r>
    </w:p>
    <w:p w:rsidR="00CF6655" w:rsidRDefault="00CF6655" w:rsidP="00CF6655">
      <w:pPr>
        <w:pStyle w:val="Text"/>
      </w:pPr>
      <w:r>
        <w:t>a) offen durch Wertungen (</w:t>
      </w:r>
      <w:r w:rsidR="00A27C71">
        <w:t>etwa</w:t>
      </w:r>
      <w:r>
        <w:t xml:space="preserve"> bei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vgl. Abschnitt </w:t>
      </w:r>
      <w:r w:rsidR="00363C1C">
        <w:fldChar w:fldCharType="begin"/>
      </w:r>
      <w:r w:rsidR="00846687">
        <w:instrText xml:space="preserve"> REF _Ref325354735 \r \h </w:instrText>
      </w:r>
      <w:r w:rsidR="00363C1C">
        <w:fldChar w:fldCharType="separate"/>
      </w:r>
      <w:r w:rsidR="00216538">
        <w:t>2.3.5.1</w:t>
      </w:r>
      <w:r w:rsidR="00363C1C">
        <w:fldChar w:fldCharType="end"/>
      </w:r>
      <w:r>
        <w:t>, und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vgl. Abschnitt </w:t>
      </w:r>
      <w:r w:rsidR="00363C1C">
        <w:fldChar w:fldCharType="begin"/>
      </w:r>
      <w:r w:rsidR="00846687">
        <w:instrText xml:space="preserve"> REF _Ref325354763 \r \h </w:instrText>
      </w:r>
      <w:r w:rsidR="00363C1C">
        <w:fldChar w:fldCharType="separate"/>
      </w:r>
      <w:r w:rsidR="00216538">
        <w:t>3.1.4.1</w:t>
      </w:r>
      <w:r w:rsidR="00363C1C">
        <w:fldChar w:fldCharType="end"/>
      </w:r>
      <w:r>
        <w:t>);</w:t>
      </w:r>
    </w:p>
    <w:p w:rsidR="00CF6655" w:rsidRDefault="00CF6655" w:rsidP="00CF6655">
      <w:pPr>
        <w:pStyle w:val="Text"/>
      </w:pPr>
      <w:r>
        <w:t>b) durch die Wortwahl (</w:t>
      </w:r>
      <w:r w:rsidR="00A27C71">
        <w:t>etwa</w:t>
      </w:r>
      <w:r>
        <w:t xml:space="preserve"> „rohe und nackte Heiden“; 1195), wobei man betonen muss, dass Spiecker für die Stämme neutrale Begriffe gebraucht, wo di</w:t>
      </w:r>
      <w:r>
        <w:t>e</w:t>
      </w:r>
      <w:r>
        <w:t xml:space="preserve">se ihm geläufig sind, </w:t>
      </w:r>
      <w:r w:rsidR="00A27C71">
        <w:t>etwa</w:t>
      </w:r>
      <w:r>
        <w:t xml:space="preserve"> in der Verwendung von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statt des noch lange bei Deutschen gebräuchlichen „Hottentotten</w:t>
      </w:r>
      <w:r w:rsidR="00363C1C">
        <w:fldChar w:fldCharType="begin"/>
      </w:r>
      <w:r w:rsidR="00DA4F5B">
        <w:instrText xml:space="preserve"> XE "</w:instrText>
      </w:r>
      <w:r w:rsidR="00DA4F5B" w:rsidRPr="002B55F1">
        <w:instrText>Hottentotten</w:instrText>
      </w:r>
      <w:r w:rsidR="00DA4F5B">
        <w:instrText xml:space="preserve">" </w:instrText>
      </w:r>
      <w:r w:rsidR="00363C1C">
        <w:fldChar w:fldCharType="end"/>
      </w:r>
      <w:r w:rsidR="00363C1C">
        <w:fldChar w:fldCharType="begin"/>
      </w:r>
      <w:r w:rsidR="00DA4F5B">
        <w:instrText xml:space="preserve"> XE "</w:instrText>
      </w:r>
      <w:r w:rsidR="00DA4F5B" w:rsidRPr="008E0CF7">
        <w:instrText>Hottentotten</w:instrText>
      </w:r>
      <w:r w:rsidR="00DA4F5B">
        <w:instrText xml:space="preserve">" \t </w:instrText>
      </w:r>
      <w:r w:rsidR="00DA4F5B" w:rsidRPr="00DA4F5B">
        <w:instrText>"</w:instrText>
      </w:r>
      <w:r w:rsidR="00DA4F5B" w:rsidRPr="00DA4F5B">
        <w:rPr>
          <w:rFonts w:cstheme="minorHAnsi"/>
          <w:i/>
        </w:rPr>
        <w:instrText>siehe auch</w:instrText>
      </w:r>
      <w:r w:rsidR="00DA4F5B" w:rsidRPr="00DA4F5B">
        <w:rPr>
          <w:rFonts w:cstheme="minorHAnsi"/>
        </w:rPr>
        <w:instrText xml:space="preserve"> Nama</w:instrText>
      </w:r>
      <w:r w:rsidR="00DA4F5B" w:rsidRPr="00DA4F5B">
        <w:instrText xml:space="preserve">" </w:instrText>
      </w:r>
      <w:r w:rsidR="00363C1C">
        <w:fldChar w:fldCharType="end"/>
      </w:r>
      <w:r>
        <w:t>“;</w:t>
      </w:r>
      <w:r>
        <w:rPr>
          <w:rStyle w:val="Funotenzeichen"/>
        </w:rPr>
        <w:footnoteReference w:id="60"/>
      </w:r>
    </w:p>
    <w:p w:rsidR="00CF6655" w:rsidRDefault="00CF6655" w:rsidP="00CF6655">
      <w:pPr>
        <w:pStyle w:val="Text"/>
      </w:pPr>
      <w:r>
        <w:t>c) durch unterschiedliche Maßstäbe für Weiße und Schwarze, die er in der Theorie, unter utopischen Gesichtspunkten, zwar ablehnt, aber in der Praxis vi</w:t>
      </w:r>
      <w:r>
        <w:t>e</w:t>
      </w:r>
      <w:r>
        <w:t>lerorts akzeptiert (bis hin zur offenen Anerkennung eines, wenn auch „vorlä</w:t>
      </w:r>
      <w:r>
        <w:t>u</w:t>
      </w:r>
      <w:r>
        <w:t>fig[en]“, Herrschaftsverhältnisses; 2028);</w:t>
      </w:r>
    </w:p>
    <w:p w:rsidR="00CF6655" w:rsidRDefault="00CF6655" w:rsidP="00CF6655">
      <w:pPr>
        <w:pStyle w:val="Text"/>
      </w:pPr>
      <w:r>
        <w:t xml:space="preserve">d) durch den christlichen Glauben (vgl. Abschnitt </w:t>
      </w:r>
      <w:r w:rsidR="00363C1C">
        <w:fldChar w:fldCharType="begin"/>
      </w:r>
      <w:r w:rsidR="00846687">
        <w:instrText xml:space="preserve"> REF _Ref325354803 \r \h </w:instrText>
      </w:r>
      <w:r w:rsidR="00363C1C">
        <w:fldChar w:fldCharType="separate"/>
      </w:r>
      <w:r w:rsidR="00216538">
        <w:t>2.2.1</w:t>
      </w:r>
      <w:r w:rsidR="00363C1C">
        <w:fldChar w:fldCharType="end"/>
      </w:r>
      <w:r>
        <w:t xml:space="preserve">) und die Ideologie der Mission (vgl. Abschnitt </w:t>
      </w:r>
      <w:r w:rsidR="00363C1C">
        <w:fldChar w:fldCharType="begin"/>
      </w:r>
      <w:r w:rsidR="00846687">
        <w:instrText xml:space="preserve"> REF _Ref325354823 \r \h </w:instrText>
      </w:r>
      <w:r w:rsidR="00363C1C">
        <w:fldChar w:fldCharType="separate"/>
      </w:r>
      <w:r w:rsidR="00216538">
        <w:t>2.2.4</w:t>
      </w:r>
      <w:r w:rsidR="00363C1C">
        <w:fldChar w:fldCharType="end"/>
      </w:r>
      <w:r>
        <w:t>).</w:t>
      </w:r>
    </w:p>
    <w:p w:rsidR="00CF6655" w:rsidRDefault="00CF6655" w:rsidP="00CF6655">
      <w:pPr>
        <w:pStyle w:val="Text"/>
      </w:pPr>
      <w:r>
        <w:t>e) durch die europäischen Ideologeme der Zeit, wie diejenigen des Eur</w:t>
      </w:r>
      <w:r>
        <w:t>o</w:t>
      </w:r>
      <w:r>
        <w:t>zentrismus, des Imperialismus und des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sowie durch die systemb</w:t>
      </w:r>
      <w:r>
        <w:t>e</w:t>
      </w:r>
      <w:r>
        <w:t>dingten Verzerrungen des Blicks im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insbesondere der Wahrne</w:t>
      </w:r>
      <w:r>
        <w:t>h</w:t>
      </w:r>
      <w:r>
        <w:t>mung von Land, Natur und Menschen</w:t>
      </w:r>
      <w:r>
        <w:rPr>
          <w:rStyle w:val="Funotenzeichen"/>
        </w:rPr>
        <w:footnoteReference w:id="61"/>
      </w:r>
      <w:r>
        <w:t xml:space="preserve"> als Ressourcen (vgl. Abschnitt </w:t>
      </w:r>
      <w:r w:rsidR="00363C1C">
        <w:fldChar w:fldCharType="begin"/>
      </w:r>
      <w:r w:rsidR="000A357F">
        <w:instrText xml:space="preserve"> REF _Ref325354879 \r \h </w:instrText>
      </w:r>
      <w:r w:rsidR="00363C1C">
        <w:fldChar w:fldCharType="separate"/>
      </w:r>
      <w:r w:rsidR="00216538">
        <w:t>1.5.4</w:t>
      </w:r>
      <w:r w:rsidR="00363C1C">
        <w:fldChar w:fldCharType="end"/>
      </w:r>
      <w:r>
        <w:t>).</w:t>
      </w:r>
    </w:p>
    <w:p w:rsidR="00CF6655" w:rsidRDefault="00CF6655" w:rsidP="00CF6655">
      <w:pPr>
        <w:pStyle w:val="Text"/>
      </w:pPr>
      <w:r>
        <w:t>An diesen und an anderen Stellen holt uns der ‚koloniale Blick‘ ein, ein Sp</w:t>
      </w:r>
      <w:r>
        <w:t>e</w:t>
      </w:r>
      <w:r>
        <w:t>zifikum dessen, was Pratt als „Kontaktzone“ definiert:</w:t>
      </w:r>
    </w:p>
    <w:p w:rsidR="00CF6655" w:rsidRDefault="00CF6655" w:rsidP="00CF6655">
      <w:pPr>
        <w:pStyle w:val="Zitat"/>
        <w:rPr>
          <w:lang w:val="en-GB"/>
        </w:rPr>
      </w:pPr>
      <w:r>
        <w:rPr>
          <w:lang w:val="en-GB"/>
        </w:rPr>
        <w:t>One coinage […] is the term “contact zone,” which I use to refer to the space of colonial encounters, the space in which peoples geographically and histor</w:t>
      </w:r>
      <w:r>
        <w:rPr>
          <w:lang w:val="en-GB"/>
        </w:rPr>
        <w:t>i</w:t>
      </w:r>
      <w:r>
        <w:rPr>
          <w:lang w:val="en-GB"/>
        </w:rPr>
        <w:t xml:space="preserve">cally separated come into contact with each other and </w:t>
      </w:r>
      <w:proofErr w:type="gramStart"/>
      <w:r>
        <w:rPr>
          <w:lang w:val="en-GB"/>
        </w:rPr>
        <w:t>establish</w:t>
      </w:r>
      <w:proofErr w:type="gramEnd"/>
      <w:r>
        <w:rPr>
          <w:lang w:val="en-GB"/>
        </w:rPr>
        <w:t xml:space="preserve"> ongoing rel</w:t>
      </w:r>
      <w:r>
        <w:rPr>
          <w:lang w:val="en-GB"/>
        </w:rPr>
        <w:t>a</w:t>
      </w:r>
      <w:r>
        <w:rPr>
          <w:lang w:val="en-GB"/>
        </w:rPr>
        <w:t>tions […].</w:t>
      </w:r>
      <w:r>
        <w:rPr>
          <w:rStyle w:val="Funotenzeichen"/>
          <w:lang w:val="en-GB"/>
        </w:rPr>
        <w:footnoteReference w:id="62"/>
      </w:r>
    </w:p>
    <w:p w:rsidR="00CF6655" w:rsidRDefault="00CF6655" w:rsidP="00A41BBC">
      <w:pPr>
        <w:pStyle w:val="Text"/>
        <w:ind w:firstLine="0"/>
      </w:pPr>
      <w:r>
        <w:t>Pratt betont den dynamischen Charakter der „Kontaktzonen“:</w:t>
      </w:r>
    </w:p>
    <w:p w:rsidR="00CF6655" w:rsidRDefault="00CF6655" w:rsidP="00CF6655">
      <w:pPr>
        <w:pStyle w:val="Zitat"/>
        <w:rPr>
          <w:lang w:val="en-GB"/>
        </w:rPr>
      </w:pPr>
      <w:r>
        <w:rPr>
          <w:lang w:val="en-GB"/>
        </w:rPr>
        <w:t>[They are] social spaces where disparate cultures meet, clash, and grapple with each other, often in highly asymmetrical relations of domination and subord</w:t>
      </w:r>
      <w:r>
        <w:rPr>
          <w:lang w:val="en-GB"/>
        </w:rPr>
        <w:t>i</w:t>
      </w:r>
      <w:r>
        <w:rPr>
          <w:lang w:val="en-GB"/>
        </w:rPr>
        <w:lastRenderedPageBreak/>
        <w:t>nation – like colonialism, slavery, or their aftermaths as they are lived out across the globe today.</w:t>
      </w:r>
      <w:r>
        <w:rPr>
          <w:rStyle w:val="Funotenzeichen"/>
          <w:lang w:val="en-GB"/>
        </w:rPr>
        <w:footnoteReference w:id="63"/>
      </w:r>
    </w:p>
    <w:p w:rsidR="00CF6655" w:rsidRDefault="00CF6655" w:rsidP="00A41BBC">
      <w:pPr>
        <w:pStyle w:val="Text"/>
        <w:ind w:firstLine="0"/>
      </w:pPr>
      <w:r>
        <w:t>Der beherrschende ‚koloniale Blick‘ ist die eine, der dynamische Begegnungsch</w:t>
      </w:r>
      <w:r>
        <w:t>a</w:t>
      </w:r>
      <w:r>
        <w:t xml:space="preserve">rakter die andere Seite der „Kontaktzone“. Beide Seiten begegnen uns auch in Spieckers Tagebuch. So kommen wir zu einem ambivalenten Ergebnis: Reisen </w:t>
      </w:r>
      <w:r>
        <w:rPr>
          <w:i/>
          <w:iCs/>
        </w:rPr>
        <w:t xml:space="preserve">kann </w:t>
      </w:r>
      <w:r>
        <w:t>aus Arroganz, Diskriminierung, Herrschaftslust und „</w:t>
      </w:r>
      <w:r w:rsidR="005A6F7F">
        <w:t>Othering</w:t>
      </w:r>
      <w:r w:rsidR="00363C1C">
        <w:fldChar w:fldCharType="begin"/>
      </w:r>
      <w:r w:rsidR="008B55A3">
        <w:instrText xml:space="preserve"> XE "</w:instrText>
      </w:r>
      <w:r w:rsidR="005A6F7F">
        <w:instrText>Othering</w:instrText>
      </w:r>
      <w:r w:rsidR="008B55A3">
        <w:instrText xml:space="preserve">" </w:instrText>
      </w:r>
      <w:r w:rsidR="00363C1C">
        <w:fldChar w:fldCharType="end"/>
      </w:r>
      <w:r>
        <w:t>“ bestehen, doch es bietet auch die Möglichkeit zur authentischen Fremderfahrung – auch wenn diese, auf beiden Seiten übrigens, niemals objektiv sein kann.</w:t>
      </w:r>
    </w:p>
    <w:p w:rsidR="00CF6655" w:rsidRDefault="00CF6655" w:rsidP="00A41BBC">
      <w:pPr>
        <w:pStyle w:val="Titel2"/>
      </w:pPr>
      <w:bookmarkStart w:id="86" w:name="_Toc130260671"/>
      <w:bookmarkStart w:id="87" w:name="_Ref325354472"/>
      <w:bookmarkStart w:id="88" w:name="_Toc327387971"/>
      <w:bookmarkEnd w:id="78"/>
      <w:bookmarkEnd w:id="79"/>
      <w:r>
        <w:t>Der Blick auf das Land</w:t>
      </w:r>
      <w:bookmarkEnd w:id="86"/>
      <w:bookmarkEnd w:id="87"/>
      <w:bookmarkEnd w:id="88"/>
    </w:p>
    <w:p w:rsidR="00CF6655" w:rsidRDefault="00CF6655" w:rsidP="00A41BBC">
      <w:pPr>
        <w:pStyle w:val="Titel3"/>
      </w:pPr>
      <w:bookmarkStart w:id="89" w:name="_Toc130260672"/>
      <w:bookmarkStart w:id="90" w:name="_Toc327387972"/>
      <w:r>
        <w:t>Vorüberlegung: Die (Nicht-)Begegnung mit dem ‚Anderen‘</w:t>
      </w:r>
      <w:bookmarkEnd w:id="89"/>
      <w:bookmarkEnd w:id="90"/>
    </w:p>
    <w:p w:rsidR="00CF6655" w:rsidRDefault="00CF6655" w:rsidP="007308C9">
      <w:pPr>
        <w:pStyle w:val="Titel4"/>
      </w:pPr>
      <w:bookmarkStart w:id="91" w:name="_Toc130260673"/>
      <w:bookmarkStart w:id="92" w:name="_Ref325357738"/>
      <w:bookmarkStart w:id="93" w:name="_Toc327387973"/>
      <w:r>
        <w:t>Perspektiven, Positionen</w:t>
      </w:r>
      <w:bookmarkEnd w:id="91"/>
      <w:bookmarkEnd w:id="92"/>
      <w:bookmarkEnd w:id="93"/>
    </w:p>
    <w:p w:rsidR="00CF6655" w:rsidRDefault="00CF6655" w:rsidP="00A41BBC">
      <w:pPr>
        <w:pStyle w:val="Text"/>
        <w:ind w:firstLine="0"/>
      </w:pPr>
      <w:r>
        <w:t>Wie wir im vorangegangenen Abschnitt – soweit ganz in Überstimmung mit den geläufigen Reiseklischees – gesehen haben, eröffnet das Reisen trotz aller Pro</w:t>
      </w:r>
      <w:r>
        <w:t>b</w:t>
      </w:r>
      <w:r>
        <w:t>lematik immer wieder die Chance, aus der Enge der eigenen Kultur, Ideologie und nicht zuletzt auch des Ichs auszubrechen. Tatsächlich war dies ja über die Jahrhunderte der Grund, warum Reisen nicht nur Machthungrige, Geschäftem</w:t>
      </w:r>
      <w:r>
        <w:t>a</w:t>
      </w:r>
      <w:r>
        <w:t>cher und sendungsbewusste Heilsbringer aller Couleur, sondern auch Neugier</w:t>
      </w:r>
      <w:r>
        <w:t>i</w:t>
      </w:r>
      <w:r>
        <w:t>ge und Abenteurer, Unzufriedene und Sinnsucher angezogen hat. Gleichzeitig besteht immer die Gefahr, allzu rasch bekannte Muster über die Fremde zu l</w:t>
      </w:r>
      <w:r>
        <w:t>e</w:t>
      </w:r>
      <w:r>
        <w:t>gen, in der eigenen Sichtweise zu verharren und damit in einen oberflächlichen Exotismus zu verfallen, der das Fremde naiv als das ganz ‚Andere‘ definiert, eine Vermischung mit ihm – die notwendige Voraussetzung jedes Voneinander-Lernens – für unmöglich hält und es damit, nach einer Phase des gespannten I</w:t>
      </w:r>
      <w:r>
        <w:t>n</w:t>
      </w:r>
      <w:r>
        <w:t>teresses, der Ablehnung preisgibt. Es gehört zu den großen Paradoxien des e</w:t>
      </w:r>
      <w:r>
        <w:t>u</w:t>
      </w:r>
      <w:r>
        <w:t>ropäischen Reisebooms des 18.</w:t>
      </w:r>
      <w:r w:rsidR="00081453">
        <w:t xml:space="preserve"> – </w:t>
      </w:r>
      <w:r>
        <w:t xml:space="preserve">20. Jahrhunderts, dass die Reisenden mit der gleichen Intensität, mit der Neugier und ‚Begehren‘ (vgl. Abschnitt </w:t>
      </w:r>
      <w:r w:rsidR="00363C1C">
        <w:fldChar w:fldCharType="begin"/>
      </w:r>
      <w:r w:rsidR="000A357F">
        <w:instrText xml:space="preserve"> REF _Ref325354910 \r \h </w:instrText>
      </w:r>
      <w:r w:rsidR="00363C1C">
        <w:fldChar w:fldCharType="separate"/>
      </w:r>
      <w:r w:rsidR="00216538">
        <w:t>3.2</w:t>
      </w:r>
      <w:r w:rsidR="00363C1C">
        <w:fldChar w:fldCharType="end"/>
      </w:r>
      <w:r>
        <w:t>) sie auf ihre Reisen trieben, das Vorgefundene in bekannte Schemata einfügten, an eur</w:t>
      </w:r>
      <w:r>
        <w:t>o</w:t>
      </w:r>
      <w:r>
        <w:t>päischen Normen ausrichteten und – öfter als umgekehrt – nichts Eiligeres zu tun hatten, als es sich anzupassen.</w:t>
      </w:r>
    </w:p>
    <w:p w:rsidR="00CF6655" w:rsidRDefault="00CF6655" w:rsidP="00CF6655">
      <w:pPr>
        <w:pStyle w:val="Text"/>
      </w:pPr>
      <w:r>
        <w:t>Nichtsdestotrotz ist die Möglichkeit einer echten Begegnung immer geg</w:t>
      </w:r>
      <w:r>
        <w:t>e</w:t>
      </w:r>
      <w:r>
        <w:t xml:space="preserve">ben. Der Reisende könnte sich von dem, was er erlebt, von seinen Erfahrungen verändern lassen. Dann würde er sich jedoch in die Geschehnisse hineinziehen; er würde seinen Status als Reisender aufgeben und Teil dessen werden, was er </w:t>
      </w:r>
      <w:r>
        <w:lastRenderedPageBreak/>
        <w:t>‚bereist‘. Richard Kerridge beschreibt, wie solche Momente auftreten und wie sie fast immer vorbeigehen, ohne dass sich ihr Potential entfaltet hat:</w:t>
      </w:r>
    </w:p>
    <w:p w:rsidR="00CF6655" w:rsidRDefault="00CF6655" w:rsidP="00CF6655">
      <w:pPr>
        <w:pStyle w:val="Zitat"/>
        <w:rPr>
          <w:lang w:val="en-GB"/>
        </w:rPr>
      </w:pPr>
      <w:r>
        <w:rPr>
          <w:lang w:val="en-GB"/>
        </w:rPr>
        <w:t>He would become Object as well as Subject. The membrane of his Englishness, protecting the set identity he must carry unchanged from departure to return, which is his contact with the reader, would be dissolved. His voyage would have so much changed him that he would be unable to return to his old life; it would cease to be a voyage.</w:t>
      </w:r>
      <w:r>
        <w:rPr>
          <w:rStyle w:val="Funotenzeichen"/>
          <w:lang w:val="en-GB"/>
        </w:rPr>
        <w:footnoteReference w:id="64"/>
      </w:r>
    </w:p>
    <w:p w:rsidR="00CF6655" w:rsidRDefault="00CF6655" w:rsidP="004D000C">
      <w:pPr>
        <w:pStyle w:val="Text"/>
        <w:ind w:firstLine="0"/>
      </w:pPr>
      <w:r>
        <w:t>Anhand eines Beispiels, in dem ein Reisender das Leiden einer krebskranken Frau sieht, jedoch nach dem Hinweis auf das Krankenhaus weiterreist, macht Kerridge das Kraftpotential solcher Momente sichtbar, die zu einer Überwi</w:t>
      </w:r>
      <w:r>
        <w:t>n</w:t>
      </w:r>
      <w:r>
        <w:t>dung der Subjekt-Objekt-Schranke, zu einem Überspringen des Funkens zw</w:t>
      </w:r>
      <w:r>
        <w:t>i</w:t>
      </w:r>
      <w:r>
        <w:t>schen Beobachter und Beobachtetem, kurz: zu einer kurzschlussartigen Aufh</w:t>
      </w:r>
      <w:r>
        <w:t>e</w:t>
      </w:r>
      <w:r>
        <w:t>bung der Grundkonstellation der Reise führen können.</w:t>
      </w:r>
    </w:p>
    <w:p w:rsidR="00CF6655" w:rsidRDefault="00CF6655" w:rsidP="00CF6655">
      <w:pPr>
        <w:pStyle w:val="Zitat"/>
        <w:rPr>
          <w:lang w:val="en-GB"/>
        </w:rPr>
      </w:pPr>
      <w:r>
        <w:rPr>
          <w:lang w:val="en-GB"/>
        </w:rPr>
        <w:t>[T]he appeal in this episode is that of any spectacle of suffering which makes the viewer pause. Photographs in charity advertisements are chosen for this e</w:t>
      </w:r>
      <w:r>
        <w:rPr>
          <w:lang w:val="en-GB"/>
        </w:rPr>
        <w:t>f</w:t>
      </w:r>
      <w:r>
        <w:rPr>
          <w:lang w:val="en-GB"/>
        </w:rPr>
        <w:t>fect. Faintly implicit in such a pause is the fantasy, or potential, that the m</w:t>
      </w:r>
      <w:r>
        <w:rPr>
          <w:lang w:val="en-GB"/>
        </w:rPr>
        <w:t>o</w:t>
      </w:r>
      <w:r>
        <w:rPr>
          <w:lang w:val="en-GB"/>
        </w:rPr>
        <w:t>ment could be a turning-point; that the spectacle could move us so much that we would cease to be external viewers and would enter the scene represented.</w:t>
      </w:r>
      <w:r>
        <w:rPr>
          <w:rStyle w:val="Funotenzeichen"/>
          <w:lang w:val="en-GB"/>
        </w:rPr>
        <w:footnoteReference w:id="65"/>
      </w:r>
    </w:p>
    <w:p w:rsidR="00CF6655" w:rsidRDefault="00CF6655" w:rsidP="004D000C">
      <w:pPr>
        <w:pStyle w:val="Text"/>
        <w:ind w:firstLine="0"/>
      </w:pPr>
      <w:r>
        <w:t>Erstaunlich angesichts der vergleichsweise menschlichen und mitfühlenden Grundhaltung von Spiecker, der sein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in dieser Hinsicht sehr ernst nimmt, ist das Fehlen von solchen Momenten in seinem Tagebuch. Zwar gibt es Augenblicke des Mitleids und des Gefühls, jedoch gerät er nie in Gefahr, ‚aus der Rolle zu fallen‘ und in ein neues und anderes Verhältnis zu den Fremden – hier natürlich in erster Linie den Eingeborenen, da die weißen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Missionare und Beamten ihm kaum fremd sind, beharren sie doch gerade auf häufig ve</w:t>
      </w:r>
      <w:r>
        <w:t>r</w:t>
      </w:r>
      <w:r>
        <w:t>krampfte Weise auf ihrem ‚Europäertum‘ – einzutreten. Mehrere Aspekte sind hier von Bedeutung:</w:t>
      </w:r>
    </w:p>
    <w:p w:rsidR="00CF6655" w:rsidRDefault="00CF6655" w:rsidP="00CF6655">
      <w:pPr>
        <w:pStyle w:val="Text"/>
      </w:pPr>
      <w:r>
        <w:t>1.</w:t>
      </w:r>
      <w:r w:rsidR="00062658">
        <w:t xml:space="preserve"> </w:t>
      </w:r>
      <w:r>
        <w:t>Die Position, die Spiecker hat, ist mehr als die eines Beobachters. Er hat einen klaren Auftrag in Deutsch-Südwestafrika zu erfüllen, die Überprüfung der Missionsstationen; alles, was ihm begegnet, kann er unter diesem Aspekt kateg</w:t>
      </w:r>
      <w:r>
        <w:t>o</w:t>
      </w:r>
      <w:r>
        <w:t>risieren. So werden ihm die Umstände, aber auch die Menschen, denen er bege</w:t>
      </w:r>
      <w:r>
        <w:t>g</w:t>
      </w:r>
      <w:r>
        <w:t>net, oft nur im Verhältnis zur Mission und deren Aufgaben bewusst: als Missi</w:t>
      </w:r>
      <w:r>
        <w:t>o</w:t>
      </w:r>
      <w:r>
        <w:t>nare, denen er Hinweise gibt, Kolonialbeamte, mit denen die Mission verhandeln muss, Älteste, die in den Gemeinden eine Stütze sind, ‚Problemfälle‘, über die entschieden werden muss, oder Heiden, die es zu missionieren gilt.</w:t>
      </w:r>
    </w:p>
    <w:p w:rsidR="00CF6655" w:rsidRDefault="00CF6655" w:rsidP="00CF6655">
      <w:pPr>
        <w:pStyle w:val="Text"/>
      </w:pPr>
      <w:r>
        <w:t>2. Er hat immer etwas zu tun. Trotz der großen Länge des Tagebuchs gibt es nur relativ wenige Momente der zweckfreien Beobachtung. Reisetagebücher haben für gewöhnlich auch ein Element dessen, was man „kulturelle Insubord</w:t>
      </w:r>
      <w:r>
        <w:t>i</w:t>
      </w:r>
      <w:r>
        <w:t xml:space="preserve">nation“ gegenüber der Herkunftskultur nennen könnte – obwohl dies gerade in </w:t>
      </w:r>
      <w:r>
        <w:lastRenderedPageBreak/>
        <w:t>der postkolonialen Theorie, die ihr Augenmerk mehr auf die Kluft zwischen den einander begegnenden Kulturen legt, oft übersehen wird. Die Reisenden brechen nicht selten, bewusst oder unbewusst, auch deshalb in die Ferne auf, um den Selbstverständlichkeiten der eigenen Kultur zu entkommen. Sie wollen wieder Fragen stellen, wieder Ungewissheiten besitzen; auch deshalb wird der Reise tr</w:t>
      </w:r>
      <w:r>
        <w:t>a</w:t>
      </w:r>
      <w:r>
        <w:t>ditionell eine verjüngende Funktion zugesprochen.</w:t>
      </w:r>
    </w:p>
    <w:p w:rsidR="00CF6655" w:rsidRDefault="00CF6655" w:rsidP="00CF6655">
      <w:pPr>
        <w:pStyle w:val="Text"/>
      </w:pPr>
      <w:r>
        <w:t>Die Reisenden, indem sie dem Unerwarteten begegnen, bekommen die Chance, sich wieder neu für die Möglichkeiten des Lebens zu öffnen, statt in festgefahrenen Gleisen zu erstarren. Dies dürfte ein wichtiger Grund dafür sein, warum Reisen häufig als ‚Übergangsriten‘, als (quasi-)rituelle Umgangsweisen mit dem Bruch zwischen Lebensphasen, eingesetzt werden: die frühere ‚Grand tour</w:t>
      </w:r>
      <w:r w:rsidR="00363C1C">
        <w:fldChar w:fldCharType="begin"/>
      </w:r>
      <w:r w:rsidR="00236B17">
        <w:instrText xml:space="preserve"> XE "</w:instrText>
      </w:r>
      <w:r w:rsidR="00236B17" w:rsidRPr="00471CA8">
        <w:instrText>Grand tour</w:instrText>
      </w:r>
      <w:r w:rsidR="00236B17">
        <w:instrText xml:space="preserve">" </w:instrText>
      </w:r>
      <w:r w:rsidR="00363C1C">
        <w:fldChar w:fldCharType="end"/>
      </w:r>
      <w:r>
        <w:t>‘ der Adligen und wohlsituierter Bürger, heute die Hochzeitsreise, die Abifahrt, das Jahr im Ausland nach dem Studienabschluss, die Weltreise nach der Pensionierung sind Beispiele dafür.</w:t>
      </w:r>
    </w:p>
    <w:p w:rsidR="00CF6655" w:rsidRDefault="00CF6655" w:rsidP="00CF6655">
      <w:pPr>
        <w:pStyle w:val="Text"/>
      </w:pPr>
      <w:r>
        <w:t>Dadurch wird die Offenheit der Reisenden für alle Arten von Eindrücken bedingt, die erst die Voraussetzung dafür ist, dass sie diese – meist nach der e</w:t>
      </w:r>
      <w:r>
        <w:t>i</w:t>
      </w:r>
      <w:r>
        <w:t>genen Herkunftskultur interpretiert – niederschreiben. Meist setzt die postkol</w:t>
      </w:r>
      <w:r>
        <w:t>o</w:t>
      </w:r>
      <w:r>
        <w:t>niale Theorie erst an diesem Punkt an, indem sie feststellt, wie problematisch diese Beobachtungen über das scheinbar Fremde sind. Pointiert ausgedrückt: Bevor man das Andere missverstehen kann, muss man sich erst einmal dafür i</w:t>
      </w:r>
      <w:r>
        <w:t>n</w:t>
      </w:r>
      <w:r>
        <w:t>teressieren! Diese Offenheit ist bei Spiecker tatsächlich nicht vorhanden. Durch seine Eingebundenheit in das System der Mission einerseits, das ihm Ziele, Interpretationsweisen und Haltungen vorgibt, und die Funktion seines Aufen</w:t>
      </w:r>
      <w:r>
        <w:t>t</w:t>
      </w:r>
      <w:r>
        <w:t>halts andererseits, die ihm für jedes Erlebnis schon eine angemessene Reaktion vorgibt, bleibt ihm keine Chance, selbst einmal ‚ganz anders‘ zu sein oder zu handeln. Damit bleibt ihm jene Erfahrung, die das „Wunder des Reisens“</w:t>
      </w:r>
      <w:r>
        <w:rPr>
          <w:rStyle w:val="Funotenzeichen"/>
        </w:rPr>
        <w:footnoteReference w:id="66"/>
      </w:r>
      <w:r>
        <w:t xml:space="preserve"> au</w:t>
      </w:r>
      <w:r>
        <w:t>s</w:t>
      </w:r>
      <w:r>
        <w:t>macht, verborgen.</w:t>
      </w:r>
    </w:p>
    <w:p w:rsidR="00CF6655" w:rsidRDefault="00CF6655" w:rsidP="00CF6655">
      <w:pPr>
        <w:pStyle w:val="Text"/>
      </w:pPr>
      <w:r>
        <w:t>3. Dadurch ist er aber auch nicht in der Lage, sein Verhältnis zu den Fre</w:t>
      </w:r>
      <w:r>
        <w:t>m</w:t>
      </w:r>
      <w:r>
        <w:t>den, denen er begegnet, zu überdenken und möglicherweise neu zu definieren. Ein reisebedingtes Erweckungserlebnis, ein momentanes Eins-Werden mit der Fremde ist ausgeschlossen, weil er bereits in einer formalen Relation zu ihnen steht: Er ist die Aufsichtsperson, der „Inspektor“, der die Missionare überprüft; er inspiziert nicht nur die Kassenbücher, sondern schaut allgemein, dass sie ‚i</w:t>
      </w:r>
      <w:r>
        <w:t>h</w:t>
      </w:r>
      <w:r>
        <w:t>ren Haushalt in Ordnung halten‘. Bezogen auf die Einheimischen bedeutet das, burschikos ausgedrückt: Er ist der Chef ihrer Chefs. Dementsprechend variieren ihre Reaktionen zwischen Bewunderung, Gehorsam, Ansprache als Verbündeter und gelegentlichem Trotz. Für Spiecker selbst bedeutet es vor allem, dass seine Rolle festgelegt ist. Es bleibt kein Vorstellungsraum mehr für ‚Epiphanien‘ der Nähe, für den Funkenschlag der Begegnung, der sonst jeder Reise als Möglic</w:t>
      </w:r>
      <w:r>
        <w:t>h</w:t>
      </w:r>
      <w:r>
        <w:t>keit innewohnt.</w:t>
      </w:r>
      <w:r>
        <w:rPr>
          <w:rStyle w:val="Funotenzeichen"/>
        </w:rPr>
        <w:footnoteReference w:id="67"/>
      </w:r>
    </w:p>
    <w:p w:rsidR="00CF6655" w:rsidRDefault="00CF6655" w:rsidP="007308C9">
      <w:pPr>
        <w:pStyle w:val="Titel4"/>
      </w:pPr>
      <w:bookmarkStart w:id="94" w:name="_Toc130260674"/>
      <w:bookmarkStart w:id="95" w:name="_Toc327387974"/>
      <w:r>
        <w:lastRenderedPageBreak/>
        <w:t>Geographie: der vermessen(d)e Blick</w:t>
      </w:r>
      <w:bookmarkEnd w:id="94"/>
      <w:bookmarkEnd w:id="95"/>
    </w:p>
    <w:p w:rsidR="00CF6655" w:rsidRDefault="00CF6655" w:rsidP="004D000C">
      <w:pPr>
        <w:pStyle w:val="Text"/>
        <w:ind w:firstLine="0"/>
      </w:pPr>
      <w:r>
        <w:t>Interessant ist in diesem Zusammenhang die Rolle, die die geographischen G</w:t>
      </w:r>
      <w:r>
        <w:t>e</w:t>
      </w:r>
      <w:r>
        <w:t>sellschaften für die Vorbereitung des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gespielt haben. Diese Vere</w:t>
      </w:r>
      <w:r>
        <w:t>i</w:t>
      </w:r>
      <w:r>
        <w:t>ne hatten neben der geographischen, scheinbar objektiven „Erforschung“ und „Kartierung“ der für Europa interessanten Gebiete auch die Beschäftigung mit Auswanderung und Handelsinteressen zum Ziel. So sollte der 1878 in Berlin g</w:t>
      </w:r>
      <w:r>
        <w:t>e</w:t>
      </w:r>
      <w:r>
        <w:t>gründete „Central</w:t>
      </w:r>
      <w:r w:rsidR="002E0854">
        <w:t>-V</w:t>
      </w:r>
      <w:r>
        <w:t>erein für Handelsgeographie und Förderung deutscher Int</w:t>
      </w:r>
      <w:r>
        <w:t>e</w:t>
      </w:r>
      <w:r>
        <w:t>ressen</w:t>
      </w:r>
      <w:r w:rsidR="002E0854">
        <w:t xml:space="preserve"> im Auslande</w:t>
      </w:r>
      <w:r w:rsidR="00363C1C">
        <w:fldChar w:fldCharType="begin"/>
      </w:r>
      <w:r w:rsidR="00C85A35">
        <w:instrText xml:space="preserve"> XE "</w:instrText>
      </w:r>
      <w:r w:rsidR="00C85A35" w:rsidRPr="00E977AA">
        <w:instrText>Central-Verein für Handelsgeographie und Förderung deutscher Interessen im Auslande</w:instrText>
      </w:r>
      <w:r w:rsidR="00C85A35">
        <w:instrText xml:space="preserve">" </w:instrText>
      </w:r>
      <w:r w:rsidR="00363C1C">
        <w:fldChar w:fldCharType="end"/>
      </w:r>
      <w:r>
        <w:t>“ ursprünglich „Central</w:t>
      </w:r>
      <w:r w:rsidR="002E0854">
        <w:t>-V</w:t>
      </w:r>
      <w:r>
        <w:t>erein für Handelsgeographie, Au</w:t>
      </w:r>
      <w:r>
        <w:t>s</w:t>
      </w:r>
      <w:r>
        <w:t>wanderung und Kolonialpolitik</w:t>
      </w:r>
      <w:r w:rsidR="00363C1C">
        <w:fldChar w:fldCharType="begin"/>
      </w:r>
      <w:r w:rsidR="00C85A35">
        <w:instrText xml:space="preserve"> XE "</w:instrText>
      </w:r>
      <w:r w:rsidR="00C85A35" w:rsidRPr="00346DC5">
        <w:instrText>Kolonialpolitik</w:instrText>
      </w:r>
      <w:r w:rsidR="00C85A35">
        <w:instrText xml:space="preserve">" </w:instrText>
      </w:r>
      <w:r w:rsidR="00363C1C">
        <w:fldChar w:fldCharType="end"/>
      </w:r>
      <w:r>
        <w:t>“ heißen.</w:t>
      </w:r>
      <w:r>
        <w:rPr>
          <w:rStyle w:val="Funotenzeichen"/>
        </w:rPr>
        <w:footnoteReference w:id="68"/>
      </w:r>
      <w:r>
        <w:t xml:space="preserve"> Die Kartierung und Erfassung des Landes, die teilweise bis heute als objektive Forschungsleistung betrachtet wird, war zunächst einmal eine Erfassung jener Länder für den europäischen Wissen</w:t>
      </w:r>
      <w:r>
        <w:t>s</w:t>
      </w:r>
      <w:r>
        <w:t>fundus, über die vorher wenig bekannt war. Denen, die darin zunächst einmal e</w:t>
      </w:r>
      <w:r>
        <w:t>i</w:t>
      </w:r>
      <w:r>
        <w:t>ne wissenschaftliche Leistung sahen, kam es nicht in den Sinn, das Wissen der jeweiligen Völker über ihr Land, das natürlich detaillierte geographische Kenn</w:t>
      </w:r>
      <w:r>
        <w:t>t</w:t>
      </w:r>
      <w:r>
        <w:t>nisse einschloss, als bereits vollzogene „Erforschung“ zu betrachten.</w:t>
      </w:r>
      <w:r>
        <w:rPr>
          <w:rStyle w:val="Funotenzeichen"/>
        </w:rPr>
        <w:footnoteReference w:id="69"/>
      </w:r>
    </w:p>
    <w:p w:rsidR="00CF6655" w:rsidRDefault="00CF6655" w:rsidP="00CF6655">
      <w:pPr>
        <w:pStyle w:val="Text"/>
      </w:pPr>
      <w:r>
        <w:lastRenderedPageBreak/>
        <w:t>Somit wurde die Entdeckung für den europäischen Gebrauch die einzig leg</w:t>
      </w:r>
      <w:r>
        <w:t>i</w:t>
      </w:r>
      <w:r>
        <w:t>time Entdeckung, womit sich die zunächst seltsam anmutende Vereinbarung von Geographie und Landnahme im Programm der geographischen Vereine erklären lässt. Wenn per definitionem nur europäisches Wissen ein echtes Wissen war, dann wurden die Einwohner durch den europäischen Blick Fremde in ihren eig</w:t>
      </w:r>
      <w:r>
        <w:t>e</w:t>
      </w:r>
      <w:r>
        <w:t>nen Ländern, die sich nicht auskennen, wo nur der Europäer wissen, messen und verstehen kann. Bis zur Enteignung eines solcherart mit wissenschaftlicher Leg</w:t>
      </w:r>
      <w:r>
        <w:t>i</w:t>
      </w:r>
      <w:r>
        <w:t>timation als „der Menschheit unbekannt“ betrachteten Gebiets war es dann nur noch ein kleiner Schritt – im Blick der Kolonisatoren war sie bereits impliziert.</w:t>
      </w:r>
    </w:p>
    <w:p w:rsidR="00CF6655" w:rsidRDefault="00CF6655" w:rsidP="007308C9">
      <w:pPr>
        <w:pStyle w:val="Titel4"/>
      </w:pPr>
      <w:bookmarkStart w:id="96" w:name="_Toc130260675"/>
      <w:bookmarkStart w:id="97" w:name="_Toc327387975"/>
      <w:r>
        <w:t>Sprachbarrieren</w:t>
      </w:r>
      <w:bookmarkEnd w:id="96"/>
      <w:bookmarkEnd w:id="97"/>
    </w:p>
    <w:p w:rsidR="00CF6655" w:rsidRDefault="00CF6655" w:rsidP="004D000C">
      <w:pPr>
        <w:pStyle w:val="Text"/>
        <w:ind w:firstLine="0"/>
      </w:pPr>
      <w:r>
        <w:t>Sprachbarrieren spielen in der Wahrnehmung der Fremde, die laut der postkol</w:t>
      </w:r>
      <w:r>
        <w:t>o</w:t>
      </w:r>
      <w:r>
        <w:t>nialen Theorie immer auf die eine oder andere Art eine Fehlwahrnehmung ist, eine häufig unterschätzte Rolle, wie Michael Cronin betont. Er fragt sich unter anderem: „Bedeuteten ihre Fremdsprachenkenntnisse, daß [die Dolmetscher] der indigenen Kultur eine überaus ambivalente Haltung entgegenbrachten? In welchem Ausmaß führen verschiedenartige sprachlich vermittelte Kulturen zu unüberwindlichen Übersetzungsproblemen?“</w:t>
      </w:r>
      <w:r>
        <w:rPr>
          <w:rStyle w:val="Funotenzeichen"/>
        </w:rPr>
        <w:footnoteReference w:id="70"/>
      </w:r>
    </w:p>
    <w:p w:rsidR="00CF6655" w:rsidRDefault="00CF6655" w:rsidP="00CF6655">
      <w:pPr>
        <w:pStyle w:val="Text"/>
      </w:pPr>
      <w:r>
        <w:t>Tatsächlich kommen beim Lesen des Spieckerschen Tagebuchs solche Fr</w:t>
      </w:r>
      <w:r>
        <w:t>a</w:t>
      </w:r>
      <w:r>
        <w:t>gen auf. Spiecker selbst scheint die Sprachen dagegen nur als ‚technisches Hi</w:t>
      </w:r>
      <w:r>
        <w:t>n</w:t>
      </w:r>
      <w:r>
        <w:t xml:space="preserve">dernis‘ zu sehen, das überwunden werden muss (vgl. Abschnitt </w:t>
      </w:r>
      <w:r w:rsidR="00363C1C">
        <w:fldChar w:fldCharType="begin"/>
      </w:r>
      <w:r w:rsidR="000A357F">
        <w:instrText xml:space="preserve"> REF _Ref325354937 \r \h </w:instrText>
      </w:r>
      <w:r w:rsidR="00363C1C">
        <w:fldChar w:fldCharType="separate"/>
      </w:r>
      <w:r w:rsidR="00216538">
        <w:t>2.1.1</w:t>
      </w:r>
      <w:r w:rsidR="00363C1C">
        <w:fldChar w:fldCharType="end"/>
      </w:r>
      <w:r>
        <w:t>). Auch bei den Predigten wird gedolmetscht, entweder von einem einheimischen Hilfspfa</w:t>
      </w:r>
      <w:r>
        <w:t>r</w:t>
      </w:r>
      <w:r>
        <w:t>rer, Lehrer oder Gemeindeältesten oder vom ortsansässigen Missionar (vgl. A</w:t>
      </w:r>
      <w:r>
        <w:t>b</w:t>
      </w:r>
      <w:r>
        <w:t xml:space="preserve">schnitt </w:t>
      </w:r>
      <w:r w:rsidR="00363C1C">
        <w:fldChar w:fldCharType="begin"/>
      </w:r>
      <w:r w:rsidR="000E629D">
        <w:instrText xml:space="preserve"> REF _Ref325354965 \r \h </w:instrText>
      </w:r>
      <w:r w:rsidR="00363C1C">
        <w:fldChar w:fldCharType="separate"/>
      </w:r>
      <w:r w:rsidR="00216538">
        <w:t>2.1.2</w:t>
      </w:r>
      <w:r w:rsidR="00363C1C">
        <w:fldChar w:fldCharType="end"/>
      </w:r>
      <w:r>
        <w:t>). Spiecker legt großen Wert darauf, dass die Missionare mittelfristig die Sprachen der ortsansässigen Stämme lernen; dabei ist er realistisch und b</w:t>
      </w:r>
      <w:r>
        <w:t>e</w:t>
      </w:r>
      <w:r>
        <w:t>fürwortet, dass jeder Missionar erst einmal eine Sprache lernen soll, wobei bei der Verteilung von neuen Missionaren sogar festgelegt wird, welche sie zu lernen haben (943).</w:t>
      </w:r>
    </w:p>
    <w:p w:rsidR="00CF6655" w:rsidRDefault="00CF6655" w:rsidP="00CF6655">
      <w:pPr>
        <w:pStyle w:val="Text"/>
      </w:pPr>
      <w:r>
        <w:t>Insgesamt entsteht der Eindruck, dass sich Spiecker der Sprachbarriere als kulturelles Hindernis kaum bewusst ist; dafür müsste zunächst die Lebens- und Denkweise der Eingeborenen überhaupt als eigenständige Kultur wahrgeno</w:t>
      </w:r>
      <w:r>
        <w:t>m</w:t>
      </w:r>
      <w:r>
        <w:t>men werden. Eine solche Wahrnehmung fehlt jedoch bei den Missionaren wei</w:t>
      </w:r>
      <w:r>
        <w:t>t</w:t>
      </w:r>
      <w:r>
        <w:t>gehend, ebenso wie bei Siedlern und Kolonialregierung</w:t>
      </w:r>
      <w:r w:rsidR="00363C1C" w:rsidRPr="00C221A5">
        <w:fldChar w:fldCharType="begin"/>
      </w:r>
      <w:r w:rsidR="00C221A5" w:rsidRPr="00C221A5">
        <w:instrText xml:space="preserve"> XE "Kolonialregierung" </w:instrText>
      </w:r>
      <w:r w:rsidR="00363C1C" w:rsidRPr="00C221A5">
        <w:fldChar w:fldCharType="end"/>
      </w:r>
      <w:r w:rsidR="00363C1C" w:rsidRPr="00C221A5">
        <w:fldChar w:fldCharType="begin"/>
      </w:r>
      <w:r w:rsidR="00C221A5" w:rsidRPr="00C221A5">
        <w:instrText xml:space="preserve"> XE "Kolonialregierung" \t "</w:instrText>
      </w:r>
      <w:r w:rsidR="00C221A5" w:rsidRPr="00C221A5">
        <w:rPr>
          <w:rFonts w:cstheme="minorHAnsi"/>
          <w:i/>
        </w:rPr>
        <w:instrText>siehe auch</w:instrText>
      </w:r>
      <w:r w:rsidR="00C221A5" w:rsidRPr="00C221A5">
        <w:rPr>
          <w:rFonts w:cstheme="minorHAnsi"/>
        </w:rPr>
        <w:instrText xml:space="preserve"> Gouvernement</w:instrText>
      </w:r>
      <w:r w:rsidR="00C221A5" w:rsidRPr="00C221A5">
        <w:instrText xml:space="preserve">" </w:instrText>
      </w:r>
      <w:r w:rsidR="00363C1C" w:rsidRPr="00C221A5">
        <w:fldChar w:fldCharType="end"/>
      </w:r>
      <w:r>
        <w:t>. Zwar werden auf den Konferenzen Referate gehalten, die manchmal auch die Kultur der Stämme b</w:t>
      </w:r>
      <w:r>
        <w:t>e</w:t>
      </w:r>
      <w:r>
        <w:t>treffen (1180),</w:t>
      </w:r>
      <w:r>
        <w:rPr>
          <w:rStyle w:val="Funotenzeichen"/>
        </w:rPr>
        <w:footnoteReference w:id="71"/>
      </w:r>
      <w:r>
        <w:t xml:space="preserve"> doch im Alltag auf den Stationen scheinen solche Überlegungen an den Rand gerückt zu sein. Was zählt, ist die Organisation der Station, die </w:t>
      </w:r>
      <w:r>
        <w:lastRenderedPageBreak/>
        <w:t>Verwaltung der kirchlichen und weltlichen Aufgaben und auch die Subordinat</w:t>
      </w:r>
      <w:r>
        <w:t>i</w:t>
      </w:r>
      <w:r>
        <w:t xml:space="preserve">on der Gemeindemitglieder; nur in letzterem Zusammenhang werden kulturelle Faktoren wichtig, </w:t>
      </w:r>
      <w:r w:rsidR="00A27C71">
        <w:t>etwa</w:t>
      </w:r>
      <w:r>
        <w:t xml:space="preserve"> wenn es gilt, Empfindlichkeiten von Stammesführern zu berücksichtigen oder die Rolle der Frauen den europäischen Vorstellungen a</w:t>
      </w:r>
      <w:r>
        <w:t>n</w:t>
      </w:r>
      <w:r>
        <w:t xml:space="preserve">zupassen (vgl. Abschnitt </w:t>
      </w:r>
      <w:r w:rsidR="00363C1C">
        <w:fldChar w:fldCharType="begin"/>
      </w:r>
      <w:r w:rsidR="00D20B0E">
        <w:instrText xml:space="preserve"> REF _Ref325355006 \r \h </w:instrText>
      </w:r>
      <w:r w:rsidR="00363C1C">
        <w:fldChar w:fldCharType="separate"/>
      </w:r>
      <w:r w:rsidR="00216538">
        <w:t>2.5</w:t>
      </w:r>
      <w:r w:rsidR="00363C1C">
        <w:fldChar w:fldCharType="end"/>
      </w:r>
      <w:r>
        <w:t xml:space="preserve"> „Das importierte Patriarchat“). Sprache als Hinde</w:t>
      </w:r>
      <w:r>
        <w:t>r</w:t>
      </w:r>
      <w:r>
        <w:t>nis für den Kulturaustausch kommt gar nicht erst in den Blick. Dass die Einhe</w:t>
      </w:r>
      <w:r>
        <w:t>i</w:t>
      </w:r>
      <w:r>
        <w:t>mischen einem kulturell auch etwas zu geben haben könnten, auf diese Idee kommt man nicht – Kulturaustausch ist in den Kolonien eine ‚Einbahnstraße‘. Für diese Ignoranz bezahlt die Mission jedoch einen Preis: Sie kann so auch nicht erkennen, dass man die eigene Kultur, und eben auch die Religion, nicht einfach weitergeben kann, sondern dass sie wie im ‚Blinde Post‘-Spiel immer a</w:t>
      </w:r>
      <w:r>
        <w:t>n</w:t>
      </w:r>
      <w:r>
        <w:t>ders ankommt als sie gesendet wurde.</w:t>
      </w:r>
    </w:p>
    <w:p w:rsidR="00CF6655" w:rsidRDefault="00CF6655" w:rsidP="004D000C">
      <w:pPr>
        <w:pStyle w:val="Titel3"/>
      </w:pPr>
      <w:bookmarkStart w:id="98" w:name="_Toc130260676"/>
      <w:bookmarkStart w:id="99" w:name="_Toc327387976"/>
      <w:r>
        <w:t>Die Kultur</w:t>
      </w:r>
      <w:bookmarkEnd w:id="98"/>
      <w:bookmarkEnd w:id="99"/>
    </w:p>
    <w:p w:rsidR="00CF6655" w:rsidRDefault="00CF6655" w:rsidP="007308C9">
      <w:pPr>
        <w:pStyle w:val="Titel4"/>
      </w:pPr>
      <w:bookmarkStart w:id="100" w:name="_Toc122313621"/>
      <w:bookmarkStart w:id="101" w:name="_Toc122313709"/>
      <w:bookmarkStart w:id="102" w:name="_Toc130260677"/>
      <w:bookmarkStart w:id="103" w:name="_Toc327387977"/>
      <w:r>
        <w:t>Lebensweise</w:t>
      </w:r>
      <w:bookmarkEnd w:id="100"/>
      <w:bookmarkEnd w:id="101"/>
      <w:bookmarkEnd w:id="102"/>
      <w:bookmarkEnd w:id="103"/>
    </w:p>
    <w:p w:rsidR="00CF6655" w:rsidRDefault="00CF6655" w:rsidP="004D000C">
      <w:pPr>
        <w:pStyle w:val="Text"/>
        <w:ind w:firstLine="0"/>
      </w:pPr>
      <w:r>
        <w:t>Es fällt auf, wie wenig Spiecker über die Kultur und Gebräuche der Stämme b</w:t>
      </w:r>
      <w:r>
        <w:t>e</w:t>
      </w:r>
      <w:r>
        <w:t>richtet, denen er begegnet. Neugier auf das Fremde gehört nicht zu den Motiv</w:t>
      </w:r>
      <w:r>
        <w:t>a</w:t>
      </w:r>
      <w:r>
        <w:t>tionen für seine Afrikareise, und ein ethnologischer Standpunkt liegt ihm ganz fern. Nur selten einmal finden sich kleine Beobachtungen, die beiläufig notiert werden, wie die eines Tanzes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„Vor der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tanzten die Mä</w:t>
      </w:r>
      <w:r>
        <w:t>d</w:t>
      </w:r>
      <w:r>
        <w:t>chen ohne die Knaben, was einen sehr anmutigen Eindruck machte. Übrigens sollen diese Tänze, die vielfach in der Nacht ausgeführt werden doch häufig zu mancherlei sittlichen Ausschreitungen führen.“ (916) Selbst wenn die Mädchen alleine tanzen, kann ihn das nicht beruhigen; die Perspektive auf solche Traditi</w:t>
      </w:r>
      <w:r>
        <w:t>o</w:t>
      </w:r>
      <w:r>
        <w:t>nen ist eben doch sehr einseitig und orientiert sich an den Anforderungen der Missionsarbeit. Vielleicht liegt es daran, dass andere kulturelle Gewohnheiten, die keine „sittlichen Gefahren“ in sich bergen, selten erwähnt werden.</w:t>
      </w:r>
    </w:p>
    <w:p w:rsidR="00CF6655" w:rsidRDefault="00CF6655" w:rsidP="00CF6655">
      <w:pPr>
        <w:pStyle w:val="Text"/>
      </w:pPr>
      <w:r>
        <w:t>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wo es erst wenige Christen gibt, besucht Spiecker die Eingebor</w:t>
      </w:r>
      <w:r>
        <w:t>e</w:t>
      </w:r>
      <w:r>
        <w:t>nenwerft. Er ruft dringlich zur Bekehrung auf und bekommt meist direkte Zus</w:t>
      </w:r>
      <w:r>
        <w:t>a</w:t>
      </w:r>
      <w:r>
        <w:t>gen, auf die er aber nichts gibt. Der christliche Lehrer Simon Davids</w:t>
      </w:r>
      <w:r w:rsidR="00363C1C">
        <w:fldChar w:fldCharType="begin"/>
      </w:r>
      <w:r w:rsidR="00377A99">
        <w:instrText xml:space="preserve"> XE "</w:instrText>
      </w:r>
      <w:r w:rsidR="00377A99" w:rsidRPr="00046987">
        <w:instrText>Davids, Simon</w:instrText>
      </w:r>
      <w:r w:rsidR="00377A99">
        <w:instrText xml:space="preserve">" </w:instrText>
      </w:r>
      <w:r w:rsidR="00363C1C">
        <w:fldChar w:fldCharType="end"/>
      </w:r>
      <w:r>
        <w:t xml:space="preserve"> dolmetscht für ihn. „Sehr gleichgiltig und fast ablehnend verhielt sich eine dicke üppige Häuptlingsfrau, die Hauptfrau (der Häuptling hat mehrere Frauen) mit ihren Genossinnen. Sie aß fortwährend oentjes (kl. Zwiebeln), die im Feuer geröstet werden.“ Beide sind daran gewöhnt, als Autoritäten behandelt zu werden, und so geraten sie aneinander: „Als ich ihr sagte: "Du mußt nicht essen, wenn ich mit Dir rede", hörte sie nur einen Augenblick auf, aß dann aber weiter.“ (1004) Sein abschließendes Urteil fällt wenig positiv aus: „Überhaupt sind die Bewohner der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tief gesunkene Heiden, die zwar im Elend, aber doch ihren Lüsten leben.“ (1004) Die Polygamie</w:t>
      </w:r>
      <w:r w:rsidR="00363C1C">
        <w:fldChar w:fldCharType="begin"/>
      </w:r>
      <w:r w:rsidR="00AD7AF5">
        <w:instrText xml:space="preserve"> XE "</w:instrText>
      </w:r>
      <w:r w:rsidR="00AD7AF5" w:rsidRPr="002B4B94">
        <w:instrText>Polygamie</w:instrText>
      </w:r>
      <w:r w:rsidR="00AD7AF5">
        <w:instrText xml:space="preserve">" </w:instrText>
      </w:r>
      <w:r w:rsidR="00363C1C">
        <w:fldChar w:fldCharType="end"/>
      </w:r>
      <w:r>
        <w:t xml:space="preserve"> des Häuptlings hat offenbar Eindruck auf ihn gemacht, und so ist er in strenger Stimmung, als ihn am Abend zwei Soldaten aufsuchen, </w:t>
      </w:r>
      <w:r>
        <w:lastRenderedPageBreak/>
        <w:t>„mit denen Br.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 christliche Lieder sang. Es gibt doch auch unter den rohen Kriegsknechten, die durchweg hier ein Sündenleben führen, einige ernster gesinnte Menschen.</w:t>
      </w:r>
      <w:r>
        <w:rPr>
          <w:rStyle w:val="Funotenzeichen"/>
        </w:rPr>
        <w:footnoteReference w:id="72"/>
      </w:r>
      <w:r>
        <w:t xml:space="preserve"> Ich zog mich natürlich zurück, um mich auf die Predigten vorzubereiten.“ (1005) Selbst das christliche Singen scheint ihm noch ein wenig zu sehr nach Vergnügen auszusehen.</w:t>
      </w:r>
    </w:p>
    <w:p w:rsidR="00CF6655" w:rsidRDefault="00CF6655" w:rsidP="00CF6655">
      <w:pPr>
        <w:pStyle w:val="Text"/>
      </w:pPr>
      <w:r>
        <w:t>Auf seiner Reise ins Amboland war Spiecker zunächst in Urris (westlich von Gaub</w:t>
      </w:r>
      <w:r w:rsidR="00363C1C">
        <w:fldChar w:fldCharType="begin"/>
      </w:r>
      <w:r w:rsidR="00FD439D">
        <w:instrText xml:space="preserve"> XE "</w:instrText>
      </w:r>
      <w:r w:rsidR="00FD439D" w:rsidRPr="0045100C">
        <w:rPr>
          <w:lang w:val="it-IT"/>
        </w:rPr>
        <w:instrText>Gaub</w:instrText>
      </w:r>
      <w:r w:rsidR="00FD439D">
        <w:instrText xml:space="preserve">" </w:instrText>
      </w:r>
      <w:r w:rsidR="00363C1C">
        <w:fldChar w:fldCharType="end"/>
      </w:r>
      <w:r>
        <w:t>) einigen Buschleuten und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rPr>
          <w:rStyle w:val="Funotenzeichen"/>
        </w:rPr>
        <w:footnoteReference w:id="73"/>
      </w:r>
      <w:r>
        <w:t xml:space="preserve"> begegnet:</w:t>
      </w:r>
    </w:p>
    <w:p w:rsidR="00CF6655" w:rsidRDefault="00CF6655" w:rsidP="00CF6655">
      <w:pPr>
        <w:pStyle w:val="Zitat"/>
      </w:pPr>
      <w:r>
        <w:t>Die Leute waren fast ganz nackt. In ihren Pontokken sah ich auch nicht das g</w:t>
      </w:r>
      <w:r>
        <w:t>e</w:t>
      </w:r>
      <w:r>
        <w:t>ringste Hausgerät, nur etwas Stroh als Lager. Das sind noch die reinen Wildli</w:t>
      </w:r>
      <w:r>
        <w:t>n</w:t>
      </w:r>
      <w:r>
        <w:t xml:space="preserve">ge, die am liebsten mit dem Pfeil und Bogen im Feld herumziehen und ihre Freiheit genießen. Da sie </w:t>
      </w:r>
      <w:proofErr w:type="gramStart"/>
      <w:r>
        <w:t>wenig</w:t>
      </w:r>
      <w:proofErr w:type="gramEnd"/>
      <w:r>
        <w:t xml:space="preserve"> Bedürfnisse haben, liefert ihnen das Feld, was sie nötig haben. So sehen sie nicht recht ein, warum sie erst das Feld bearbeiten und säen sollen. Sie leben wie die Vögel in der Luft und die Tiere des Feldes von dem, was der himmlische Vater ihnen gibt, ohne daß sie sich abmühen. Es ist nicht leicht an solche Leute mit dem Evangelium heran zu kommen. (958)</w:t>
      </w:r>
    </w:p>
    <w:p w:rsidR="00CF6655" w:rsidRDefault="00CF6655" w:rsidP="004D000C">
      <w:pPr>
        <w:pStyle w:val="Text"/>
        <w:ind w:firstLine="0"/>
        <w:rPr>
          <w:i/>
          <w:iCs/>
          <w:sz w:val="26"/>
          <w:szCs w:val="26"/>
        </w:rPr>
      </w:pPr>
      <w:r>
        <w:t>Aus Spieckers Worten geht klar hervor, dass er sich der Ambivalenz des Evang</w:t>
      </w:r>
      <w:r>
        <w:t>e</w:t>
      </w:r>
      <w:r>
        <w:t>liums bewusst ist. Um erlöst zu werden, muss man unerlöst sein, und um ein Heilsversprechen geben zu können, muss zuvor die Vertreibung aus dem Par</w:t>
      </w:r>
      <w:r>
        <w:t>a</w:t>
      </w:r>
      <w:r>
        <w:t>dies stattgefunden haben. Was den Menschen bei der Vertreibung genommen wurde und was Jesus in seinem berühmten Gleichnis als Möglichkeit wieder vor Augen führt – ein sorgloses Leben ohne tägliche harte Arbeit –, spiegelt den d</w:t>
      </w:r>
      <w:r>
        <w:t>a</w:t>
      </w:r>
      <w:r>
        <w:t>mals vielleicht noch im kulturellen Bewusstsein präsenten Verlust an Freiheit wieder, der im Wechsel vom Nomadentum</w:t>
      </w:r>
      <w:r w:rsidR="00363C1C">
        <w:fldChar w:fldCharType="begin"/>
      </w:r>
      <w:r w:rsidR="00C468B2">
        <w:instrText xml:space="preserve"> XE "</w:instrText>
      </w:r>
      <w:r w:rsidR="00C468B2" w:rsidRPr="007B1708">
        <w:instrText>Nomaden</w:instrText>
      </w:r>
      <w:r w:rsidR="00C468B2">
        <w:instrText xml:space="preserve">" </w:instrText>
      </w:r>
      <w:r w:rsidR="00363C1C">
        <w:fldChar w:fldCharType="end"/>
      </w:r>
      <w:r>
        <w:t xml:space="preserve"> der Jäger und Sammler zur sesshaften Lebensweise, zu Ackerbau und Viehzucht gelegen hatte. Diese ‚Wilden‘ haben es noch; mit dem Evangelium kann man ihnen daher nicht so leicht kommen, wie Spiecker präzise formuliert. Ist auch das gemeint, wenn er angesichts der Zwangsarbeit</w:t>
      </w:r>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r>
        <w:t xml:space="preserve"> beim Eisenbahnbau</w:t>
      </w:r>
      <w:r w:rsidR="00363C1C">
        <w:fldChar w:fldCharType="begin"/>
      </w:r>
      <w:r w:rsidR="00AE4CA5">
        <w:instrText xml:space="preserve"> XE "</w:instrText>
      </w:r>
      <w:r w:rsidR="00AE4CA5" w:rsidRPr="0036291F">
        <w:instrText>Eisenbahnbau</w:instrText>
      </w:r>
      <w:r w:rsidR="00AE4CA5">
        <w:instrText xml:space="preserve">" </w:instrText>
      </w:r>
      <w:r w:rsidR="00363C1C">
        <w:fldChar w:fldCharType="end"/>
      </w:r>
      <w:r>
        <w:t xml:space="preserve"> (s. Abschnitt </w:t>
      </w:r>
      <w:r w:rsidR="00363C1C">
        <w:fldChar w:fldCharType="begin"/>
      </w:r>
      <w:r w:rsidR="00D20B0E">
        <w:instrText xml:space="preserve"> REF _Ref325355042 \r \h </w:instrText>
      </w:r>
      <w:r w:rsidR="00363C1C">
        <w:fldChar w:fldCharType="separate"/>
      </w:r>
      <w:r w:rsidR="00216538">
        <w:t>3.3.1</w:t>
      </w:r>
      <w:r w:rsidR="00363C1C">
        <w:fldChar w:fldCharType="end"/>
      </w:r>
      <w:r>
        <w:t xml:space="preserve">) feststellt: „Auch meiner Ansicht nach wird ihnen diese harte Schule gut und heilsam sein“ (952)? Ist es dann gar ein Stück weit der kollektive Neid der Europäer, der ihnen allerdings kaum bewusst ist, weil er sich unter dem Deckmantel der sicher geglaubten </w:t>
      </w:r>
      <w:r>
        <w:lastRenderedPageBreak/>
        <w:t>Überlegenheit als Verachtung dieser primitiven Lebensweise ausdrückt,</w:t>
      </w:r>
      <w:r>
        <w:rPr>
          <w:rStyle w:val="Funotenzeichen"/>
        </w:rPr>
        <w:footnoteReference w:id="74"/>
      </w:r>
      <w:r>
        <w:t xml:space="preserve"> wenn sie die Schwarzen so schnell wie möglich sesshaft machen wollen?</w:t>
      </w:r>
      <w:r>
        <w:rPr>
          <w:rStyle w:val="Funotenzeichen"/>
        </w:rPr>
        <w:footnoteReference w:id="75"/>
      </w:r>
    </w:p>
    <w:p w:rsidR="00CF6655" w:rsidRDefault="00CF6655" w:rsidP="007308C9">
      <w:pPr>
        <w:pStyle w:val="Titel4"/>
      </w:pPr>
      <w:bookmarkStart w:id="104" w:name="_Toc122313622"/>
      <w:bookmarkStart w:id="105" w:name="_Toc122313710"/>
      <w:bookmarkStart w:id="106" w:name="_Toc130260678"/>
      <w:bookmarkStart w:id="107" w:name="_Toc327387978"/>
      <w:r>
        <w:t>Religion</w:t>
      </w:r>
      <w:bookmarkEnd w:id="104"/>
      <w:bookmarkEnd w:id="105"/>
      <w:bookmarkEnd w:id="106"/>
      <w:bookmarkEnd w:id="107"/>
    </w:p>
    <w:p w:rsidR="00CF6655" w:rsidRDefault="00CF6655" w:rsidP="004D000C">
      <w:pPr>
        <w:pStyle w:val="Text"/>
        <w:ind w:firstLine="0"/>
      </w:pPr>
      <w:r>
        <w:t>In der Regel werden die vorgefundenen Stammesreligionen mit keinem Wort erwähnt; vermutlich bemerkt Spiecker sie gar nicht. Wer noch nicht getauft wurde, ist schlicht ein Heide, sozusagen ungeformtes Rohmaterial, das es zu nutzen gilt. Mit der Bezeichnung „Heide“ werden dabei außer „nicht christlich“ noch andere schlechte Eigenschaften verbunden: Mangelnde Menschlichkeit im Umgang miteinander, fehlende Zivilisiertheit, fehlende Selbstkontrolle usw.</w:t>
      </w:r>
      <w:r>
        <w:rPr>
          <w:rStyle w:val="Funotenzeichen"/>
        </w:rPr>
        <w:footnoteReference w:id="76"/>
      </w:r>
    </w:p>
    <w:p w:rsidR="00CF6655" w:rsidRDefault="00CF6655" w:rsidP="00CF6655">
      <w:pPr>
        <w:pStyle w:val="Text"/>
      </w:pPr>
      <w:r>
        <w:t>Aus postkolonialer Perspektive ist gerade dieser Vorgang der Ableugnung, die Postulierung der ‚Jungfräulichkeit‘ des vorgefundenen Landes (die sich in die verbreitete Charakterisierung von Afrika als ‚weiblich‘ – assoziiert mit Fruch</w:t>
      </w:r>
      <w:r>
        <w:t>t</w:t>
      </w:r>
      <w:r>
        <w:t>barkeit, Wildheit, ‚Natürlichkeit‘, Irrationalität und Gefahr – einfügt) ein wicht</w:t>
      </w:r>
      <w:r>
        <w:t>i</w:t>
      </w:r>
      <w:r>
        <w:t>ger Punkt in der Missionsarbeit: Er ermöglicht es, die Missionsarbeit nur als Aufbau von etwas (Religion und Kultur, die automatisch als „europäisch“ b</w:t>
      </w:r>
      <w:r>
        <w:t>e</w:t>
      </w:r>
      <w:r>
        <w:t>trachtet wird) zu verstehen, ohne den damit notwendig einhergehenden Ve</w:t>
      </w:r>
      <w:r>
        <w:t>r</w:t>
      </w:r>
      <w:r>
        <w:t>drängungs- und Zerstörungsprozess ins Blickfeld zu rücken. So kommt in Spieckers Tagebuch die Idee einer „Konkurrenz“ mit den einheimischen Religi</w:t>
      </w:r>
      <w:r>
        <w:t>o</w:t>
      </w:r>
      <w:r>
        <w:t>nen überhaupt nicht vor, sie werden quasi als nichtexistent betrachtet. Damit schützt man sich aber auch vor der Frage, was einen dazu berechtigt, sie zu ve</w:t>
      </w:r>
      <w:r>
        <w:t>r</w:t>
      </w:r>
      <w:r>
        <w:t>drängen.</w:t>
      </w:r>
    </w:p>
    <w:p w:rsidR="00CF6655" w:rsidRDefault="00CF6655" w:rsidP="00CF6655">
      <w:pPr>
        <w:pStyle w:val="Text"/>
      </w:pPr>
      <w:r>
        <w:t>Die Religion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ist animistisch. Für sie ist die Natur in all ihren E</w:t>
      </w:r>
      <w:r>
        <w:t>r</w:t>
      </w:r>
      <w:r>
        <w:t>scheinungsformen und Kräften beseelt. Kurt Panzergrau verweist auf die beso</w:t>
      </w:r>
      <w:r>
        <w:t>n</w:t>
      </w:r>
      <w:r>
        <w:lastRenderedPageBreak/>
        <w:t>dere Doppelnatur einer solchen Glaubensvorstellung: „Religiosität wird so</w:t>
      </w:r>
      <w:r>
        <w:t>l</w:t>
      </w:r>
      <w:r>
        <w:t>chermaßen erlebt als geheimnisvoll Verborgenes (Numinoses) und zugleich als Konkretum, denn ein Baum, ein Fluß oder eine Felsen sind erfassbare Realität.“</w:t>
      </w:r>
      <w:r>
        <w:rPr>
          <w:rStyle w:val="Funotenzeichen"/>
        </w:rPr>
        <w:footnoteReference w:id="77"/>
      </w:r>
      <w:r>
        <w:t xml:space="preserve"> Die Geister äußern sich in der Form von Besessenheit, Zauberei und Magie und können exorziert werden. Zugleich hatte für die Herero der Ahnenkult eine zentrale Bedeutung, die von den Europäern selten richtig erkannt wurde. Die Ahnengräber dienten auch als Gebetsstätten. Den Ahnen kommt dabei eine b</w:t>
      </w:r>
      <w:r>
        <w:t>e</w:t>
      </w:r>
      <w:r>
        <w:t>sondere Rolle zu als Vermittler zwischen den Einzelnen und der Gemeinschaft; sie können als gute Macht oder als Dämon auftreten, was auch vom Verhalten der Lebenden abhängt. Für die Herero sind die Ahnen die Kontrolleure ihres Funktionierens in der (größeren, auch die gesamten Vorfahren aller Zeiten) u</w:t>
      </w:r>
      <w:r>
        <w:t>m</w:t>
      </w:r>
      <w:r>
        <w:t>fassenden Gemeinschaft; wenn sie rufen, muss man folgen.</w:t>
      </w:r>
      <w:r>
        <w:rPr>
          <w:rStyle w:val="Funotenzeichen"/>
        </w:rPr>
        <w:footnoteReference w:id="78"/>
      </w:r>
    </w:p>
    <w:p w:rsidR="00CF6655" w:rsidRDefault="00CF6655" w:rsidP="00CF6655">
      <w:pPr>
        <w:pStyle w:val="Text"/>
      </w:pPr>
      <w:r>
        <w:t>Tatsächlich waren die einheimischen Religionen wohl aufgrund ihrer Dive</w:t>
      </w:r>
      <w:r>
        <w:t>r</w:t>
      </w:r>
      <w:r>
        <w:t>sifizierung nicht stark genug, um dem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ernsthafte Gegenwehr zu leisten. Stattdessen bekehrte man sich rasch zu dem Glauben, der mit klaren und eindrucksvollen Heilsbotschaften aufwarten konnte – etwas, dass die afrikan</w:t>
      </w:r>
      <w:r>
        <w:t>i</w:t>
      </w:r>
      <w:r>
        <w:t>schen Religionen in dieser Art nicht besaßen. Zugleich integrierte man die tie</w:t>
      </w:r>
      <w:r>
        <w:t>f</w:t>
      </w:r>
      <w:r>
        <w:t>sitzenden Vorstellungen von Geistern und Dämonen, die eine überzeugende I</w:t>
      </w:r>
      <w:r>
        <w:t>n</w:t>
      </w:r>
      <w:r>
        <w:t>terpretation alltäglicher Erfolge und Missgeschicke sowie Naturerfahrungen bi</w:t>
      </w:r>
      <w:r>
        <w:t>e</w:t>
      </w:r>
      <w:r>
        <w:t>ten konnten und dazu viel farbiger waren als die christlichen Erklärungen ‚die</w:t>
      </w:r>
      <w:r>
        <w:t>s</w:t>
      </w:r>
      <w:r>
        <w:t>seits des Himmels‘.„Auf dem Hintergrund zu fürchtender Ahnen und Dämonen wirkt die Verkündigung der Missionare als Befreiung“, schreibt Panzergrau. „Doch die Geister und Dämonen fallen nicht einfach weg. Sie finden ihre Mod</w:t>
      </w:r>
      <w:r>
        <w:t>i</w:t>
      </w:r>
      <w:r>
        <w:t>fikation in den dienenden Helfern christlicher Frömmigkeit: Den Engeln.“</w:t>
      </w:r>
      <w:r>
        <w:rPr>
          <w:rStyle w:val="Funotenzeichen"/>
        </w:rPr>
        <w:footnoteReference w:id="79"/>
      </w:r>
    </w:p>
    <w:p w:rsidR="00CF6655" w:rsidRDefault="00CF6655" w:rsidP="00CF6655">
      <w:pPr>
        <w:pStyle w:val="Text"/>
      </w:pPr>
      <w:r>
        <w:t>Eine sehr pauschale Beschreibung der Stammesreligionen des Ovambolands wird bei der Konferenz in Omupanda</w:t>
      </w:r>
      <w:r w:rsidR="00363C1C">
        <w:fldChar w:fldCharType="begin"/>
      </w:r>
      <w:r w:rsidR="00C05598">
        <w:instrText xml:space="preserve"> XE "</w:instrText>
      </w:r>
      <w:r w:rsidR="00C05598" w:rsidRPr="00FA4932">
        <w:instrText>Omupanda</w:instrText>
      </w:r>
      <w:r w:rsidR="00C05598">
        <w:instrText xml:space="preserve">" </w:instrText>
      </w:r>
      <w:r w:rsidR="00363C1C">
        <w:fldChar w:fldCharType="end"/>
      </w:r>
      <w:r>
        <w:t xml:space="preserve"> vorgenommen:</w:t>
      </w:r>
    </w:p>
    <w:p w:rsidR="00CF6655" w:rsidRDefault="00CF6655" w:rsidP="00CF6655">
      <w:pPr>
        <w:pStyle w:val="Zitat"/>
      </w:pPr>
      <w:r>
        <w:t>Bruder Sckaer</w:t>
      </w:r>
      <w:r w:rsidR="00363C1C">
        <w:fldChar w:fldCharType="begin"/>
      </w:r>
      <w:r w:rsidR="00C05598">
        <w:instrText xml:space="preserve"> XE "</w:instrText>
      </w:r>
      <w:r w:rsidR="00C05598" w:rsidRPr="0063740E">
        <w:instrText>Sckaer, Geschw.</w:instrText>
      </w:r>
      <w:r w:rsidR="00C05598">
        <w:instrText xml:space="preserve">" </w:instrText>
      </w:r>
      <w:r w:rsidR="00363C1C">
        <w:fldChar w:fldCharType="end"/>
      </w:r>
      <w:r>
        <w:t xml:space="preserve"> hielt darauf ein Referat über die religiösen Anschauungen und Gebräuche der Ovakuanjama. Aus demselben geht hervor, daß die Ovakuanjama sehr unklare Vorstellungen haben von einem höchsten Wesen, aber doch das Bewußtsein, daß es einen Gott </w:t>
      </w:r>
      <w:r w:rsidR="00232285">
        <w:t>„</w:t>
      </w:r>
      <w:r>
        <w:t>Kalunga</w:t>
      </w:r>
      <w:r w:rsidR="00232285">
        <w:t>“</w:t>
      </w:r>
      <w:r>
        <w:t xml:space="preserve"> gebe. Die verstorbenen Menschen werden zu Gespenstern, die die Menschen erschrecken oder zu Geistern, die meist den Menschen Böses zufügen. Der Hexenglaube spielt eine verhängnisvolle Rolle und von den zahlreichen Zauberern werden den Geistern allerlei Opfer gebracht. (1180)</w:t>
      </w:r>
    </w:p>
    <w:p w:rsidR="00CF6655" w:rsidRDefault="00CF6655" w:rsidP="004D000C">
      <w:pPr>
        <w:pStyle w:val="Text"/>
        <w:ind w:firstLine="0"/>
      </w:pPr>
      <w:r>
        <w:t>Obwohl sich die Mission nur selten und oberflächlich mit den Religionen, die sie vorfand, auseinander setzte, konnte sie an bestimmte Werte dieser Religionen anknüpfen. So betont Panzergrau die Kompatibilität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-Vorstellungen, die die Vorrangstellung des Gemeinwesens im Ahnenkult ausdrücken, zur Bet</w:t>
      </w:r>
      <w:r>
        <w:t>o</w:t>
      </w:r>
      <w:r>
        <w:t xml:space="preserve">nung der protestantischen Werterangordnung, die ebenfalls die Gemeinschaft in </w:t>
      </w:r>
      <w:r>
        <w:lastRenderedPageBreak/>
        <w:t>den Vordergrund stellt. Auch für andere Vorstellungen, wie das Fortbestehen der Seele nach dem Tod, fanden sich Anknüpfungspunkte in der Herero-Religion, die von den Missionaren auch erkannt und genutzt wurden.</w:t>
      </w:r>
      <w:r>
        <w:rPr>
          <w:rStyle w:val="Funotenzeichen"/>
        </w:rPr>
        <w:footnoteReference w:id="80"/>
      </w:r>
    </w:p>
    <w:p w:rsidR="00CF6655" w:rsidRDefault="00CF6655" w:rsidP="007308C9">
      <w:pPr>
        <w:pStyle w:val="Titel4"/>
      </w:pPr>
      <w:bookmarkStart w:id="108" w:name="_Toc122313623"/>
      <w:bookmarkStart w:id="109" w:name="_Toc122313711"/>
      <w:bookmarkStart w:id="110" w:name="_Toc130260679"/>
      <w:bookmarkStart w:id="111" w:name="_Toc327387979"/>
      <w:r>
        <w:t>Werften und Pontoks</w:t>
      </w:r>
      <w:r w:rsidR="00363C1C">
        <w:fldChar w:fldCharType="begin"/>
      </w:r>
      <w:r w:rsidR="00AD7AF5">
        <w:instrText xml:space="preserve"> XE "Pontok" </w:instrText>
      </w:r>
      <w:r w:rsidR="00363C1C">
        <w:fldChar w:fldCharType="end"/>
      </w:r>
      <w:r>
        <w:t>: die Wohnverhältnisse</w:t>
      </w:r>
      <w:bookmarkEnd w:id="108"/>
      <w:bookmarkEnd w:id="109"/>
      <w:bookmarkEnd w:id="110"/>
      <w:bookmarkEnd w:id="111"/>
    </w:p>
    <w:p w:rsidR="00CF6655" w:rsidRDefault="008E675D" w:rsidP="00E23976">
      <w:pPr>
        <w:pStyle w:val="Text"/>
        <w:ind w:firstLine="0"/>
      </w:pPr>
      <w:r>
        <w:t xml:space="preserve">„Werft“ ist eine aus dem Norddeutschen (‚Grundstück‘, ‚Hof‘) ins </w:t>
      </w:r>
      <w:r w:rsidR="00211EDA">
        <w:t>A</w:t>
      </w:r>
      <w:r>
        <w:t>frikaans übernommene Bezeichnung für traditionelle Wohnstätten, die von Palisaden oder Schutzwellen umgeben sind.</w:t>
      </w:r>
      <w:r>
        <w:rPr>
          <w:rStyle w:val="Funotenzeichen"/>
        </w:rPr>
        <w:footnoteReference w:id="81"/>
      </w:r>
      <w:r>
        <w:t xml:space="preserve"> </w:t>
      </w:r>
      <w:r w:rsidR="00CF6655">
        <w:t>In Olukonda</w:t>
      </w:r>
      <w:r w:rsidR="00363C1C">
        <w:fldChar w:fldCharType="begin"/>
      </w:r>
      <w:r w:rsidR="00C05598">
        <w:instrText xml:space="preserve"> XE "</w:instrText>
      </w:r>
      <w:r w:rsidR="00C05598" w:rsidRPr="00285499">
        <w:instrText>Olukonda</w:instrText>
      </w:r>
      <w:r w:rsidR="00C05598">
        <w:instrText xml:space="preserve">" </w:instrText>
      </w:r>
      <w:r w:rsidR="00363C1C">
        <w:fldChar w:fldCharType="end"/>
      </w:r>
      <w:r w:rsidR="00CF6655">
        <w:t xml:space="preserve"> im Amboland sieht er die trad</w:t>
      </w:r>
      <w:r w:rsidR="00CF6655">
        <w:t>i</w:t>
      </w:r>
      <w:r w:rsidR="00CF6655">
        <w:t>tionellen Werften der Ondonga:</w:t>
      </w:r>
    </w:p>
    <w:p w:rsidR="00CF6655" w:rsidRDefault="00CF6655" w:rsidP="00CF6655">
      <w:pPr>
        <w:pStyle w:val="Zitat"/>
      </w:pPr>
      <w:r>
        <w:t>Die sind sehr kunstvoll angelegt. Um das Ganze ist ein Holzzaun oder Pallisade angebracht. Im Inneren geht es dann durch mannigfach verschlungene Gänge in die verschiedenen Räume. Da gibt es Wohn- und Schlafräume, Vo</w:t>
      </w:r>
      <w:r>
        <w:t>r</w:t>
      </w:r>
      <w:r>
        <w:t>ratszimmer, Viehkraale</w:t>
      </w:r>
      <w:r w:rsidR="00363C1C">
        <w:fldChar w:fldCharType="begin"/>
      </w:r>
      <w:r w:rsidR="00B12E9F">
        <w:instrText xml:space="preserve"> XE "</w:instrText>
      </w:r>
      <w:r w:rsidR="00B12E9F" w:rsidRPr="00F13465">
        <w:instrText>Kraal</w:instrText>
      </w:r>
      <w:r w:rsidR="00B12E9F">
        <w:instrText xml:space="preserve">" </w:instrText>
      </w:r>
      <w:r w:rsidR="00363C1C">
        <w:fldChar w:fldCharType="end"/>
      </w:r>
      <w:r>
        <w:t xml:space="preserve"> für Groß- und Kleinvieh, Küche etc. teils ohne Dach, teils überdeckt. Die überdeckten Räume sind freilich sehr niedrig. Solch eine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ist ein kleiner Irrgarten, in dem der Fremde sich nicht so leicht zurech</w:t>
      </w:r>
      <w:r>
        <w:t>t</w:t>
      </w:r>
      <w:r>
        <w:t>findet. Uns führte der Werftbesitzer, ein Glied der hiesigen Gemeinde. Seine Frau überreichte mir beim Verlassen der Werft ein Geschenk, eine Art Löffel von einer hiesigen Frucht. So will es die Sitte hier. (1070f)</w:t>
      </w:r>
    </w:p>
    <w:p w:rsidR="00CF6655" w:rsidRDefault="00CF6655" w:rsidP="00CF6655">
      <w:pPr>
        <w:pStyle w:val="Zitat"/>
      </w:pPr>
      <w:r>
        <w:t>Die Werften sind geschickt angelegt, sie bestehen aus Pfählen, die zaunartig in die Erde gerammt sind und nicht nur die ganze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für Menschen und Tiere nach außen abschließen, sondern auch eine ganze Anzahl kleiner offener Rä</w:t>
      </w:r>
      <w:r>
        <w:t>u</w:t>
      </w:r>
      <w:r>
        <w:t>me bilden. Für die Nacht und die Regenzeit</w:t>
      </w:r>
      <w:r w:rsidR="00363C1C">
        <w:fldChar w:fldCharType="begin"/>
      </w:r>
      <w:r w:rsidR="00A72472">
        <w:instrText xml:space="preserve"> XE "</w:instrText>
      </w:r>
      <w:r w:rsidR="00A72472" w:rsidRPr="00C537E8">
        <w:instrText>Regenzeit</w:instrText>
      </w:r>
      <w:r w:rsidR="00A72472">
        <w:instrText xml:space="preserve">" </w:instrText>
      </w:r>
      <w:r w:rsidR="00363C1C">
        <w:fldChar w:fldCharType="end"/>
      </w:r>
      <w:r>
        <w:t xml:space="preserve"> sind kleine Räume mit einem spi</w:t>
      </w:r>
      <w:r>
        <w:t>t</w:t>
      </w:r>
      <w:r>
        <w:t>zen Dach von Stroh versehen. Auch sind aus Stroh große Körbe, den Biene</w:t>
      </w:r>
      <w:r>
        <w:t>n</w:t>
      </w:r>
      <w:r>
        <w:t>körben ähnlich, nur größer geflochten, in denen das Korn aufbewahrt wird. Sonst ist wenig oder gar kein Hausgerät in den Werften. Wir setzten uns auf Hölzer, die da lagen (1093).</w:t>
      </w:r>
    </w:p>
    <w:p w:rsidR="00CF6655" w:rsidRDefault="00CF6655" w:rsidP="00E23976">
      <w:pPr>
        <w:pStyle w:val="Text"/>
        <w:ind w:firstLine="0"/>
      </w:pPr>
      <w:r>
        <w:t>Nach dem Tod eines Häuptlings verlegt sein Nachfolger die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an eine and</w:t>
      </w:r>
      <w:r>
        <w:t>e</w:t>
      </w:r>
      <w:r>
        <w:t>re Stelle (1118).</w:t>
      </w:r>
    </w:p>
    <w:p w:rsidR="00CF6655" w:rsidRDefault="00B224D6" w:rsidP="00CF6655">
      <w:pPr>
        <w:pStyle w:val="Text"/>
      </w:pPr>
      <w:r>
        <w:t>Für traditionelle Wohnhäuser der Eingeborenen, die nicht wie Werften als Höfe alleinstehend angelegt und von Zäunen umgeben sind, wird oft die B</w:t>
      </w:r>
      <w:r>
        <w:t>e</w:t>
      </w:r>
      <w:r>
        <w:t>zeichnung „Pontok“ verwendet.</w:t>
      </w:r>
      <w:r w:rsidR="00D33901">
        <w:rPr>
          <w:rStyle w:val="Funotenzeichen"/>
        </w:rPr>
        <w:footnoteReference w:id="82"/>
      </w:r>
      <w:r>
        <w:t xml:space="preserve"> </w:t>
      </w:r>
      <w:r w:rsidR="00CF6655">
        <w:t>Zum englisch verwalteten Walfishbay</w:t>
      </w:r>
      <w:r w:rsidR="00363C1C">
        <w:fldChar w:fldCharType="begin"/>
      </w:r>
      <w:r w:rsidR="00C05598">
        <w:instrText xml:space="preserve"> XE "</w:instrText>
      </w:r>
      <w:r w:rsidR="00C05598" w:rsidRPr="00C05598">
        <w:instrText>Walfishbay</w:instrText>
      </w:r>
      <w:r w:rsidR="00C05598">
        <w:instrText xml:space="preserve">" </w:instrText>
      </w:r>
      <w:r w:rsidR="00363C1C">
        <w:fldChar w:fldCharType="end"/>
      </w:r>
      <w:r w:rsidR="00CF6655">
        <w:t xml:space="preserve"> gehört die Eingeborenensiedlung Sandfontein etwas weiter im Innern des Landes. </w:t>
      </w:r>
      <w:r>
        <w:t>Spi</w:t>
      </w:r>
      <w:r>
        <w:t>e</w:t>
      </w:r>
      <w:r>
        <w:t>cker berichtet, dass e</w:t>
      </w:r>
      <w:r w:rsidR="00CF6655">
        <w:t>in Teil der Pontoks</w:t>
      </w:r>
      <w:r w:rsidR="00363C1C">
        <w:fldChar w:fldCharType="begin"/>
      </w:r>
      <w:r w:rsidR="00AD7AF5">
        <w:instrText xml:space="preserve"> XE "Pontok" </w:instrText>
      </w:r>
      <w:r w:rsidR="00363C1C">
        <w:fldChar w:fldCharType="end"/>
      </w:r>
      <w:r w:rsidR="00CF6655">
        <w:t xml:space="preserve"> in einem Flußbett</w:t>
      </w:r>
      <w:r>
        <w:t xml:space="preserve"> steht</w:t>
      </w:r>
      <w:r w:rsidR="00CF6655">
        <w:t>: „Die Pontoks</w:t>
      </w:r>
      <w:r w:rsidR="00363C1C">
        <w:fldChar w:fldCharType="begin"/>
      </w:r>
      <w:r w:rsidR="00AD7AF5">
        <w:instrText xml:space="preserve"> XE "Pontok" </w:instrText>
      </w:r>
      <w:r w:rsidR="00363C1C">
        <w:fldChar w:fldCharType="end"/>
      </w:r>
      <w:r w:rsidR="00CF6655">
        <w:t xml:space="preserve"> stehen im Bett des Knisib und werden weggerissen, wenn der Fluß einmal a</w:t>
      </w:r>
      <w:r w:rsidR="00CF6655">
        <w:t>b</w:t>
      </w:r>
      <w:r w:rsidR="00CF6655">
        <w:t>kommt, was vielleicht alle 10 Jahre geschieht. Aus diesem Grunde können die Leute eigentlich nur Pontoks</w:t>
      </w:r>
      <w:r w:rsidR="00363C1C">
        <w:fldChar w:fldCharType="begin"/>
      </w:r>
      <w:r w:rsidR="00AD7AF5">
        <w:instrText xml:space="preserve"> XE "Pontok" </w:instrText>
      </w:r>
      <w:r w:rsidR="00363C1C">
        <w:fldChar w:fldCharType="end"/>
      </w:r>
      <w:r w:rsidR="00CF6655">
        <w:t xml:space="preserve"> bauen. Ich fand aber doch auch eine Anzahl g</w:t>
      </w:r>
      <w:r w:rsidR="00CF6655">
        <w:t>e</w:t>
      </w:r>
      <w:r w:rsidR="00CF6655">
        <w:t>mauerter oder aus Holz errichteter Hütten.“ (1340f) Geschlossene Siedlungen, wie sie sich um die Missionsstationen bilden, legen die Eingeborenen ursprün</w:t>
      </w:r>
      <w:r w:rsidR="00CF6655">
        <w:t>g</w:t>
      </w:r>
      <w:r w:rsidR="00CF6655">
        <w:lastRenderedPageBreak/>
        <w:t>lich nicht an: „Sandfontein selbst liegt einige Stunden in den Dünen zerstreut.“ (1339)</w:t>
      </w:r>
    </w:p>
    <w:p w:rsidR="00CF6655" w:rsidRDefault="00CF6655" w:rsidP="007308C9">
      <w:pPr>
        <w:pStyle w:val="Titel4"/>
      </w:pPr>
      <w:bookmarkStart w:id="112" w:name="_Toc122313625"/>
      <w:bookmarkStart w:id="113" w:name="_Toc122313713"/>
      <w:bookmarkStart w:id="114" w:name="_Toc130260680"/>
      <w:bookmarkStart w:id="115" w:name="_Toc327387980"/>
      <w:r>
        <w:t>Die ursprünglichen Stämme des Ambolands</w:t>
      </w:r>
      <w:bookmarkEnd w:id="112"/>
      <w:bookmarkEnd w:id="113"/>
      <w:bookmarkEnd w:id="114"/>
      <w:bookmarkEnd w:id="115"/>
    </w:p>
    <w:p w:rsidR="00CF6655" w:rsidRDefault="00CF6655" w:rsidP="00E23976">
      <w:pPr>
        <w:pStyle w:val="Text"/>
        <w:ind w:firstLine="0"/>
      </w:pPr>
      <w:r>
        <w:t>Im Amboland, südlich von Olukonda</w:t>
      </w:r>
      <w:r w:rsidR="00363C1C">
        <w:fldChar w:fldCharType="begin"/>
      </w:r>
      <w:r w:rsidR="00C05598">
        <w:instrText xml:space="preserve"> XE "</w:instrText>
      </w:r>
      <w:r w:rsidR="00C05598" w:rsidRPr="00285499">
        <w:instrText>Olukonda</w:instrText>
      </w:r>
      <w:r w:rsidR="00C05598">
        <w:instrText xml:space="preserve">" </w:instrText>
      </w:r>
      <w:r w:rsidR="00363C1C">
        <w:fldChar w:fldCharType="end"/>
      </w:r>
      <w:r>
        <w:t>, trifft Spiecker auf traditionell lebende Eingeborene:</w:t>
      </w:r>
    </w:p>
    <w:p w:rsidR="00CF6655" w:rsidRDefault="00CF6655" w:rsidP="00CF6655">
      <w:pPr>
        <w:pStyle w:val="Zitat"/>
      </w:pPr>
      <w:r>
        <w:t>An Werften von Eingeborenen sind wir schon vorbeigefahren. Eine Anzahl ganz nackter Ondongaleute – Männer, Frauen und Kinder kamen zum Wagen und bettelten um Tabak. Die Männer hatten Speere, Bogen und Pfeile und G</w:t>
      </w:r>
      <w:r>
        <w:t>e</w:t>
      </w:r>
      <w:r>
        <w:t>wehre bei sich. Die Frauen hatten eine ganz besondere, nicht unschöne Haa</w:t>
      </w:r>
      <w:r>
        <w:t>r</w:t>
      </w:r>
      <w:r>
        <w:t>frisur und viel Schmuck, besonders Perlen umgehängt. In ihrer Nacktheit sta</w:t>
      </w:r>
      <w:r>
        <w:t>n</w:t>
      </w:r>
      <w:r>
        <w:t>den sie ganz schamlos da. Sie lachten sehr viel und schienen guter Dinge zu sein. Es wundert mich nicht, wenn der gewöhnliche Reisende von der Zufri</w:t>
      </w:r>
      <w:r>
        <w:t>e</w:t>
      </w:r>
      <w:r>
        <w:t>denheit, dem Glück und der Bedürfnislosigkeit dieser Naturvölker redet und wünscht, man solle sie in ihrer Harmlosigkeit belassen. (1063f)</w:t>
      </w:r>
    </w:p>
    <w:p w:rsidR="00CF6655" w:rsidRDefault="00CF6655" w:rsidP="00E23976">
      <w:pPr>
        <w:pStyle w:val="Text"/>
        <w:ind w:firstLine="0"/>
      </w:pPr>
      <w:r>
        <w:t>Es fällt auf, dass offenbar das einzige Artefakt der Zivilisation, dass dieser Stamm sich zugelegt hat, das Gewehr ist: Es erleichtert ihnen wesentlich die Jagd. Kle</w:t>
      </w:r>
      <w:r>
        <w:t>i</w:t>
      </w:r>
      <w:r>
        <w:t>der dagegen halten sie für weniger dringlich, wie das Nebeneinander von teils nackten, teils gekleideten Schwarzen zeigt, das Spiecker im Laufe seiner Reise immer wieder beobachtet. Gekleidet sind dabei zum einen die Wohlhabenden, zum anderen die Christen, denen es von den Missionaren zur Pflicht gemacht wird.</w:t>
      </w:r>
    </w:p>
    <w:p w:rsidR="00CF6655" w:rsidRDefault="00CF6655" w:rsidP="00CF6655">
      <w:pPr>
        <w:pStyle w:val="Text"/>
      </w:pPr>
      <w:r>
        <w:t>Spiecker fährt fort: „Wie unschuldig die Naturvölker sind, hat wieder der Hereroaufstand gezeigt. Unter den Ovambos herrscht noch das Elend der Skl</w:t>
      </w:r>
      <w:r>
        <w:t>a</w:t>
      </w:r>
      <w:r>
        <w:t>verei und Vielweiberei, dazu der schreckliche Despotismus der Häuptlinge, der so weit geht, daß im Grunde niemand einen sicheren Privatbesitz hat.“ (1064) Tatsächlich erwähnt er später bei der Häuptlingsfrau Nekoto</w:t>
      </w:r>
      <w:r w:rsidR="00363C1C">
        <w:fldChar w:fldCharType="begin"/>
      </w:r>
      <w:r w:rsidR="00115805">
        <w:instrText xml:space="preserve"> XE "</w:instrText>
      </w:r>
      <w:r w:rsidR="00115805" w:rsidRPr="001D4460">
        <w:instrText>Nekoto</w:instrText>
      </w:r>
      <w:r w:rsidR="00115805">
        <w:instrText xml:space="preserve">" </w:instrText>
      </w:r>
      <w:r w:rsidR="00363C1C">
        <w:fldChar w:fldCharType="end"/>
      </w:r>
      <w:r>
        <w:t>: „Die Dienerinnen nahten sich in der Regel nur kniend der Nekoto, wenn sie ihr etwas zu überre</w:t>
      </w:r>
      <w:r>
        <w:t>i</w:t>
      </w:r>
      <w:r>
        <w:t>chen hatten.“ (1105) Trotzdem steht sein kritisches Urteil über die Gesel</w:t>
      </w:r>
      <w:r>
        <w:t>l</w:t>
      </w:r>
      <w:r>
        <w:t>schaftsordnung der Ovambo-Stämme, das eine allgemeine Unterdrückung a</w:t>
      </w:r>
      <w:r>
        <w:t>n</w:t>
      </w:r>
      <w:r>
        <w:t>nimmt, in einem gewissen Widerspruch zu der Beobachtung ihrer Fröhlichkeit. Auch das Erschrecken über das fehlende Privateigentum erstaunt bei einem Mann von Spieckers Bildung ein wenig, denn ihm müsste klar sein, dass es bei nomadisch oder teilnomadisch lebenden Stämmen eine geringere Rolle spielen muss als bei sesshaften Völkern. Was nützt einem Privateigentum, wenn man sich bei dessen Transport doch auf die Gemeinschaft verlassen muss, eigenes Vieh, wenn es doch in der Herde gehalten und getrieben werden muss, oder das Recht, erlegtes Wild allein aufzuessen, wenn man das Fleisch doch nicht aufb</w:t>
      </w:r>
      <w:r>
        <w:t>e</w:t>
      </w:r>
      <w:r>
        <w:t>wahren kann? Wie so oft in kolonialen Kontexten erfahren wir hier mehr über die Psyche des Beobachters als über die Beobachteten.</w:t>
      </w:r>
    </w:p>
    <w:p w:rsidR="00CF6655" w:rsidRDefault="00CF6655" w:rsidP="00CF6655">
      <w:pPr>
        <w:pStyle w:val="Text"/>
      </w:pPr>
      <w:r>
        <w:lastRenderedPageBreak/>
        <w:t>Aus dem Amboland ziehen immer wieder Arbeitssuchende nach Süden ins Hererogebiet, wo man leichter eine Arbeit findet und mehr verdienen kann. Auch der Krieg hindert sie nicht daran. „Seit vielen Jahren steckt dieser Wande</w:t>
      </w:r>
      <w:r>
        <w:t>r</w:t>
      </w:r>
      <w:r>
        <w:t>trieb in den Ovambo. Leider verderben sie viel im Hereroland, wo sie Arbeit und Verdienst suchen, an Leib und Seele und viele kommen um.“ (1200)</w:t>
      </w:r>
    </w:p>
    <w:p w:rsidR="00CF6655" w:rsidRDefault="00CF6655" w:rsidP="00CF6655">
      <w:pPr>
        <w:pStyle w:val="Text"/>
      </w:pPr>
      <w:r>
        <w:t>Von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xml:space="preserve"> aus besuchen sie die nahe gelegene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der Nekoto</w:t>
      </w:r>
      <w:r w:rsidR="00363C1C">
        <w:fldChar w:fldCharType="begin"/>
      </w:r>
      <w:r w:rsidR="00115805">
        <w:instrText xml:space="preserve"> XE "</w:instrText>
      </w:r>
      <w:r w:rsidR="00115805" w:rsidRPr="001D4460">
        <w:instrText>Nekoto</w:instrText>
      </w:r>
      <w:r w:rsidR="00115805">
        <w:instrText xml:space="preserve">" </w:instrText>
      </w:r>
      <w:r w:rsidR="00363C1C">
        <w:fldChar w:fldCharType="end"/>
      </w:r>
      <w:r>
        <w:t>: „Zuweilen galoppierten wir tüchtig darauf los. Drei Eingeborene begleiteten uns. Sie laufen so schnell wie das Pferd galoppiert, wenn es sein muß. […] Die Werft der Nekoto ist sehr groß. Vor derselben fanden wir schon eine ganze Anzahl Menschen, auch den Mann der Nekoto: Haischi, der aber gar nichts zu sagen hat, obwohl er auch ein Onkel des Häuptlings ist. Hier erbt nur die weibliche Linie. […] Sie war sehr schweigsam und vergab ihrer Würde als herrschende Häuptlingsfrau nichts. Für göttliche Dinge hat sie offenbar noch gar kein Ve</w:t>
      </w:r>
      <w:r>
        <w:t>r</w:t>
      </w:r>
      <w:r>
        <w:t>ständnis. Ich suchte das Gespräch wiederholt darauf zu lenken, aber es gelang nur wenig.“ (1103f) Fast überall haben die Schwarzen sich von Spieckers Worten beeindrucken lassen; hier lässt ihn sein Redetalent, das ihn vom nackten Eing</w:t>
      </w:r>
      <w:r>
        <w:t>e</w:t>
      </w:r>
      <w:r>
        <w:t>borenen bis zum Gouverneur mit jedem den richtigen Ton finden lässt, zum er</w:t>
      </w:r>
      <w:r>
        <w:t>s</w:t>
      </w:r>
      <w:r>
        <w:t>ten Mal im Stich. Und doch lernt jemand etwas bei diesem Besuch – es ist Spi</w:t>
      </w:r>
      <w:r>
        <w:t>e</w:t>
      </w:r>
      <w:r>
        <w:t>cker selbst: „Ihr Mann war ganz bekleidet, sie hatte nur einen freilich guten U</w:t>
      </w:r>
      <w:r>
        <w:t>n</w:t>
      </w:r>
      <w:r>
        <w:t>terrock an, der Oberkörper war ganz bloß. Ihre Begleiterinnen, wie fast alle B</w:t>
      </w:r>
      <w:r>
        <w:t>e</w:t>
      </w:r>
      <w:r>
        <w:t>wohner der Werft waren ganz nackt. Nekoto ist für meine Begriffe ein sehr hä</w:t>
      </w:r>
      <w:r>
        <w:t>ß</w:t>
      </w:r>
      <w:r>
        <w:t>liches altes Weib, während unter ihren teils noch recht jugendlichen Begleiterinnen sehr schöne Gestalten waren. Ich hatte hier den Eindruck, daß die Maler, die nackte Figuren darstellen, nicht nötig eine gemeine Gesinnung haben müssen. Die Schönheit eines Körpers und der einzelnen Teile desselben tritt bei nackten Personen viel mehr hervor.“ (1105) Bis jetzt hatte er Nacktheit bei Frauen immer nur als schamlos angesehen (1063).</w:t>
      </w:r>
    </w:p>
    <w:p w:rsidR="00CF6655" w:rsidRDefault="00CF6655" w:rsidP="00CF6655">
      <w:pPr>
        <w:pStyle w:val="Text"/>
      </w:pPr>
      <w:r>
        <w:t>Es kommen weitere Versuchungen, die Spiecker allerdings weniger übe</w:t>
      </w:r>
      <w:r>
        <w:t>r</w:t>
      </w:r>
      <w:r>
        <w:t>zeugen können: „Uns wurde ein sehr großer Topf hiesiges Bier gebracht. Wir gaben es unseren eingeborenen Begleitern, die hinter uns mit vielen Genossen auf der Erde saßen. Diese haben denn auch tapfer getrunken. Das Bier hat übr</w:t>
      </w:r>
      <w:r>
        <w:t>i</w:t>
      </w:r>
      <w:r>
        <w:t>gens kaum oder gar keinen Alkohol.“ (1106)</w:t>
      </w:r>
    </w:p>
    <w:p w:rsidR="00CF6655" w:rsidRDefault="00CF6655" w:rsidP="00E23976">
      <w:pPr>
        <w:pStyle w:val="Titel3"/>
      </w:pPr>
      <w:bookmarkStart w:id="116" w:name="_Toc130260681"/>
      <w:bookmarkStart w:id="117" w:name="_Toc327387981"/>
      <w:bookmarkStart w:id="118" w:name="_Toc122313624"/>
      <w:bookmarkStart w:id="119" w:name="_Toc122313712"/>
      <w:r>
        <w:t>Die Wirtschaft</w:t>
      </w:r>
      <w:bookmarkEnd w:id="116"/>
      <w:bookmarkEnd w:id="117"/>
    </w:p>
    <w:p w:rsidR="00CF6655" w:rsidRDefault="00CF6655" w:rsidP="007308C9">
      <w:pPr>
        <w:pStyle w:val="Titel4"/>
      </w:pPr>
      <w:bookmarkStart w:id="120" w:name="_Toc130260682"/>
      <w:bookmarkStart w:id="121" w:name="_Toc327387982"/>
      <w:r>
        <w:t>Ungewöhnliche Währung</w:t>
      </w:r>
      <w:bookmarkEnd w:id="118"/>
      <w:bookmarkEnd w:id="119"/>
      <w:r>
        <w:t>en</w:t>
      </w:r>
      <w:bookmarkEnd w:id="120"/>
      <w:bookmarkEnd w:id="121"/>
    </w:p>
    <w:p w:rsidR="00CF6655" w:rsidRDefault="00CF6655" w:rsidP="00DE269D">
      <w:pPr>
        <w:pStyle w:val="Text"/>
        <w:ind w:firstLine="0"/>
      </w:pPr>
      <w:r>
        <w:t>In Ukuanjama</w:t>
      </w:r>
      <w:r w:rsidR="00363C1C">
        <w:fldChar w:fldCharType="begin"/>
      </w:r>
      <w:r w:rsidR="00115805">
        <w:instrText xml:space="preserve"> XE "</w:instrText>
      </w:r>
      <w:r w:rsidR="00115805" w:rsidRPr="001E732D">
        <w:instrText>Ukuanjama</w:instrText>
      </w:r>
      <w:r w:rsidR="00115805">
        <w:instrText xml:space="preserve">" </w:instrText>
      </w:r>
      <w:r w:rsidR="00363C1C">
        <w:fldChar w:fldCharType="end"/>
      </w:r>
      <w:r>
        <w:t>, einem Stammesgebiet im nördlichen Amboland, dienen Perlen als Geld: „Nach Tisch kamen eine Menge Menschen, um Kaffernkorn etc. zu verkaufen. Für einen Becher Kafferkorn gibt es einen Fingerhut voll Perlen. Es ist gar nicht zu sagen, welch eine Menge Perlen diese Leute umhängen. Nach Perlen steht ihr Sinn. Perlen sind deshalb hier das Geld, teils auch Kleidungsst</w:t>
      </w:r>
      <w:r>
        <w:t>ü</w:t>
      </w:r>
      <w:r>
        <w:lastRenderedPageBreak/>
        <w:t>cke und Lappen.</w:t>
      </w:r>
      <w:r>
        <w:rPr>
          <w:rStyle w:val="Funotenzeichen"/>
        </w:rPr>
        <w:footnoteReference w:id="83"/>
      </w:r>
      <w:r>
        <w:t xml:space="preserve"> Oft sagen die Leute: "Schenk mir aus Gnaden d.i. umsonst e</w:t>
      </w:r>
      <w:r>
        <w:t>i</w:t>
      </w:r>
      <w:r>
        <w:t>nen Lappen."“ (1102)</w:t>
      </w:r>
      <w:bookmarkStart w:id="122" w:name="_Toc122313626"/>
      <w:bookmarkStart w:id="123" w:name="_Toc122313714"/>
    </w:p>
    <w:p w:rsidR="00CF6655" w:rsidRDefault="00CF6655" w:rsidP="007308C9">
      <w:pPr>
        <w:pStyle w:val="Titel4"/>
      </w:pPr>
      <w:bookmarkStart w:id="124" w:name="_Toc130260683"/>
      <w:bookmarkStart w:id="125" w:name="_Ref325355117"/>
      <w:bookmarkStart w:id="126" w:name="_Toc327387983"/>
      <w:r>
        <w:t>Kommunismus</w:t>
      </w:r>
      <w:r w:rsidR="00363C1C">
        <w:fldChar w:fldCharType="begin"/>
      </w:r>
      <w:r w:rsidR="00115805">
        <w:instrText xml:space="preserve"> XE "</w:instrText>
      </w:r>
      <w:r w:rsidR="00115805" w:rsidRPr="00D33351">
        <w:instrText>Kommunismus</w:instrText>
      </w:r>
      <w:r w:rsidR="00115805">
        <w:instrText xml:space="preserve">" </w:instrText>
      </w:r>
      <w:r w:rsidR="00363C1C">
        <w:fldChar w:fldCharType="end"/>
      </w:r>
      <w:r>
        <w:t xml:space="preserve"> gleich Schmarotzertum</w:t>
      </w:r>
      <w:bookmarkEnd w:id="122"/>
      <w:bookmarkEnd w:id="123"/>
      <w:r>
        <w:t>?</w:t>
      </w:r>
      <w:bookmarkEnd w:id="124"/>
      <w:bookmarkEnd w:id="125"/>
      <w:bookmarkEnd w:id="126"/>
    </w:p>
    <w:p w:rsidR="00CF6655" w:rsidRDefault="00CF6655" w:rsidP="00FA0706">
      <w:pPr>
        <w:pStyle w:val="Text"/>
        <w:ind w:firstLine="0"/>
      </w:pPr>
      <w:r>
        <w:t>Für das Stammesleben der Schwarzen, bei dem die Trennung des Eigentums nicht so strikt ist, hat Spiecker nicht viel Verständnis:</w:t>
      </w:r>
    </w:p>
    <w:p w:rsidR="00CF6655" w:rsidRDefault="00CF6655" w:rsidP="00CF6655">
      <w:pPr>
        <w:pStyle w:val="Zitat"/>
      </w:pPr>
      <w:r>
        <w:t>[…] 2 Farbige (Cape boys), die sich uns schmarotzend angeschlossen haben. Bei dem Kommunismus</w:t>
      </w:r>
      <w:r w:rsidR="00363C1C">
        <w:fldChar w:fldCharType="begin"/>
      </w:r>
      <w:r w:rsidR="00115805">
        <w:instrText xml:space="preserve"> XE "</w:instrText>
      </w:r>
      <w:r w:rsidR="00115805" w:rsidRPr="00D33351">
        <w:instrText>Kommunismus</w:instrText>
      </w:r>
      <w:r w:rsidR="00115805">
        <w:instrText xml:space="preserve">" </w:instrText>
      </w:r>
      <w:r w:rsidR="00363C1C">
        <w:fldChar w:fldCharType="end"/>
      </w:r>
      <w:r>
        <w:t xml:space="preserve"> der Farbigen leben diese alle mehr oder weniger aus unserem Topf. Da kann ein Hammel etc. schnell vertilgt sein. (908)</w:t>
      </w:r>
    </w:p>
    <w:p w:rsidR="00CF6655" w:rsidRDefault="00CF6655" w:rsidP="00FA0706">
      <w:pPr>
        <w:pStyle w:val="Text"/>
        <w:ind w:firstLine="0"/>
      </w:pPr>
      <w:r>
        <w:t>Das Schreckwort „Kommunismus</w:t>
      </w:r>
      <w:r w:rsidR="00363C1C">
        <w:fldChar w:fldCharType="begin"/>
      </w:r>
      <w:r w:rsidR="00115805">
        <w:instrText xml:space="preserve"> XE "</w:instrText>
      </w:r>
      <w:r w:rsidR="00115805" w:rsidRPr="00D33351">
        <w:instrText>Kommunismus</w:instrText>
      </w:r>
      <w:r w:rsidR="00115805">
        <w:instrText xml:space="preserve">" </w:instrText>
      </w:r>
      <w:r w:rsidR="00363C1C">
        <w:fldChar w:fldCharType="end"/>
      </w:r>
      <w:r>
        <w:t>“, schon damals ein Feindbild der Kirche, wird hier mit Schmarotzertum in Verbindung gebracht; eine Einstellung, die sich aus dem Neuen Testament nicht rechtfertigen lässt.</w:t>
      </w:r>
      <w:r>
        <w:rPr>
          <w:rStyle w:val="Funotenzeichen"/>
        </w:rPr>
        <w:footnoteReference w:id="84"/>
      </w:r>
      <w:r>
        <w:t xml:space="preserve"> Auf der Reise ins Amboland heißt es wiederum: „Eingeborene begleiten unseren Wagen, andere besuchen ihn, um mit unseren Wagenleuten zu essen. Diese lassen auch nie ihre schmarotze</w:t>
      </w:r>
      <w:r>
        <w:t>n</w:t>
      </w:r>
      <w:r>
        <w:t>den Landsleute leer ausgehen.“ (1084f) Wenige Sätze zuvor hatte er jedoch den Grund für dieses solidarische Verhalten genannt: „Tatsächlich ist es ein armes Land, dessen Bewohner kaum ihren sehr bescheidenen Lebensunterhalt finden und oft genug Hungers sterben.“ (1084) Vermutlich würden noch mehr sterben, wenn sie nicht teilen würden, was sie ergattern können, in diesem Fall die von Spiecker als Lohn erhaltene Nahrung. Bei erlegtem Wild gilt das Prinzip übr</w:t>
      </w:r>
      <w:r>
        <w:t>i</w:t>
      </w:r>
      <w:r>
        <w:t>gens genauso (988). Auch Essensgeschenke werden geteilt: „Den Kaffee und das Brot, das ihm Schwester Wulfhorst</w:t>
      </w:r>
      <w:r w:rsidR="00363C1C">
        <w:fldChar w:fldCharType="begin"/>
      </w:r>
      <w:r w:rsidR="00C05598">
        <w:instrText xml:space="preserve"> XE "</w:instrText>
      </w:r>
      <w:r w:rsidR="00C05598" w:rsidRPr="001C031A">
        <w:instrText>Wulfhorst, Geschw.</w:instrText>
      </w:r>
      <w:r w:rsidR="00C05598">
        <w:instrText xml:space="preserve">" </w:instrText>
      </w:r>
      <w:r w:rsidR="00363C1C">
        <w:fldChar w:fldCharType="end"/>
      </w:r>
      <w:r>
        <w:t xml:space="preserve"> reichte, teilte er mit verschiedenen anderen, obwohl es ihm gut schmeckte“ (1142).</w:t>
      </w:r>
    </w:p>
    <w:p w:rsidR="00CF6655" w:rsidRDefault="00CF6655" w:rsidP="00CF6655">
      <w:pPr>
        <w:pStyle w:val="Text"/>
      </w:pPr>
      <w:r>
        <w:t>Immerhin bezieht Spiecker das „Schmarotzen“ nur auf das Mitessen bei den weißen Reisenden. Ihm dürfte klar gewesen sein, dass innerhalb armer Gemei</w:t>
      </w:r>
      <w:r>
        <w:t>n</w:t>
      </w:r>
      <w:r>
        <w:t>schaften ein solches System des Teilens unvermeidlich ist, da ein eigenes Ei</w:t>
      </w:r>
      <w:r>
        <w:t>n</w:t>
      </w:r>
      <w:r>
        <w:t>kommen nicht für jeden zu jeder Zeit vorhanden ist und der einzelne rasch ei</w:t>
      </w:r>
      <w:r>
        <w:t>n</w:t>
      </w:r>
      <w:r>
        <w:t>mal sein Vieh und damit seinen Lebensunterhalt verlieren kann, was bei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durch den Krieg vielfach auch der Fall war: „Die alten Zeiten, da jeder Eingeborene seine Omaere [Sauermilch] und sein Vieh hatte, sind eben vorbei.“ (907) Für die Weißen kostet eine solche Hilfe dagegen Geld (und die Reise von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nach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und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ist mit ca. 1500 Mark sowieso schon teuer genug; 906). Die Systeme erweisen sich als inkompatibel.</w:t>
      </w:r>
    </w:p>
    <w:p w:rsidR="00CF6655" w:rsidRDefault="00CF6655" w:rsidP="00CF6655">
      <w:pPr>
        <w:pStyle w:val="Text"/>
      </w:pPr>
      <w:r>
        <w:t>Tatsächlich scheiterte ja dann der übereilte Versuch, aus den „kommunist</w:t>
      </w:r>
      <w:r>
        <w:t>i</w:t>
      </w:r>
      <w:r>
        <w:t>schen“ Nomaden</w:t>
      </w:r>
      <w:r w:rsidR="00363C1C">
        <w:fldChar w:fldCharType="begin"/>
      </w:r>
      <w:r w:rsidR="00115805">
        <w:instrText xml:space="preserve"> XE "</w:instrText>
      </w:r>
      <w:r w:rsidR="00115805" w:rsidRPr="00EF0138">
        <w:instrText>Nomaden</w:instrText>
      </w:r>
      <w:r w:rsidR="00115805">
        <w:instrText xml:space="preserve">" </w:instrText>
      </w:r>
      <w:r w:rsidR="00363C1C">
        <w:fldChar w:fldCharType="end"/>
      </w:r>
      <w:r>
        <w:rPr>
          <w:rStyle w:val="Funotenzeichen"/>
        </w:rPr>
        <w:footnoteReference w:id="85"/>
      </w:r>
      <w:r>
        <w:t xml:space="preserve"> sesshafte kapitalistische arbeitsteilige Gemeinschaften zu m</w:t>
      </w:r>
      <w:r>
        <w:t>a</w:t>
      </w:r>
      <w:r>
        <w:lastRenderedPageBreak/>
        <w:t>chen – ein Prozess, der in Europa über einen langen Zeitraum hinweg stattfand und nicht innerhalb weniger Jahre gelingen kann. Das bis heute schlechte Fun</w:t>
      </w:r>
      <w:r>
        <w:t>k</w:t>
      </w:r>
      <w:r>
        <w:t xml:space="preserve">tionieren der afrikanischen Volkswirtschaften kann auf diesen aufgezwungenen Systemwechsel zurückgeführt werden, der völlig die klimatischen Gegebenheiten und die Traditionen Afrikas verkannte, </w:t>
      </w:r>
      <w:r w:rsidR="007F6F8C">
        <w:t xml:space="preserve">also </w:t>
      </w:r>
      <w:r>
        <w:t>eigentlich ‚andere Menschen‘ (a</w:t>
      </w:r>
      <w:r>
        <w:t>r</w:t>
      </w:r>
      <w:r>
        <w:t>beitsorientierte Europäer) und ein ‚anderes Land‘ (gemäßigtes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und gleichmäßig fruchtbare Böden, die parzelliert genutzt werden können; Ausble</w:t>
      </w:r>
      <w:r>
        <w:t>i</w:t>
      </w:r>
      <w:r>
        <w:t>ben von Dürren, die selbständige Kleinbauern unweigerlich in den Ruin treiben) voraussetzte.</w:t>
      </w:r>
    </w:p>
    <w:p w:rsidR="00CF6655" w:rsidRDefault="00CF6655" w:rsidP="00CF6655">
      <w:pPr>
        <w:pStyle w:val="Text"/>
      </w:pPr>
      <w:r>
        <w:t>Die europäischen Kolonisatoren, denen die Umformung der vorgefundenen Nomadengesellschaften in Arbeitsgesellschaften gar nicht schnell genug gehen konnte, zerstörten damit die vorgefundene, funktionierende Wirtschaftsform und verdammten Afrika zu seiner Rolle als Armenhaus – wobei ein wichtiger Grund dafür ein ideologischer war,</w:t>
      </w:r>
      <w:r>
        <w:rPr>
          <w:rStyle w:val="Funotenzeichen"/>
        </w:rPr>
        <w:footnoteReference w:id="86"/>
      </w:r>
      <w:r>
        <w:t xml:space="preserve"> nämlich die Bekämpfung der „Faulheit“ der Schwarzen, die offenbar immer nur dann arbeiten, wenn es wirklich nötig ist. E</w:t>
      </w:r>
      <w:r>
        <w:t>i</w:t>
      </w:r>
      <w:r>
        <w:t>ne Vorstellung, die gerade mit der protestantischen Arbeitsethik</w:t>
      </w:r>
      <w:r w:rsidR="00363C1C">
        <w:fldChar w:fldCharType="begin"/>
      </w:r>
      <w:r w:rsidR="00115805">
        <w:instrText xml:space="preserve"> XE "</w:instrText>
      </w:r>
      <w:r w:rsidR="00115805" w:rsidRPr="000405E3">
        <w:instrText>Arbeitsethik, protestantische</w:instrText>
      </w:r>
      <w:r w:rsidR="00115805">
        <w:instrText xml:space="preserve">" </w:instrText>
      </w:r>
      <w:r w:rsidR="00363C1C">
        <w:fldChar w:fldCharType="end"/>
      </w:r>
      <w:r>
        <w:t xml:space="preserve"> unvereinbar war.</w:t>
      </w:r>
      <w:r>
        <w:rPr>
          <w:rStyle w:val="Funotenzeichen"/>
        </w:rPr>
        <w:footnoteReference w:id="87"/>
      </w:r>
      <w:r>
        <w:t xml:space="preserve"> Das könnte auch der Grund dafür sein, dass Spieckers Liberalität und Ve</w:t>
      </w:r>
      <w:r>
        <w:t>r</w:t>
      </w:r>
      <w:r>
        <w:lastRenderedPageBreak/>
        <w:t>ständnis für die vorgefundene Kultur gerade an dieser Stelle zu versagen scheint.</w:t>
      </w:r>
      <w:r>
        <w:rPr>
          <w:rStyle w:val="Funotenzeichen"/>
        </w:rPr>
        <w:footnoteReference w:id="88"/>
      </w:r>
    </w:p>
    <w:p w:rsidR="00CF6655" w:rsidRDefault="00CF6655" w:rsidP="00CF6655">
      <w:pPr>
        <w:pStyle w:val="Text"/>
      </w:pPr>
      <w:r>
        <w:t>Dabei liegt auch ein grundsätzliches kulturelles Missverständnis (oder Nicht-verstehen-Wollen) vor; man verkannte die fundamentale Bedeutung der Solidarität für die afrikanischen Gesellschaften, für die dieses Element eben nicht eine ‚ethische Verzierung‘ wie im Europa der Zeit war, wo die kapitalistische Weltsicht dominierte und den Wert der Konkurrenz und des Eigennutzes he</w:t>
      </w:r>
      <w:r>
        <w:t>r</w:t>
      </w:r>
      <w:r>
        <w:t>vorhob, sondern dass er konstitutiv für die Funktionsweise der afrikanischen Gesellschaft war. Natürlich war diese Solidarität immer eine zweischneidige A</w:t>
      </w:r>
      <w:r>
        <w:t>n</w:t>
      </w:r>
      <w:r>
        <w:t>gelegenheit für den einzelnen. Heinrich Loth betont:</w:t>
      </w:r>
    </w:p>
    <w:p w:rsidR="00CF6655" w:rsidRDefault="00CF6655" w:rsidP="00CF6655">
      <w:pPr>
        <w:pStyle w:val="Zitat"/>
      </w:pPr>
      <w:r>
        <w:t>Bis in die Gegenwart betont das afrikanische Bild des Menschen in der Gesel</w:t>
      </w:r>
      <w:r>
        <w:t>l</w:t>
      </w:r>
      <w:r>
        <w:t xml:space="preserve">schaft im </w:t>
      </w:r>
      <w:proofErr w:type="gramStart"/>
      <w:r>
        <w:t>allgemeinen</w:t>
      </w:r>
      <w:proofErr w:type="gramEnd"/>
      <w:r>
        <w:t xml:space="preserve"> mehr dessen Gruppenzugehörigkeit als den Individu</w:t>
      </w:r>
      <w:r>
        <w:t>a</w:t>
      </w:r>
      <w:r>
        <w:t>lismus. Dazu gehört nicht zuletzt auch der Gedanke der Solidarität, mag er auch oft idealisiert dargestellt worden sein. […] In der afrikanischen Gesel</w:t>
      </w:r>
      <w:r>
        <w:t>l</w:t>
      </w:r>
      <w:r>
        <w:t>schaft baute die Solidarität auf der patriarchalischen</w:t>
      </w:r>
      <w:r w:rsidR="00363C1C">
        <w:fldChar w:fldCharType="begin"/>
      </w:r>
      <w:r w:rsidR="00AF5591">
        <w:instrText xml:space="preserve"> XE "</w:instrText>
      </w:r>
      <w:r w:rsidR="00AF5591" w:rsidRPr="005902BB">
        <w:instrText>Patriarchat</w:instrText>
      </w:r>
      <w:r w:rsidR="00AF5591">
        <w:instrText xml:space="preserve">" </w:instrText>
      </w:r>
      <w:r w:rsidR="00363C1C">
        <w:fldChar w:fldCharType="end"/>
      </w:r>
      <w:r>
        <w:t xml:space="preserve"> Familie, der Dorfgemei</w:t>
      </w:r>
      <w:r>
        <w:t>n</w:t>
      </w:r>
      <w:r>
        <w:t>de, dem Stamm und der religiösen Organisation auf […], hielt den einzelnen in einem begrenzten Raum […]. Außerhalb der eigenen Verwandtschaftsgemei</w:t>
      </w:r>
      <w:r>
        <w:t>n</w:t>
      </w:r>
      <w:r>
        <w:t>schaft galten Fremden gegenüber Argwohn, Rachsucht und oft unversöhnliche Feindschaft.</w:t>
      </w:r>
      <w:r>
        <w:rPr>
          <w:rStyle w:val="Funotenzeichen"/>
        </w:rPr>
        <w:footnoteReference w:id="89"/>
      </w:r>
    </w:p>
    <w:p w:rsidR="00CF6655" w:rsidRDefault="00CF6655" w:rsidP="00FA0706">
      <w:pPr>
        <w:pStyle w:val="Text"/>
        <w:ind w:firstLine="0"/>
        <w:rPr>
          <w:i/>
          <w:iCs/>
          <w:sz w:val="30"/>
          <w:szCs w:val="30"/>
        </w:rPr>
      </w:pPr>
      <w:r>
        <w:t>Wichtig ist die von Loth erwähnte Mehrstufigkeit der Solidarität: Das Individ</w:t>
      </w:r>
      <w:r>
        <w:t>u</w:t>
      </w:r>
      <w:r>
        <w:t>um war Mitglied verschiedener Solidargemeinschaften, die je nach Bedarf und Möglichkeit aktiviert werden konnten. Ob die von Spiecker erwähnten „Cape boys“ oder die Mitessenden auf der Reise ins Amboland mit den jeweils bei als Begleitung angestellten „Wagenleuten“ persönlich bekannt waren, wissen wir nicht; es scheint aufgrund der großen Entfernungen und der von Spiecker beto</w:t>
      </w:r>
      <w:r>
        <w:t>n</w:t>
      </w:r>
      <w:r>
        <w:t>ten Selbstverständlichkeit, die „Landsleute“ nie leer ausgehen zu lassen, eher u</w:t>
      </w:r>
      <w:r>
        <w:t>n</w:t>
      </w:r>
      <w:r>
        <w:t>wahrscheinlich. Loths Betonung von Argwohn und Rachsucht gegenüber Fre</w:t>
      </w:r>
      <w:r>
        <w:t>m</w:t>
      </w:r>
      <w:r>
        <w:t>den kann an dieser Stelle also nicht bestätigt werden.</w:t>
      </w:r>
    </w:p>
    <w:p w:rsidR="00CF6655" w:rsidRDefault="00CF6655" w:rsidP="00FA0706">
      <w:pPr>
        <w:pStyle w:val="Titel3"/>
      </w:pPr>
      <w:bookmarkStart w:id="127" w:name="_Toc130260684"/>
      <w:bookmarkStart w:id="128" w:name="_Ref325354879"/>
      <w:bookmarkStart w:id="129" w:name="_Toc327387984"/>
      <w:r>
        <w:lastRenderedPageBreak/>
        <w:t>Die Natur</w:t>
      </w:r>
      <w:bookmarkEnd w:id="127"/>
      <w:bookmarkEnd w:id="128"/>
      <w:bookmarkEnd w:id="129"/>
    </w:p>
    <w:p w:rsidR="00CF6655" w:rsidRDefault="00CF6655" w:rsidP="00FA0706">
      <w:pPr>
        <w:pStyle w:val="Text"/>
        <w:ind w:firstLine="0"/>
      </w:pPr>
      <w:r>
        <w:t>Bei der Betrachtung der Natur hat es in Reisetagebüchern verschiedene Tradit</w:t>
      </w:r>
      <w:r>
        <w:t>i</w:t>
      </w:r>
      <w:r>
        <w:t>onen gegeben. Die romantische Tradition verkörpert sich wohl am reinsten in Alexander von Humboldts Berichten und Auswertungen seiner Südamerika-Reise, 1799–1805, die sich, alles zusammengenommen, auf 30 Bände addieren. Humboldt idealisiert die Natur, gerade in ihren dramatischen und spektakulären Ausformungen, und findet in Südamerika ein Gebiet, dessen scheinbare ‚Wil</w:t>
      </w:r>
      <w:r>
        <w:t>d</w:t>
      </w:r>
      <w:r>
        <w:t>heit‘ und ‚Unerforschtheit‘ ihn fasziniert und zu einer gewaltigen Sammellei</w:t>
      </w:r>
      <w:r>
        <w:t>s</w:t>
      </w:r>
      <w:r>
        <w:t>tung an Messungen und Forschungen aller Art, aber auch an Abenteuern und spektakulären Leistungen (wie der Durchfahrt der Amazonas-Orinoco-Verbindung oder der versuchten Erstbesteigung des Chimborazo) inspiriert.</w:t>
      </w:r>
      <w:r>
        <w:rPr>
          <w:rStyle w:val="Funotenzeichen"/>
        </w:rPr>
        <w:footnoteReference w:id="90"/>
      </w:r>
      <w:r>
        <w:t xml:space="preserve"> Zahlreiche Reisende haben in der Tradition Humboldts und anderer Pioniere das Erlebnis und die Erforschung der unberührten Natur gesucht.</w:t>
      </w:r>
    </w:p>
    <w:p w:rsidR="00CF6655" w:rsidRDefault="00CF6655" w:rsidP="00CF6655">
      <w:pPr>
        <w:pStyle w:val="Text"/>
      </w:pPr>
      <w:r>
        <w:t>Zum Zeitpunkt von Spieckers Afrikareise hatte sich dagegen längst die rat</w:t>
      </w:r>
      <w:r>
        <w:t>i</w:t>
      </w:r>
      <w:r>
        <w:t>onalistische, utilitaristische Betrachtungstradition durchgesetzt. Diese sieht vor allem den Nützlichkeitscharakter der Natur – jedoch nicht unter dem Aspekt i</w:t>
      </w:r>
      <w:r>
        <w:t>h</w:t>
      </w:r>
      <w:r>
        <w:t>rer Verwendung in der lokalen Lebens- und Wirtschaftsweise, sondern unter dem europäischen Imperativ der Ausbeutung und Nutzbarmachung im kapitali</w:t>
      </w:r>
      <w:r>
        <w:t>s</w:t>
      </w:r>
      <w:r>
        <w:t>tischen Sinn. Was sich ‚zu Geld machen lässt‘, fällt auf – und wird doch selten in rein monetären Kategorien beschrieben; vielmehr glaubt man darin zu Schlüssel für ein besseres Leben der Menschen zu erblicken, wobei nicht selten, halb u</w:t>
      </w:r>
      <w:r>
        <w:t>n</w:t>
      </w:r>
      <w:r>
        <w:t>bewusst, schon Europäer an Stelle der Einheimischen gedacht werden.</w:t>
      </w:r>
    </w:p>
    <w:p w:rsidR="00CF6655" w:rsidRDefault="00CF6655" w:rsidP="00CF6655">
      <w:pPr>
        <w:pStyle w:val="Text"/>
      </w:pPr>
      <w:r>
        <w:t>Spieckers Bericht ist hier etwas differenzierter; er berücksichtigt auch die Erklärungen der Ortsansässigen, warum sie „schöne Bäume vernichte[n]“ (1136). Dennoch kann sich Spiecker nicht vor einem Widerspruch retten, der den kolonialen Diskurs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xml:space="preserve"> prägt: Während man einerseits die Wirtschaftsweisen der Einheimischen als Notbehelfe zurückgebliebener „Naturvölker“ betrachtet – die Anerkennung hätte ein Repertoire an Wirtschaftsformen zugänglich gemacht, die häufig nicht-kapitalistisch, extensiv, nomadisch, mit geringer Arbeitszeit und/oder ohne Ackerbau funktionierten (vgl. Abschnitt </w:t>
      </w:r>
      <w:r w:rsidR="00363C1C">
        <w:fldChar w:fldCharType="begin"/>
      </w:r>
      <w:r w:rsidR="00D20B0E">
        <w:instrText xml:space="preserve"> REF _Ref325355117 \r \h </w:instrText>
      </w:r>
      <w:r w:rsidR="00363C1C">
        <w:fldChar w:fldCharType="separate"/>
      </w:r>
      <w:r w:rsidR="00216538">
        <w:t>1.5.3.2</w:t>
      </w:r>
      <w:r w:rsidR="00363C1C">
        <w:fldChar w:fldCharType="end"/>
      </w:r>
      <w:r>
        <w:t>) –, erscheint e</w:t>
      </w:r>
      <w:r>
        <w:t>i</w:t>
      </w:r>
      <w:r>
        <w:t>nem die Natur als Repertoire ungenutzter wirtschaftlicher Möglichkeiten. Natur wird Wirtschaft; Wirtschaft Natur in einem Chiasmus der verkehrten Welt.</w:t>
      </w:r>
      <w:r>
        <w:rPr>
          <w:rStyle w:val="Funotenzeichen"/>
        </w:rPr>
        <w:footnoteReference w:id="91"/>
      </w:r>
    </w:p>
    <w:p w:rsidR="00CF6655" w:rsidRDefault="00CF6655" w:rsidP="007308C9">
      <w:pPr>
        <w:pStyle w:val="Titel4"/>
      </w:pPr>
      <w:bookmarkStart w:id="130" w:name="_Toc130260685"/>
      <w:bookmarkStart w:id="131" w:name="_Toc327387985"/>
      <w:r>
        <w:lastRenderedPageBreak/>
        <w:t>Die Steppe (mittleres Südwestafrika)</w:t>
      </w:r>
      <w:bookmarkEnd w:id="130"/>
      <w:bookmarkEnd w:id="131"/>
    </w:p>
    <w:p w:rsidR="00CF6655" w:rsidRDefault="00CF6655" w:rsidP="00FA0706">
      <w:pPr>
        <w:pStyle w:val="Text"/>
        <w:ind w:firstLine="0"/>
      </w:pPr>
      <w:r>
        <w:t>„'Sie gehet heraus wie ein Bräutigam aus seiner Kammer u.s.w.' geht mir dann immer durch den Sinn.“ (747) Die Metapher aus Psalm 19, V 6 fällt ihm wiede</w:t>
      </w:r>
      <w:r>
        <w:t>r</w:t>
      </w:r>
      <w:r>
        <w:t>holt angesichts der mit tropischer Plötzlichkeit erscheinenden Sonne ein (984, 1203). „Das ist immer ein herrlicher Anblick, wenn diese prächtig leuchtende Kugel hinter den Bergen in ihrer ganzen Majestät hervorkommt.“ (746f) Als r</w:t>
      </w:r>
      <w:r>
        <w:t>e</w:t>
      </w:r>
      <w:r>
        <w:t>ligiös geprägter Mensch (und konsequenter Frühaufsteher) erinnert er sich an die wohl schönste Beschreibung des Sonnenaufgangs in der Bibel</w:t>
      </w:r>
      <w:r w:rsidR="00363C1C">
        <w:fldChar w:fldCharType="begin"/>
      </w:r>
      <w:r w:rsidR="00115805">
        <w:instrText xml:space="preserve"> XE "</w:instrText>
      </w:r>
      <w:r w:rsidR="00115805" w:rsidRPr="00212637">
        <w:instrText>Bibel</w:instrText>
      </w:r>
      <w:r w:rsidR="00115805">
        <w:instrText xml:space="preserve">" </w:instrText>
      </w:r>
      <w:r w:rsidR="00363C1C">
        <w:fldChar w:fldCharType="end"/>
      </w:r>
      <w:r>
        <w:t>, wo säkular g</w:t>
      </w:r>
      <w:r>
        <w:t>e</w:t>
      </w:r>
      <w:r>
        <w:t>prägte Zeitgenossen, soweit sie dem Bildungsbürgertum entstammten, vielleicht Gedichtstellen zitiert oder weniger Belesene die weit verbreiteten ‚Volkslieder‘ eines Eichendorff oder Wilhelm Müller parat gehabt hätten. Bei Nacht dagegen ist es der Sternenhimmel, der anders ist als zu Hause und doch Bekanntes bietet: „Abends sieht man auch im Norden den großen Bären aber auf dem Rücken li</w:t>
      </w:r>
      <w:r>
        <w:t>e</w:t>
      </w:r>
      <w:r>
        <w:t>gen.“ (828)</w:t>
      </w:r>
    </w:p>
    <w:p w:rsidR="00CF6655" w:rsidRDefault="00CC2ABF" w:rsidP="00CF6655">
      <w:pPr>
        <w:pStyle w:val="Text"/>
      </w:pPr>
      <w:r>
        <w:rPr>
          <w:noProof/>
        </w:rPr>
        <w:drawing>
          <wp:anchor distT="0" distB="0" distL="114300" distR="114300" simplePos="0" relativeHeight="251660288" behindDoc="0" locked="0" layoutInCell="1" allowOverlap="1">
            <wp:simplePos x="0" y="0"/>
            <wp:positionH relativeFrom="column">
              <wp:posOffset>1720215</wp:posOffset>
            </wp:positionH>
            <wp:positionV relativeFrom="paragraph">
              <wp:posOffset>66040</wp:posOffset>
            </wp:positionV>
            <wp:extent cx="2528570" cy="2980690"/>
            <wp:effectExtent l="19050" t="0" r="5080" b="0"/>
            <wp:wrapSquare wrapText="bothSides"/>
            <wp:docPr id="18" name="Abb5.jpg" descr="C:\Users\Martin\Docs\Publikationen\Johannes Spiecker - Tagebuch\Johannes Spiecker in Deutsch-Südwestafrika\A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5.jpg"/>
                    <pic:cNvPicPr/>
                  </pic:nvPicPr>
                  <pic:blipFill>
                    <a:blip r:embed="rId19" cstate="print">
                      <a:lum bright="3000" contrast="3000"/>
                    </a:blip>
                    <a:stretch>
                      <a:fillRect/>
                    </a:stretch>
                  </pic:blipFill>
                  <pic:spPr>
                    <a:xfrm>
                      <a:off x="0" y="0"/>
                      <a:ext cx="2528570" cy="2980690"/>
                    </a:xfrm>
                    <a:prstGeom prst="rect">
                      <a:avLst/>
                    </a:prstGeom>
                  </pic:spPr>
                </pic:pic>
              </a:graphicData>
            </a:graphic>
          </wp:anchor>
        </w:drawing>
      </w:r>
      <w:r w:rsidR="00363C1C">
        <w:rPr>
          <w:noProof/>
        </w:rPr>
        <w:pict>
          <v:shapetype id="_x0000_t202" coordsize="21600,21600" o:spt="202" path="m,l,21600r21600,l21600,xe">
            <v:stroke joinstyle="miter"/>
            <v:path gradientshapeok="t" o:connecttype="rect"/>
          </v:shapetype>
          <v:shape id="_x0000_s1031" type="#_x0000_t202" style="position:absolute;left:0;text-align:left;margin-left:136pt;margin-top:246.95pt;width:201.85pt;height:47.35pt;z-index:251661312;mso-position-horizontal-relative:text;mso-position-vertical-relative:text" wrapcoords="-61 0 -61 20903 21600 20903 21600 0 -61 0" stroked="f">
            <v:textbox style="mso-next-textbox:#_x0000_s1031" inset="0,0,0,0">
              <w:txbxContent>
                <w:p w:rsidR="005A5F2B" w:rsidRDefault="005A5F2B" w:rsidP="000133F4">
                  <w:pPr>
                    <w:pStyle w:val="Beschriftung"/>
                    <w:spacing w:before="120"/>
                  </w:pPr>
                  <w:bookmarkStart w:id="132" w:name="_Toc327393037"/>
                  <w:r w:rsidRPr="004C3839">
                    <w:rPr>
                      <w:b/>
                    </w:rPr>
                    <w:t xml:space="preserve">Abb. </w:t>
                  </w:r>
                  <w:r>
                    <w:rPr>
                      <w:b/>
                    </w:rPr>
                    <w:t>5</w:t>
                  </w:r>
                  <w:r>
                    <w:tab/>
                    <w:t>Missionsstation in Otavi (Postkarte an die kleine Elisabeth)</w:t>
                  </w:r>
                  <w:bookmarkEnd w:id="132"/>
                </w:p>
                <w:p w:rsidR="005A5F2B" w:rsidRPr="008B24EE" w:rsidRDefault="005A5F2B" w:rsidP="000133F4"/>
              </w:txbxContent>
            </v:textbox>
            <w10:wrap type="square"/>
          </v:shape>
        </w:pict>
      </w:r>
      <w:r w:rsidR="00CF6655">
        <w:t>Auch Insekten beachtet er, sofern sie in großen Ma</w:t>
      </w:r>
      <w:r w:rsidR="00CF6655">
        <w:t>s</w:t>
      </w:r>
      <w:r w:rsidR="00CF6655">
        <w:t>sen auftreten, wie zw</w:t>
      </w:r>
      <w:r w:rsidR="00CF6655">
        <w:t>i</w:t>
      </w:r>
      <w:r w:rsidR="00CF6655">
        <w:t>schen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rsidR="00CF6655">
        <w:t xml:space="preserve"> und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rsidR="00CF6655">
        <w:t>: „Auf dieser Reise fiel mir ein großer Käfer "Dickpans" auf, der in zehntausenden in der Regenzeit</w:t>
      </w:r>
      <w:r w:rsidR="00363C1C">
        <w:fldChar w:fldCharType="begin"/>
      </w:r>
      <w:r w:rsidR="00A72472">
        <w:instrText xml:space="preserve"> XE "</w:instrText>
      </w:r>
      <w:r w:rsidR="00A72472" w:rsidRPr="00C537E8">
        <w:instrText>Regenzeit</w:instrText>
      </w:r>
      <w:r w:rsidR="00A72472">
        <w:instrText xml:space="preserve">" </w:instrText>
      </w:r>
      <w:r w:rsidR="00363C1C">
        <w:fldChar w:fldCharType="end"/>
      </w:r>
      <w:r w:rsidR="00CF6655">
        <w:t xml:space="preserve"> vorkommt und b</w:t>
      </w:r>
      <w:r w:rsidR="00CF6655">
        <w:t>e</w:t>
      </w:r>
      <w:r w:rsidR="00CF6655">
        <w:t>sonders in den Gärten viel Schaden anrichtet.“ (676f) „Dieser Tage auf dem Wege von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rsidR="00CF6655">
        <w:t xml:space="preserve"> nach Reho</w:t>
      </w:r>
      <w:r w:rsidR="000133F4">
        <w:softHyphen/>
      </w:r>
      <w:r w:rsidR="00CF6655">
        <w:t>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rsidR="00CF6655">
        <w:t xml:space="preserve"> fuhren wir durch einen Heuschreckenschwarm. […] Am meisten werden die s</w:t>
      </w:r>
      <w:r w:rsidR="00CF6655">
        <w:t>o</w:t>
      </w:r>
      <w:r w:rsidR="00CF6655">
        <w:t>genannten "voetgangers" g</w:t>
      </w:r>
      <w:r w:rsidR="00CF6655">
        <w:t>e</w:t>
      </w:r>
      <w:r w:rsidR="00CF6655">
        <w:t>fürchtet, die nicht fliegen können, sondern über alles hinwegkriechen und so sehr lästig werden in ihren großen Massen, auch alles kahl fre</w:t>
      </w:r>
      <w:r w:rsidR="00CF6655">
        <w:t>s</w:t>
      </w:r>
      <w:r w:rsidR="00CF6655">
        <w:t>sen.“ (676) Doch Kontakte zur Landesnatur können auch schmerzlich sein, wie hier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rsidR="00CF6655">
        <w:t>: „Die Landschaft ist sehr schön. Meist ist das Feld mit hohem, freilich jetzt ganz dürrem Gras und mit Dornbäumen bestanden. Mit letzteren kamen wir öfter in unsanfte Berührung, trotzdem wir uns fortwährend bückten, um nicht Schaden zu nehmen.“ (941) Nördlich von Okaputa</w:t>
      </w:r>
      <w:r w:rsidR="00363C1C">
        <w:fldChar w:fldCharType="begin"/>
      </w:r>
      <w:r w:rsidR="00FD439D">
        <w:instrText xml:space="preserve"> XE "</w:instrText>
      </w:r>
      <w:r w:rsidR="00FD439D" w:rsidRPr="00F00073">
        <w:instrText>Okaputa</w:instrText>
      </w:r>
      <w:r w:rsidR="00FD439D">
        <w:instrText xml:space="preserve">" </w:instrText>
      </w:r>
      <w:r w:rsidR="00363C1C">
        <w:fldChar w:fldCharType="end"/>
      </w:r>
      <w:r w:rsidR="00CF6655">
        <w:t xml:space="preserve"> beschreibt er die Flora </w:t>
      </w:r>
      <w:r w:rsidR="00CF6655">
        <w:lastRenderedPageBreak/>
        <w:t>dann so: „Nur kamen wir str</w:t>
      </w:r>
      <w:r w:rsidR="00CF6655">
        <w:t>e</w:t>
      </w:r>
      <w:r w:rsidR="00CF6655">
        <w:t>ckenweise durch dichten Dornbaumwald, auch fiel mir eine große Zahl zum Teil baumhoher Kakteen auf, die teils herrlich blühten. Desgleichen standen zwischen den Dornbäumen zeitweise zahlreiche Laubsträ</w:t>
      </w:r>
      <w:r w:rsidR="00CF6655">
        <w:t>u</w:t>
      </w:r>
      <w:r w:rsidR="00CF6655">
        <w:t>cher und -Bäume.“ (953f)</w:t>
      </w:r>
    </w:p>
    <w:p w:rsidR="00D92AE5" w:rsidRDefault="00CF6655" w:rsidP="008B24EE">
      <w:pPr>
        <w:pStyle w:val="Text"/>
      </w:pPr>
      <w:r>
        <w:t>In Otavi</w:t>
      </w:r>
      <w:r w:rsidR="00363C1C">
        <w:fldChar w:fldCharType="begin"/>
      </w:r>
      <w:r w:rsidR="00FD439D">
        <w:instrText xml:space="preserve"> XE "</w:instrText>
      </w:r>
      <w:r w:rsidR="00FD439D" w:rsidRPr="00237638">
        <w:rPr>
          <w:lang w:val="it-IT"/>
        </w:rPr>
        <w:instrText>Otavi</w:instrText>
      </w:r>
      <w:r w:rsidR="00FD439D">
        <w:instrText xml:space="preserve">" </w:instrText>
      </w:r>
      <w:r w:rsidR="00363C1C">
        <w:fldChar w:fldCharType="end"/>
      </w:r>
      <w:r>
        <w:t xml:space="preserve"> wecken dagegen die Steppenbrände </w:t>
      </w:r>
      <w:r w:rsidR="008B24EE">
        <w:t xml:space="preserve">Spieckers </w:t>
      </w:r>
      <w:r>
        <w:t>Interesse: „Leider wird durch große Grasbrände nicht nur das hohe dürre Gras verbrannt, sondern auch viele Bäume und Sträucher. Schon vor und hinter Otavi sahen wir viele so</w:t>
      </w:r>
      <w:r>
        <w:t>l</w:t>
      </w:r>
      <w:r>
        <w:t xml:space="preserve">che Grasbrände in der Ebene und auf den Bergen. Abends und </w:t>
      </w:r>
      <w:r w:rsidR="00040269">
        <w:t>n</w:t>
      </w:r>
      <w:r>
        <w:t>achts war das schauerlich schön.“ (956) Spiecker führt die Steppenbrände auf Brandstiftung zurück (957, 963) und hält sie wohl für ausschließlich schädlich, wie er es aus Europa kennt. Die regenerative Funktion der Brände, die Platz für neue Veget</w:t>
      </w:r>
      <w:r>
        <w:t>a</w:t>
      </w:r>
      <w:r>
        <w:t>tion schaffen und daher bei bestimmten Baumsamen erst das Signal für die Ke</w:t>
      </w:r>
      <w:r>
        <w:t>i</w:t>
      </w:r>
      <w:r>
        <w:t>mung geben, war wohl noch nicht bekannt. Nördlich von Gaub</w:t>
      </w:r>
      <w:r w:rsidR="00363C1C">
        <w:fldChar w:fldCharType="begin"/>
      </w:r>
      <w:r w:rsidR="00FD439D">
        <w:instrText xml:space="preserve"> XE "</w:instrText>
      </w:r>
      <w:r w:rsidR="00FD439D" w:rsidRPr="0045100C">
        <w:rPr>
          <w:lang w:val="it-IT"/>
        </w:rPr>
        <w:instrText>Gaub</w:instrText>
      </w:r>
      <w:r w:rsidR="00FD439D">
        <w:instrText xml:space="preserve">" </w:instrText>
      </w:r>
      <w:r w:rsidR="00363C1C">
        <w:fldChar w:fldCharType="end"/>
      </w:r>
      <w:r>
        <w:t xml:space="preserve"> begegnen ihm dann „zum ersten Mal in Südwestafrika everlasting flowers, die ich bisher nur in der Capkolonie sah, wo sie einen großen Exportartikel bilden. […] Es ist eine Art Strohblume, doch viel feiner, als die ich in Deutschland sah.“ (982)</w:t>
      </w:r>
    </w:p>
    <w:p w:rsidR="00CF6655" w:rsidRDefault="00CF6655" w:rsidP="00CF6655">
      <w:pPr>
        <w:pStyle w:val="Text"/>
      </w:pPr>
      <w:r>
        <w:t>Doch auch die Fauna bietet noch Überraschungen: „Hier [in Tsumeb</w:t>
      </w:r>
      <w:r w:rsidR="00363C1C">
        <w:fldChar w:fldCharType="begin"/>
      </w:r>
      <w:r w:rsidR="00FD439D">
        <w:instrText xml:space="preserve"> XE "</w:instrText>
      </w:r>
      <w:r w:rsidR="00FD439D" w:rsidRPr="004D34CC">
        <w:rPr>
          <w:lang w:val="it-IT"/>
        </w:rPr>
        <w:instrText>Tsumeb</w:instrText>
      </w:r>
      <w:r w:rsidR="00FD439D">
        <w:instrText xml:space="preserve">" </w:instrText>
      </w:r>
      <w:r w:rsidR="00363C1C">
        <w:fldChar w:fldCharType="end"/>
      </w:r>
      <w:r>
        <w:t>] war etwas Aufregung, da eines der die Post besorgenden Kamele in der Nacht das andere totgebissen hatte. Die Soldaten verteilten das Fleisch gerade an die Ei</w:t>
      </w:r>
      <w:r>
        <w:t>n</w:t>
      </w:r>
      <w:r>
        <w:t>geborenen […]. Ich hatte nicht gedacht, daß diese Tiere so wild sein können.“ (964f)</w:t>
      </w:r>
    </w:p>
    <w:p w:rsidR="00CF6655" w:rsidRDefault="00CF6655" w:rsidP="00CF6655">
      <w:pPr>
        <w:pStyle w:val="Text"/>
      </w:pPr>
      <w:r>
        <w:t>Insgesamt fällt auf, dass Spiecker eine anthropozentrische und utilitarist</w:t>
      </w:r>
      <w:r>
        <w:t>i</w:t>
      </w:r>
      <w:r>
        <w:t>sche Naturwahrnehmung hat, die für seine Zeit durchaus typisch sein könnte. Meist fallen ihm Details auf, die ökonomisch schädlich (wie Insektenschwärme oder einander tötende Nutztiere), potentiell gefährlich (wie Brände) oder kö</w:t>
      </w:r>
      <w:r>
        <w:t>r</w:t>
      </w:r>
      <w:r>
        <w:t>perlich schmerzhaft (wie pieksende Dornen) sind. Doch weiter im Norden wird das Land fruchtbarer und die Vegetation üppiger und erinnern Spiecker damit an die Heimat; seine Berichte über die Landschaft werden häufiger.</w:t>
      </w:r>
    </w:p>
    <w:p w:rsidR="00CF6655" w:rsidRDefault="00CF6655" w:rsidP="007308C9">
      <w:pPr>
        <w:pStyle w:val="Titel4"/>
      </w:pPr>
      <w:bookmarkStart w:id="133" w:name="_Toc130260686"/>
      <w:bookmarkStart w:id="134" w:name="_Toc327387986"/>
      <w:r>
        <w:t>Der Wald (Amboland)</w:t>
      </w:r>
      <w:bookmarkEnd w:id="133"/>
      <w:bookmarkEnd w:id="134"/>
    </w:p>
    <w:p w:rsidR="00CF6655" w:rsidRDefault="00CF6655" w:rsidP="00FA0706">
      <w:pPr>
        <w:pStyle w:val="Text"/>
        <w:ind w:firstLine="0"/>
      </w:pPr>
      <w:r>
        <w:t>Auf seiner Reise ins Amboland im Norden von Südwestafrika macht Spiecker Beobachtungen zu den Veränderungen von Natur und Landbau:</w:t>
      </w:r>
    </w:p>
    <w:p w:rsidR="00CF6655" w:rsidRDefault="00CF6655" w:rsidP="00CF6655">
      <w:pPr>
        <w:pStyle w:val="Zitat"/>
      </w:pPr>
      <w:r>
        <w:t xml:space="preserve">Die Gegend ist flach und eintönig. Die ziemlich zahlreichen wild wachsenden Fächerpalmen erfreuen </w:t>
      </w:r>
      <w:proofErr w:type="gramStart"/>
      <w:r>
        <w:t>das</w:t>
      </w:r>
      <w:proofErr w:type="gramEnd"/>
      <w:r>
        <w:t xml:space="preserve"> Augen und täuschen den flüchtigen Reisenden, so daß er leicht annimmt, es sei ein fruchtbares Land. Das ist aber irrtümlich. Nur mit Mühe wird dem Boden ein Ertrag abgerungen. Auch Baumwolle wächst hier, doch lohnt sich der Anbau derselben nicht. Am meisten lohnt noch der Tabakbau. (1076)</w:t>
      </w:r>
    </w:p>
    <w:p w:rsidR="00CF6655" w:rsidRDefault="00CF6655" w:rsidP="00632C92">
      <w:pPr>
        <w:pStyle w:val="Text"/>
        <w:ind w:firstLine="0"/>
      </w:pPr>
      <w:r>
        <w:t>Zu den hier wachsenden Omugongo-Bäumen schreibt er:</w:t>
      </w:r>
    </w:p>
    <w:p w:rsidR="00CF6655" w:rsidRDefault="00CF6655" w:rsidP="00CF6655">
      <w:pPr>
        <w:pStyle w:val="Zitat"/>
      </w:pPr>
      <w:r>
        <w:t xml:space="preserve">Diese Bäume sind sehr stattlich und gleichen den wilden Feigenbäumen oder auch unseren Linden. Die Frucht der Bäume dient den Leuten zur Bereitung </w:t>
      </w:r>
      <w:r>
        <w:lastRenderedPageBreak/>
        <w:t>eines berauschenden Getränks in der Regen- oder Saufzeit. In erster Linie mü</w:t>
      </w:r>
      <w:r>
        <w:t>s</w:t>
      </w:r>
      <w:r>
        <w:t>sen sie das Getränk dem Häuptling abliefern, doch trinken die Leute es auch selbst sehr gern und nur allzu reichlich. (1078)</w:t>
      </w:r>
    </w:p>
    <w:p w:rsidR="00CF6655" w:rsidRDefault="00C547A3" w:rsidP="003D4A6A">
      <w:pPr>
        <w:pStyle w:val="Text"/>
        <w:ind w:firstLine="0"/>
      </w:pPr>
      <w:r>
        <w:t>Diese Baumart wird auch als Marula-Baum</w:t>
      </w:r>
      <w:r w:rsidR="00363C1C">
        <w:fldChar w:fldCharType="begin"/>
      </w:r>
      <w:r w:rsidR="00687A36">
        <w:instrText xml:space="preserve"> XE "</w:instrText>
      </w:r>
      <w:r w:rsidR="00687A36" w:rsidRPr="00AE5939">
        <w:instrText>Marula-Baum</w:instrText>
      </w:r>
      <w:r w:rsidR="00687A36">
        <w:instrText xml:space="preserve">" </w:instrText>
      </w:r>
      <w:r w:rsidR="00363C1C">
        <w:fldChar w:fldCharType="end"/>
      </w:r>
      <w:r>
        <w:t xml:space="preserve"> oder Elefantenbaum (</w:t>
      </w:r>
      <w:r>
        <w:rPr>
          <w:i/>
          <w:iCs/>
        </w:rPr>
        <w:t>Sclerocarya birrea</w:t>
      </w:r>
      <w:r>
        <w:t>) bezeichnet</w:t>
      </w:r>
      <w:r w:rsidR="006E6C58">
        <w:t>;</w:t>
      </w:r>
      <w:r w:rsidR="007179BA">
        <w:rPr>
          <w:rStyle w:val="Funotenzeichen"/>
        </w:rPr>
        <w:footnoteReference w:id="92"/>
      </w:r>
      <w:r w:rsidR="006E6C58">
        <w:t xml:space="preserve"> bis heute wird aus seinen Früchten der Am</w:t>
      </w:r>
      <w:r w:rsidR="00D463EB">
        <w:t>a</w:t>
      </w:r>
      <w:r w:rsidR="006E6C58">
        <w:t>r</w:t>
      </w:r>
      <w:r w:rsidR="00D463EB">
        <w:t>u</w:t>
      </w:r>
      <w:r w:rsidR="006E6C58">
        <w:t>la-Likör</w:t>
      </w:r>
      <w:r w:rsidR="00363C1C">
        <w:fldChar w:fldCharType="begin"/>
      </w:r>
      <w:r w:rsidR="00687A36">
        <w:instrText xml:space="preserve"> XE "</w:instrText>
      </w:r>
      <w:r w:rsidR="00687A36" w:rsidRPr="00FF3AF1">
        <w:instrText>Amarula-Likör</w:instrText>
      </w:r>
      <w:r w:rsidR="00687A36">
        <w:instrText xml:space="preserve">" </w:instrText>
      </w:r>
      <w:r w:rsidR="00363C1C">
        <w:fldChar w:fldCharType="end"/>
      </w:r>
      <w:r w:rsidR="006E6C58">
        <w:t xml:space="preserve"> he</w:t>
      </w:r>
      <w:r w:rsidR="006E6C58">
        <w:t>r</w:t>
      </w:r>
      <w:r w:rsidR="006E6C58">
        <w:t>gestellt.</w:t>
      </w:r>
      <w:r w:rsidR="006E6C58">
        <w:rPr>
          <w:rStyle w:val="Funotenzeichen"/>
        </w:rPr>
        <w:footnoteReference w:id="93"/>
      </w:r>
      <w:r>
        <w:t xml:space="preserve"> – </w:t>
      </w:r>
      <w:r w:rsidR="00CF6655">
        <w:t>Noch weiter im Norden, zwischen Ondangua</w:t>
      </w:r>
      <w:r w:rsidR="00363C1C">
        <w:fldChar w:fldCharType="begin"/>
      </w:r>
      <w:r w:rsidR="00C05598">
        <w:instrText xml:space="preserve"> XE "</w:instrText>
      </w:r>
      <w:r w:rsidR="00C05598" w:rsidRPr="00833546">
        <w:rPr>
          <w:lang w:val="it-IT"/>
        </w:rPr>
        <w:instrText>Ondangua</w:instrText>
      </w:r>
      <w:r w:rsidR="00C05598">
        <w:instrText xml:space="preserve">" </w:instrText>
      </w:r>
      <w:r w:rsidR="00363C1C">
        <w:fldChar w:fldCharType="end"/>
      </w:r>
      <w:r w:rsidR="00CF6655">
        <w:t xml:space="preserve"> und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rsidR="00CF6655">
        <w:t>, wird die Natur immer eindrucksvoller. Erstmals reisen sie hier durch einen weitläuf</w:t>
      </w:r>
      <w:r w:rsidR="00CF6655">
        <w:t>i</w:t>
      </w:r>
      <w:r w:rsidR="00CF6655">
        <w:t>gen, immer dichter werdenden Wald, der sehr alte, „herrliche Bäume“ (1083) aufzuweisen hat.</w:t>
      </w:r>
    </w:p>
    <w:p w:rsidR="00CF6655" w:rsidRDefault="00CF6655" w:rsidP="00CF6655">
      <w:pPr>
        <w:pStyle w:val="Zitat"/>
      </w:pPr>
      <w:r>
        <w:t xml:space="preserve">Wir fuhren viel durch ein mit hohem Gras bewachsenes Flußbett. Da hatte man den Wald zur Rechten und zur Linken, der häufig einem wohl gepflegten Park ähnlich sah. Jetzt sind die </w:t>
      </w:r>
      <w:proofErr w:type="gramStart"/>
      <w:r>
        <w:t>Flußbetten</w:t>
      </w:r>
      <w:proofErr w:type="gramEnd"/>
      <w:r>
        <w:t xml:space="preserve"> trocken. In der Regenzeit</w:t>
      </w:r>
      <w:r w:rsidR="00363C1C">
        <w:fldChar w:fldCharType="begin"/>
      </w:r>
      <w:r w:rsidR="00A72472">
        <w:instrText xml:space="preserve"> XE "</w:instrText>
      </w:r>
      <w:r w:rsidR="00A72472" w:rsidRPr="00C537E8">
        <w:instrText>Regenzeit</w:instrText>
      </w:r>
      <w:r w:rsidR="00A72472">
        <w:instrText xml:space="preserve">" </w:instrText>
      </w:r>
      <w:r w:rsidR="00363C1C">
        <w:fldChar w:fldCharType="end"/>
      </w:r>
      <w:r>
        <w:t xml:space="preserve"> haben sie Monate lang viel Wasser […]. Überhaupt steht zuweilen ein großer Teil des Landes unter Wasser. Dann ist es unmöglich mit dem Ochsenwagen oder auch nur mit der Karre durchzukommen. In den letzten Monaten unseres Kalende</w:t>
      </w:r>
      <w:r>
        <w:t>r</w:t>
      </w:r>
      <w:r>
        <w:t>jahres von Oktober an tritt zuweilen großer Wassermangel ein. (1083f)</w:t>
      </w:r>
    </w:p>
    <w:p w:rsidR="00CF6655" w:rsidRDefault="00CF6655" w:rsidP="007973CE">
      <w:pPr>
        <w:pStyle w:val="Text"/>
        <w:ind w:firstLine="0"/>
      </w:pPr>
      <w:r>
        <w:t>Die Eingeborenen fällen die Bäume auf besondere Weise:</w:t>
      </w:r>
    </w:p>
    <w:p w:rsidR="00CF6655" w:rsidRDefault="00CF6655" w:rsidP="00CF6655">
      <w:pPr>
        <w:pStyle w:val="Zitat"/>
      </w:pPr>
      <w:r>
        <w:t>Leider werden die schönen Bäume durch die Eingeborenen vielfach zerstört […]. Sie legen oberhalb der Wurzel ein Feuer in den Baum und brennen den Stamm unten ab, so daß der Baum stürzt. Auf unserem Weg lag eine Menge solcher umgehauenen Stämme. (1087)</w:t>
      </w:r>
    </w:p>
    <w:p w:rsidR="00CF6655" w:rsidRDefault="00CF6655" w:rsidP="00CF6655">
      <w:pPr>
        <w:pStyle w:val="Zitat"/>
      </w:pPr>
      <w:r>
        <w:t>Das Holz brauchen sie als Brandholz, vor allem aber zum Bau ihrer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die ja ganz aus Pfählen besteht […]. Auf meine Frage, warum sie so schöne Bäume vernichteten, lautete die Antwort: </w:t>
      </w:r>
      <w:r w:rsidR="00E92E8F">
        <w:t>„</w:t>
      </w:r>
      <w:r>
        <w:t>Wir wollen da Korn säen.</w:t>
      </w:r>
      <w:r w:rsidR="00E92E8F">
        <w:t>“</w:t>
      </w:r>
      <w:r>
        <w:t xml:space="preserve"> Im Schatten di</w:t>
      </w:r>
      <w:r>
        <w:t>e</w:t>
      </w:r>
      <w:r>
        <w:t>ser Riesenbäume wächst natürlich kein Korn. Auch viele Fächerpalmen werden in der Hungerzeit gekappt, um das Mark derselben zu genießen. Die Leute sa</w:t>
      </w:r>
      <w:r>
        <w:t>g</w:t>
      </w:r>
      <w:r>
        <w:t>ten mir aber heute, daß sie nur solche kappten, die keine Früchte trügen. (1135f)</w:t>
      </w:r>
    </w:p>
    <w:p w:rsidR="00CF6655" w:rsidRDefault="00CF6655" w:rsidP="003D4A6A">
      <w:pPr>
        <w:pStyle w:val="Text"/>
        <w:ind w:firstLine="0"/>
      </w:pPr>
      <w:r>
        <w:t>Von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xml:space="preserve"> aus reiten sie zu einer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w:t>
      </w:r>
    </w:p>
    <w:p w:rsidR="00CF6655" w:rsidRDefault="00CF6655" w:rsidP="00CF6655">
      <w:pPr>
        <w:pStyle w:val="Zitat"/>
      </w:pPr>
      <w:r>
        <w:t>Unterwegs ging es teils durch mit hohem Gras bewachsene Flußbetten</w:t>
      </w:r>
      <w:r>
        <w:rPr>
          <w:rStyle w:val="Funotenzeichen"/>
        </w:rPr>
        <w:footnoteReference w:id="94"/>
      </w:r>
      <w:r>
        <w:t xml:space="preserve"> meist in gestrecktem Galopp, teils durch Busch, teils durch Kornfelder, die abgeer</w:t>
      </w:r>
      <w:r>
        <w:t>n</w:t>
      </w:r>
      <w:r>
        <w:t xml:space="preserve">tet waren im Schritt oder langsamen Trab. Heute saß ich doch schon viel fester auf dem Pferde. Herrliche Palmen und prachtvolle große Bäume wachsen hier im Ambolande. Vor allem bewundere ich immer wieder die wunderbar großen </w:t>
      </w:r>
      <w:r>
        <w:lastRenderedPageBreak/>
        <w:t>und schönen wilden Feigenbäume, die auch jetzt im Winter im herrlichsten Grün prangen und teilweise mit Früchten überladen sind. So große und schöne Bäume habe ich überhaupt noch nie gesehen. (1109)</w:t>
      </w:r>
    </w:p>
    <w:p w:rsidR="00CF6655" w:rsidRDefault="00684715" w:rsidP="003D4A6A">
      <w:pPr>
        <w:pStyle w:val="Text"/>
        <w:ind w:firstLine="0"/>
      </w:pPr>
      <w:r>
        <w:t xml:space="preserve">Es handelt sich </w:t>
      </w:r>
      <w:r w:rsidR="007179BA">
        <w:t xml:space="preserve">wohl </w:t>
      </w:r>
      <w:r>
        <w:t>um Maulbeer-Feigen</w:t>
      </w:r>
      <w:r w:rsidR="00363C1C">
        <w:fldChar w:fldCharType="begin"/>
      </w:r>
      <w:r w:rsidR="005B69F3">
        <w:instrText xml:space="preserve"> XE "</w:instrText>
      </w:r>
      <w:r w:rsidR="005B69F3" w:rsidRPr="00A830BA">
        <w:instrText>Maulbeer-Feige</w:instrText>
      </w:r>
      <w:r w:rsidR="005B69F3">
        <w:instrText xml:space="preserve">" </w:instrText>
      </w:r>
      <w:r w:rsidR="00363C1C">
        <w:fldChar w:fldCharType="end"/>
      </w:r>
      <w:r>
        <w:t xml:space="preserve"> (</w:t>
      </w:r>
      <w:r>
        <w:rPr>
          <w:i/>
          <w:iCs/>
        </w:rPr>
        <w:t>Ficus sycomorus</w:t>
      </w:r>
      <w:r>
        <w:t>), die sehr groß we</w:t>
      </w:r>
      <w:r>
        <w:t>r</w:t>
      </w:r>
      <w:r>
        <w:t>den können.</w:t>
      </w:r>
      <w:r w:rsidR="00C61633">
        <w:rPr>
          <w:rStyle w:val="Funotenzeichen"/>
        </w:rPr>
        <w:footnoteReference w:id="95"/>
      </w:r>
      <w:r>
        <w:t xml:space="preserve"> – </w:t>
      </w:r>
      <w:r w:rsidR="00CF6655">
        <w:t>Noch weiter nördlich, in Ondjiva</w:t>
      </w:r>
      <w:r w:rsidR="00363C1C">
        <w:fldChar w:fldCharType="begin"/>
      </w:r>
      <w:r w:rsidR="00C05598">
        <w:instrText xml:space="preserve"> XE "</w:instrText>
      </w:r>
      <w:r w:rsidR="00C05598" w:rsidRPr="00754908">
        <w:rPr>
          <w:lang w:val="it-IT"/>
        </w:rPr>
        <w:instrText>Ondjiva</w:instrText>
      </w:r>
      <w:r w:rsidR="00C05598">
        <w:instrText xml:space="preserve">" </w:instrText>
      </w:r>
      <w:r w:rsidR="00363C1C">
        <w:fldChar w:fldCharType="end"/>
      </w:r>
      <w:r w:rsidR="00CF6655">
        <w:t>,</w:t>
      </w:r>
      <w:r w:rsidR="00CF6655">
        <w:rPr>
          <w:rStyle w:val="Funotenzeichen"/>
        </w:rPr>
        <w:footnoteReference w:id="96"/>
      </w:r>
      <w:r w:rsidR="00CF6655">
        <w:t xml:space="preserve"> sieht er den eindrucksvoll</w:t>
      </w:r>
      <w:r w:rsidR="00CF6655">
        <w:t>s</w:t>
      </w:r>
      <w:r w:rsidR="00CF6655">
        <w:t>ten von ihnen nahe der früheren, inzwischen verlegten Missionsstation:</w:t>
      </w:r>
    </w:p>
    <w:p w:rsidR="00CF6655" w:rsidRDefault="00CF6655" w:rsidP="00CF6655">
      <w:pPr>
        <w:pStyle w:val="Zitat"/>
      </w:pPr>
      <w:r>
        <w:t>Ganz in der Nähe dieser Ruinen steht ein wilder Feigenbaum, von dem Meisenholl</w:t>
      </w:r>
      <w:r w:rsidR="00363C1C">
        <w:fldChar w:fldCharType="begin"/>
      </w:r>
      <w:r w:rsidR="00D20257">
        <w:instrText xml:space="preserve"> XE "</w:instrText>
      </w:r>
      <w:r w:rsidR="00D20257" w:rsidRPr="009F60CD">
        <w:instrText>Meisenholl, Geschw.</w:instrText>
      </w:r>
      <w:r w:rsidR="00D20257">
        <w:instrText xml:space="preserve">" </w:instrText>
      </w:r>
      <w:r w:rsidR="00363C1C">
        <w:fldChar w:fldCharType="end"/>
      </w:r>
      <w:r>
        <w:t xml:space="preserve"> öfter berichtet hat. Auch zu dem gingen wir hin. In den letzten Ja</w:t>
      </w:r>
      <w:r>
        <w:t>h</w:t>
      </w:r>
      <w:r>
        <w:t>ren hat ihn der Wind arg mitgenommen; gleichwohl ist er der größte Baum, den ich auch hier im Lande gesehen habe. Seinen Stamm umspannen kaum 10 Männer und in seinem Schatten können wohl tausende lagern. Wenn der bei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stünde, würden Scharen von weither zu dem Baum wandern, um das Naturwunder zu sehen. (1128)</w:t>
      </w:r>
    </w:p>
    <w:p w:rsidR="00CF6655" w:rsidRDefault="00CF6655" w:rsidP="00CF6655">
      <w:pPr>
        <w:pStyle w:val="Titel"/>
      </w:pPr>
      <w:bookmarkStart w:id="135" w:name="_Toc122313630"/>
      <w:bookmarkStart w:id="136" w:name="_Toc122313718"/>
      <w:bookmarkStart w:id="137" w:name="_Toc130260687"/>
      <w:bookmarkStart w:id="138" w:name="_Toc327387987"/>
      <w:r>
        <w:t>Die Mission</w:t>
      </w:r>
      <w:bookmarkEnd w:id="135"/>
      <w:bookmarkEnd w:id="136"/>
      <w:bookmarkEnd w:id="137"/>
      <w:bookmarkEnd w:id="138"/>
    </w:p>
    <w:p w:rsidR="00CF6655" w:rsidRDefault="00CF6655" w:rsidP="006235C8">
      <w:pPr>
        <w:pStyle w:val="Titel2"/>
      </w:pPr>
      <w:bookmarkStart w:id="139" w:name="_Toc130260688"/>
      <w:bookmarkStart w:id="140" w:name="_Toc327387988"/>
      <w:r>
        <w:t>Aspekte des Alltags</w:t>
      </w:r>
      <w:bookmarkEnd w:id="139"/>
      <w:bookmarkEnd w:id="140"/>
    </w:p>
    <w:p w:rsidR="00CF6655" w:rsidRDefault="00CF6655" w:rsidP="006235C8">
      <w:pPr>
        <w:pStyle w:val="Text"/>
        <w:ind w:firstLine="0"/>
      </w:pPr>
      <w:r>
        <w:t>Spiecker hat genügend Gelegenheit, den Alltagsbetrieb auf den Missionsstati</w:t>
      </w:r>
      <w:r>
        <w:t>o</w:t>
      </w:r>
      <w:r>
        <w:t>nen kennen zu lernen. Abläufe und Routinen des Alltags ähneln sich auf den zahlreichen besuchten Stationen; zugleich werden sie von den Aufgaben der V</w:t>
      </w:r>
      <w:r>
        <w:t>i</w:t>
      </w:r>
      <w:r>
        <w:t>sitation überlagert, die sich der unermüdliche Gast immer wieder von Neuem a</w:t>
      </w:r>
      <w:r>
        <w:t>b</w:t>
      </w:r>
      <w:r>
        <w:t>ringt.</w:t>
      </w:r>
    </w:p>
    <w:p w:rsidR="00CF6655" w:rsidRDefault="00CF6655" w:rsidP="006235C8">
      <w:pPr>
        <w:pStyle w:val="Titel3"/>
      </w:pPr>
      <w:bookmarkStart w:id="141" w:name="_Toc122313633"/>
      <w:bookmarkStart w:id="142" w:name="_Toc122313721"/>
      <w:bookmarkStart w:id="143" w:name="_Toc130260689"/>
      <w:bookmarkStart w:id="144" w:name="_Ref325354937"/>
      <w:bookmarkStart w:id="145" w:name="_Toc327387989"/>
      <w:r>
        <w:t>Leben auf den Stationen</w:t>
      </w:r>
      <w:bookmarkEnd w:id="141"/>
      <w:bookmarkEnd w:id="142"/>
      <w:bookmarkEnd w:id="143"/>
      <w:bookmarkEnd w:id="144"/>
      <w:bookmarkEnd w:id="145"/>
    </w:p>
    <w:p w:rsidR="00CF6655" w:rsidRDefault="00CF6655" w:rsidP="006235C8">
      <w:pPr>
        <w:pStyle w:val="Text"/>
        <w:ind w:firstLine="0"/>
      </w:pPr>
      <w:r>
        <w:t>„Man kann sich von dem ganzen Getriebe auf einer solchen Missionsstation kaum eine Vorstellung machen. Auf einem großen Bauernhof daheim ist kaum ein größeres Getriebe wie hier auf den Stationen im Ambolande. Ändern läßt sich das zunächst nicht.“ (1117) Beispielsweise müssen aufwendige Brunnen g</w:t>
      </w:r>
      <w:r>
        <w:t>e</w:t>
      </w:r>
      <w:r>
        <w:t>graben werden. „An einem solchen Brunnen graben 12 und mehr Eingeborene wochen- und monatelang.“ (1116) Vor allem im Norden und im Amboland sind die Stationen weitgehend autark und müssen das auch sein, weil vieles gar nicht zu vernünftigen Preisen hertransportiert werden kann.</w:t>
      </w:r>
    </w:p>
    <w:p w:rsidR="00CF6655" w:rsidRDefault="00CF6655" w:rsidP="00CF6655">
      <w:pPr>
        <w:pStyle w:val="Text"/>
      </w:pPr>
      <w:r>
        <w:lastRenderedPageBreak/>
        <w:t>In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das direkt südlich der Grenze zum portugiesischen Angola liegt, beschreibt Spiecker den Betrieb auf einer solchen Station:</w:t>
      </w:r>
    </w:p>
    <w:p w:rsidR="00CF6655" w:rsidRDefault="00CF6655" w:rsidP="00CF6655">
      <w:pPr>
        <w:pStyle w:val="Zitat"/>
      </w:pPr>
      <w:r>
        <w:t>Nach dem Frühstück […] besah ich mit Br.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r>
        <w:t xml:space="preserve"> </w:t>
      </w:r>
      <w:proofErr w:type="gramStart"/>
      <w:r>
        <w:t>das ganze große</w:t>
      </w:r>
      <w:proofErr w:type="gramEnd"/>
      <w:r>
        <w:t xml:space="preserve"> Mission</w:t>
      </w:r>
      <w:r>
        <w:t>s</w:t>
      </w:r>
      <w:r>
        <w:t>gehöfte. Außer dem stattlichen aber einfachen Wohnhause gibt es einige N</w:t>
      </w:r>
      <w:r>
        <w:t>e</w:t>
      </w:r>
      <w:r>
        <w:t>bengebäude für die große Dienerschaft von Eingeborenen. Ohne eine solche geht es hier nun einmal nicht. Da die männlichen und weiblichen Diener resp. Arbeiter nur die sehr einfache Kost und hier und da einen Lappen oder ein a</w:t>
      </w:r>
      <w:r>
        <w:t>b</w:t>
      </w:r>
      <w:r>
        <w:t>gelegtes Kleidungsstück erhalten, so nimmt man es natürlich auch nicht schwer einige mehr einzustellen. Auch gibt es eben mancherlei Arbeiten. So ist hier ein Hirte für</w:t>
      </w:r>
      <w:r w:rsidR="00E92E8F">
        <w:t>’</w:t>
      </w:r>
      <w:r>
        <w:t>s Großvieh, einer für</w:t>
      </w:r>
      <w:r w:rsidR="00E92E8F">
        <w:t>’</w:t>
      </w:r>
      <w:r>
        <w:t xml:space="preserve">s Kleinvieh, einer für die Pferde, einer für die Schweine u.s.w. Natürlich liegt in diesem großen Getriebe auch eine Gefahr für den Missionar. Auf der anderen Seite hat er den Betrieb nötig, um z.B. Fleisch und Milch zu haben, den Garten zu bestellen, Holz zu sägen etc. Auch kann er auf diese Weise die </w:t>
      </w:r>
      <w:proofErr w:type="gramStart"/>
      <w:r>
        <w:t>von fernher kommenden Taufbewerber</w:t>
      </w:r>
      <w:proofErr w:type="gramEnd"/>
      <w:r>
        <w:t xml:space="preserve"> unterhalten und b</w:t>
      </w:r>
      <w:r>
        <w:t>e</w:t>
      </w:r>
      <w:r>
        <w:t>schäftigen, da sie auf die Hilfe des Missionars angewiesen sind. […] Auch ein für Schule und Kirche dienendes Gebäude hat Br.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r>
        <w:t xml:space="preserve"> in ganz zwecken</w:t>
      </w:r>
      <w:r>
        <w:t>t</w:t>
      </w:r>
      <w:r>
        <w:t>sprechender Weise errichtet. (1092f)</w:t>
      </w:r>
    </w:p>
    <w:p w:rsidR="00CF6655" w:rsidRDefault="00CF6655" w:rsidP="00BC0A2B">
      <w:pPr>
        <w:pStyle w:val="Text"/>
        <w:ind w:firstLine="0"/>
      </w:pPr>
      <w:r>
        <w:t>Weiter im Süden sind die Stationen weniger aufwendig, doch sie haben immer noch zumeist den Charakter eines deutschen Pfarrhauses zusammen mit einem kleinen Bauernhof.</w:t>
      </w:r>
    </w:p>
    <w:p w:rsidR="00CF6655" w:rsidRDefault="00CF6655" w:rsidP="00CF6655">
      <w:pPr>
        <w:pStyle w:val="Text"/>
      </w:pPr>
      <w:r>
        <w:t>Der Missionar muss auf das Selbstverständnis der weißen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xml:space="preserve"> Rücksicht nehmen, wenn er von ihnen respektiert werden will; das zeigt sich, als Br.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eine Karrenreparatur durchzuführen hat. Spiecker erwähnt, dass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diese Arbeit nicht ungern tut, denn er fühle, „daß körperliche Arbeit zur Erhaltung der Gesundheit sehr heilsam ist. Es ist zu bedauern, daß auf manchen Stationen der Missionar mit Rücksicht auf die Weißen äußere A</w:t>
      </w:r>
      <w:r>
        <w:t>r</w:t>
      </w:r>
      <w:r>
        <w:t>beit nur in geringem Maße tun darf.“ (1025) Dafür hatte man ja seine (in der R</w:t>
      </w:r>
      <w:r>
        <w:t>e</w:t>
      </w:r>
      <w:r>
        <w:t>gel schwarzen) Diener.</w:t>
      </w:r>
    </w:p>
    <w:p w:rsidR="00CF6655" w:rsidRDefault="00CF6655" w:rsidP="00CF6655">
      <w:pPr>
        <w:pStyle w:val="Text"/>
      </w:pPr>
      <w:r>
        <w:t>Ochsen werden nicht nur für die Ochsenwagen verwandt, sondern manc</w:t>
      </w:r>
      <w:r>
        <w:t>h</w:t>
      </w:r>
      <w:r>
        <w:t>mal auch als Reitochsen: „Diese Reitochsen werden eigens zu dem Zwecke dre</w:t>
      </w:r>
      <w:r>
        <w:t>s</w:t>
      </w:r>
      <w:r>
        <w:t>siert und zu nichts anderem verwandt und gerade wie ein Pferd gesattelt.“ (1073)</w:t>
      </w:r>
    </w:p>
    <w:p w:rsidR="00CF6655" w:rsidRDefault="00CF6655" w:rsidP="00CF6655">
      <w:pPr>
        <w:pStyle w:val="Text"/>
      </w:pPr>
      <w:r>
        <w:t>An Weihnachten 1905, dass er in 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r>
        <w:t xml:space="preserve"> in der Kapkolonie verbringt, b</w:t>
      </w:r>
      <w:r>
        <w:t>e</w:t>
      </w:r>
      <w:r>
        <w:t>richtet Spiecker über die Weihnachtsbäume, die natürlich nicht fehlen dürfen: „Es sind aus Deutschland bestellte künstliche Christbäume, die in jedem Jahr aufs neue wieder zum Vorschein kommen.“ (394) Nicht nur Tannen, sondern a</w:t>
      </w:r>
      <w:r>
        <w:t>l</w:t>
      </w:r>
      <w:r>
        <w:t>le Arten von Bäumen sind dort Mangelware; sie wachsen nur in bewässerten Gärten.</w:t>
      </w:r>
    </w:p>
    <w:p w:rsidR="00CF6655" w:rsidRDefault="00CF6655" w:rsidP="00CF6655">
      <w:pPr>
        <w:pStyle w:val="Text"/>
      </w:pPr>
      <w:r>
        <w:t>Besondere Schwierigkeiten ergeben sich durch den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Durch Flucht und die Verschleppung in weit entfernte Lager (vgl. Abschnitt </w:t>
      </w:r>
      <w:r w:rsidR="00363C1C">
        <w:fldChar w:fldCharType="begin"/>
      </w:r>
      <w:r w:rsidR="00FC13BC">
        <w:instrText xml:space="preserve"> REF _Ref325355236 \r \h </w:instrText>
      </w:r>
      <w:r w:rsidR="00363C1C">
        <w:fldChar w:fldCharType="separate"/>
      </w:r>
      <w:r w:rsidR="00216538">
        <w:t>3.4.5</w:t>
      </w:r>
      <w:r w:rsidR="00363C1C">
        <w:fldChar w:fldCharType="end"/>
      </w:r>
      <w:r>
        <w:t xml:space="preserve"> „Die Ko</w:t>
      </w:r>
      <w:r>
        <w:t>n</w:t>
      </w:r>
      <w:r>
        <w:t>zentrationslager</w:t>
      </w:r>
      <w:r w:rsidR="00363C1C">
        <w:fldChar w:fldCharType="begin"/>
      </w:r>
      <w:r w:rsidR="00C221A5">
        <w:instrText xml:space="preserve"> XE "</w:instrText>
      </w:r>
      <w:r w:rsidR="00C221A5" w:rsidRPr="00B24F31">
        <w:instrText>Konzentrationslager</w:instrText>
      </w:r>
      <w:r w:rsidR="00C221A5">
        <w:instrText xml:space="preserve">" </w:instrText>
      </w:r>
      <w:r w:rsidR="00363C1C">
        <w:fldChar w:fldCharType="end"/>
      </w:r>
      <w:r>
        <w:t>“) sind die Stämme so durcheinandergewirbelt worden, dass e</w:t>
      </w:r>
      <w:r>
        <w:t>i</w:t>
      </w:r>
      <w:r>
        <w:t>gentlich für jede Gemeinde zwei Brüder gebraucht würden, da immer zwei oder mehr Gottesdienste allein für die Eingeborenen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und </w:t>
      </w:r>
      <w:r>
        <w:lastRenderedPageBreak/>
        <w:t>die meist holländisch sprechenden ‚Bastards</w:t>
      </w:r>
      <w:r w:rsidR="00363C1C">
        <w:fldChar w:fldCharType="begin"/>
      </w:r>
      <w:r w:rsidR="00C54DDA">
        <w:instrText xml:space="preserve"> XE "</w:instrText>
      </w:r>
      <w:r w:rsidR="00C54DDA" w:rsidRPr="006B6C63">
        <w:instrText>Bastards</w:instrText>
      </w:r>
      <w:r w:rsidR="00C54DDA">
        <w:instrText xml:space="preserve">" </w:instrText>
      </w:r>
      <w:r w:rsidR="00363C1C">
        <w:fldChar w:fldCharType="end"/>
      </w:r>
      <w:r>
        <w:t>‘)</w:t>
      </w:r>
      <w:bookmarkStart w:id="146" w:name="_Ref325358341"/>
      <w:r>
        <w:rPr>
          <w:rStyle w:val="Funotenzeichen"/>
        </w:rPr>
        <w:footnoteReference w:id="97"/>
      </w:r>
      <w:bookmarkEnd w:id="146"/>
      <w:r>
        <w:t xml:space="preserve"> gehalten werden müssen. Dazu kommt noch der Gottesdienst für die Weißen.</w:t>
      </w:r>
    </w:p>
    <w:p w:rsidR="00CF6655" w:rsidRDefault="00CF6655" w:rsidP="00CF6655">
      <w:pPr>
        <w:pStyle w:val="Zitat"/>
      </w:pPr>
      <w:r>
        <w:t>Jetzt haben wir es auch hier im Norden mit Naman und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fast an allen Plätzen zu tun. Da sollte jeder Bruder alle 2 Sprachen lernen. Ich fürchte aber, daß dann die meisten Brüder keine ordentlich lernen. So trat ich dafür ein, daß Irle und Schmitz die leichtere Hererosprache lernen sollten und dann mit e</w:t>
      </w:r>
      <w:r>
        <w:t>i</w:t>
      </w:r>
      <w:r>
        <w:t>nem Dolmetscher zu den Naman resp.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so weit als nötig reden sol</w:t>
      </w:r>
      <w:r>
        <w:t>l</w:t>
      </w:r>
      <w:r>
        <w:t>ten. (943)</w:t>
      </w:r>
    </w:p>
    <w:p w:rsidR="00CF6655" w:rsidRDefault="00CF6655" w:rsidP="00BC0A2B">
      <w:pPr>
        <w:pStyle w:val="Text"/>
        <w:ind w:firstLine="0"/>
      </w:pPr>
      <w:r>
        <w:t>Dazu kommen die Verwaltungsaufgaben und nicht zuletzt die besonderen U</w:t>
      </w:r>
      <w:r>
        <w:t>m</w:t>
      </w:r>
      <w:r>
        <w:t>stände, die Verhandlungstaktik, Geschäftstüchtigkeit sowie eine zähe Konstit</w:t>
      </w:r>
      <w:r>
        <w:t>u</w:t>
      </w:r>
      <w:r>
        <w:t xml:space="preserve">tion erfordern, um Entbehrungen und tropische Krankheiten zu überstehen. </w:t>
      </w:r>
      <w:proofErr w:type="gramStart"/>
      <w:r>
        <w:t>Um so</w:t>
      </w:r>
      <w:proofErr w:type="gramEnd"/>
      <w:r>
        <w:t xml:space="preserve"> wichtiger sind in Spieckers Augen belastbare, erfahrene Brüder:</w:t>
      </w:r>
    </w:p>
    <w:p w:rsidR="00CF6655" w:rsidRDefault="00CF6655" w:rsidP="00CF6655">
      <w:pPr>
        <w:pStyle w:val="Zitat"/>
      </w:pPr>
      <w:r>
        <w:t>Ohne ein großes Maß von Opferfreudigkeit ist es unmöglich hier im Segen zu arbeiten. Auch wird der Missionar erst im Laufe der Jahre so sprachlich und mit Missionserfahrung ausgerüstet, daß er wirklich mit Erfolg seinen Platz au</w:t>
      </w:r>
      <w:r>
        <w:t>s</w:t>
      </w:r>
      <w:r>
        <w:t>füllen kann. (944)</w:t>
      </w:r>
    </w:p>
    <w:p w:rsidR="00CF6655" w:rsidRDefault="00CF6655" w:rsidP="00BC0A2B">
      <w:pPr>
        <w:pStyle w:val="Text"/>
        <w:ind w:firstLine="0"/>
      </w:pPr>
      <w:r>
        <w:t>Die Missionshäuser sind von sehr unterschiedlicher Qualität. Einen Tiefpunkt bildet das Haus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w:t>
      </w:r>
    </w:p>
    <w:p w:rsidR="00CF6655" w:rsidRDefault="00CF6655" w:rsidP="00CF6655">
      <w:pPr>
        <w:pStyle w:val="Zitat"/>
      </w:pPr>
      <w:r>
        <w:t>Dann führte mich 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in ein ganz leeres Zimmer mit sehr schlechtem Lehm- resp. Kuhmistfußboden, da standen 2 oder 3 leere Kisten. Fenster und Türen wurden mit Säcken verhangen. […] Hier im </w:t>
      </w:r>
      <w:r w:rsidR="00E92E8F">
        <w:t>„</w:t>
      </w:r>
      <w:r>
        <w:t>Studierzimmer</w:t>
      </w:r>
      <w:r w:rsidR="00E92E8F">
        <w:t>“</w:t>
      </w:r>
      <w:r>
        <w:t xml:space="preserve"> ist ein primitiver Nachttisch, einige lehnlose Klappstühle, ein sehr primitives Feldbett und eine mit einem Sack behangene Kiste als Waschtisch. Auf demselben steht aber ein wirkliches emailliertes Waschbecken. So sorgt der Staat für einen </w:t>
      </w:r>
      <w:r w:rsidR="00E92E8F">
        <w:t>„</w:t>
      </w:r>
      <w:r>
        <w:t>Missionar</w:t>
      </w:r>
      <w:r w:rsidR="00E92E8F">
        <w:t>“</w:t>
      </w:r>
      <w:r>
        <w:t xml:space="preserve"> in seinen Diensten, der ihm Millionen erspart und jetzt schon über 3 1/2 tausend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(Männer, Weiber und Kinder) aus dem Felde eingebracht hat. (913)</w:t>
      </w:r>
    </w:p>
    <w:p w:rsidR="00CF6655" w:rsidRDefault="00CF6655" w:rsidP="00BC0A2B">
      <w:pPr>
        <w:pStyle w:val="Text"/>
        <w:ind w:firstLine="0"/>
      </w:pPr>
      <w:r>
        <w:t>Die schlechte medizinische Versorgung der Gemeinden zeigt sich schon bei der Krankheit, die Spiecker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bekommt (s. Abschnitt </w:t>
      </w:r>
      <w:r w:rsidR="00363C1C">
        <w:fldChar w:fldCharType="begin"/>
      </w:r>
      <w:r w:rsidR="00FC13BC">
        <w:instrText xml:space="preserve"> REF _Ref325355255 \r \h </w:instrText>
      </w:r>
      <w:r w:rsidR="00363C1C">
        <w:fldChar w:fldCharType="separate"/>
      </w:r>
      <w:r w:rsidR="00216538">
        <w:t>1.2.2.1</w:t>
      </w:r>
      <w:r w:rsidR="00363C1C">
        <w:fldChar w:fldCharType="end"/>
      </w:r>
      <w:r>
        <w:t>). Ein Schlaglicht auf die Zustände wirft auch ein Ereignis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Kurz vor se</w:t>
      </w:r>
      <w:r>
        <w:t>i</w:t>
      </w:r>
      <w:r>
        <w:t>ner Abfahrt stirbt dort eine „Frau Aletta Johr, der ihr deutscher Bräutigam (sie war Wittwe) aus Versehen Sublimatpillen gegeben hat, infolge deren sie am er</w:t>
      </w:r>
      <w:r>
        <w:t>s</w:t>
      </w:r>
      <w:r>
        <w:t>ten Ostertag Abends eines schrecklichen Vergiftungstodes gestorben ist.“ (866) Da kein kritisches Wort zum Verhalten des Bräutigams fällt, kann man anne</w:t>
      </w:r>
      <w:r>
        <w:t>h</w:t>
      </w:r>
      <w:r>
        <w:lastRenderedPageBreak/>
        <w:t>men, dass die Selbstbehandlung hier Standard ist; einen Arzt gibt es in Rehoboth offenbar genauso wenig wie in Okombahe, wo Spiecker seiner Krankheit ohne fachkundige Hilfe ausgesetzt ist, und so können tödliche Fehler wie dieser schon einmal vorkommen. Dass der armen Frau vermutlich durch ein simples Brec</w:t>
      </w:r>
      <w:r>
        <w:t>h</w:t>
      </w:r>
      <w:r>
        <w:t>mittel hätte geholfen werden können, macht das Unglück umso tragischer.</w:t>
      </w:r>
    </w:p>
    <w:p w:rsidR="00CF6655" w:rsidRDefault="00CF6655" w:rsidP="00BC0A2B">
      <w:pPr>
        <w:pStyle w:val="Titel3"/>
      </w:pPr>
      <w:bookmarkStart w:id="147" w:name="_Toc130260690"/>
      <w:bookmarkStart w:id="148" w:name="_Ref325354965"/>
      <w:bookmarkStart w:id="149" w:name="_Ref325357186"/>
      <w:bookmarkStart w:id="150" w:name="_Toc327387990"/>
      <w:r>
        <w:t>Gottesdienst</w:t>
      </w:r>
      <w:bookmarkEnd w:id="147"/>
      <w:bookmarkEnd w:id="148"/>
      <w:bookmarkEnd w:id="149"/>
      <w:bookmarkEnd w:id="150"/>
    </w:p>
    <w:p w:rsidR="00CF6655" w:rsidRDefault="00CF6655" w:rsidP="00BC0A2B">
      <w:pPr>
        <w:pStyle w:val="Text"/>
        <w:ind w:firstLine="0"/>
      </w:pPr>
      <w:r>
        <w:t>In den Gemeinden werden, soweit dies möglich ist, mehrere Gottesdienste für die verschiedensprachigen Bevölkerungsgruppen abgehalten. Ein typischer A</w:t>
      </w:r>
      <w:r>
        <w:t>b</w:t>
      </w:r>
      <w:r>
        <w:t>lauf findet sich So, 23. Sept. 2006 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Morgens um acht ist Aben</w:t>
      </w:r>
      <w:r>
        <w:t>d</w:t>
      </w:r>
      <w:r>
        <w:t>mahlsgottesdienst in Deutsch; um halb zehn ein weiterer Abendmahlsgotte</w:t>
      </w:r>
      <w:r>
        <w:t>s</w:t>
      </w:r>
      <w:r>
        <w:t>dienst für die holländischsprachige Gemeinde (‚Bastards</w:t>
      </w:r>
      <w:r w:rsidR="00363C1C">
        <w:fldChar w:fldCharType="begin"/>
      </w:r>
      <w:r w:rsidR="00C54DDA">
        <w:instrText xml:space="preserve"> XE "</w:instrText>
      </w:r>
      <w:r w:rsidR="00C54DDA" w:rsidRPr="006B6C63">
        <w:instrText>Bastards</w:instrText>
      </w:r>
      <w:r w:rsidR="00C54DDA">
        <w:instrText xml:space="preserve">" </w:instrText>
      </w:r>
      <w:r w:rsidR="00363C1C">
        <w:fldChar w:fldCharType="end"/>
      </w:r>
      <w:r>
        <w:t>‘,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und um halb zwölf Gottesdienst für die Hererogemeinde. In manchen Gemei</w:t>
      </w:r>
      <w:r>
        <w:t>n</w:t>
      </w:r>
      <w:r>
        <w:t>den wird in Nama und Holländisch gepredigt, anderswo in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Hollä</w:t>
      </w:r>
      <w:r>
        <w:t>n</w:t>
      </w:r>
      <w:r>
        <w:t>disch oder nur in einer der drei Sprachen, dazu kommt fast immer der deutsche Gottesdienst. An diesem Sonntag und dem vorhergehenden findet dann sogar noch ein vierter Gottesdienst statt: Anfangs- bzw. Abschlussgottesdienst der Missionskonferenz, die nur für die Brüder bestimmt sind. Spiecker wohnt jeweils allen vier Gottesdiensten bei und gibt alle Predigten, in wenigen Sätzen bzw. Stichpunkten zusammengefasst, wieder (1369ff, 1420ff).</w:t>
      </w:r>
      <w:r>
        <w:rPr>
          <w:rStyle w:val="Funotenzeichen"/>
        </w:rPr>
        <w:footnoteReference w:id="98"/>
      </w:r>
      <w:r>
        <w:t xml:space="preserve"> Spiecker selbst pr</w:t>
      </w:r>
      <w:r>
        <w:t>e</w:t>
      </w:r>
      <w:r>
        <w:t>digt auf der Reise in Deutsch und auch in Holländisch (1532, 1667), auch für Nama und Herero hält er Gottesdienste, die dann vom Missionar oder (häufiger) von einheimischen Lehrern gedolmetscht werden.</w:t>
      </w:r>
    </w:p>
    <w:p w:rsidR="00CF6655" w:rsidRDefault="00CF6655" w:rsidP="00CF6655">
      <w:pPr>
        <w:pStyle w:val="Text"/>
      </w:pPr>
      <w:r>
        <w:t>Der Gottesdienst für die Einheimischen fungiert ebenso als ‚Reklame‘ für die Heiden wie als sakrale Handlung für die Christen. In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xml:space="preserve"> im Amboland, das erst in letzter Zeit von den ‚Finnischen Brüdern</w:t>
      </w:r>
      <w:r w:rsidR="00363C1C">
        <w:fldChar w:fldCharType="begin"/>
      </w:r>
      <w:r w:rsidR="00BC36F5">
        <w:instrText xml:space="preserve"> XE "</w:instrText>
      </w:r>
      <w:r w:rsidR="00BC36F5" w:rsidRPr="00E60C9F">
        <w:instrText>Finnische Brüder (Ovambomission)</w:instrText>
      </w:r>
      <w:r w:rsidR="00BC36F5">
        <w:instrText xml:space="preserve">" </w:instrText>
      </w:r>
      <w:r w:rsidR="00363C1C">
        <w:fldChar w:fldCharType="end"/>
      </w:r>
      <w:r>
        <w:t xml:space="preserve">‘ missioniert wurde (vgl. Abschnitt </w:t>
      </w:r>
      <w:r w:rsidR="00363C1C">
        <w:fldChar w:fldCharType="begin"/>
      </w:r>
      <w:r w:rsidR="00FC13BC">
        <w:instrText xml:space="preserve"> REF _Ref325355291 \r \h </w:instrText>
      </w:r>
      <w:r w:rsidR="00363C1C">
        <w:fldChar w:fldCharType="separate"/>
      </w:r>
      <w:r w:rsidR="00216538">
        <w:t>2.3.4.2.2</w:t>
      </w:r>
      <w:r w:rsidR="00363C1C">
        <w:fldChar w:fldCharType="end"/>
      </w:r>
      <w:r>
        <w:t>), lässt Spiecker die Getauften noch gar nicht als volle Christen gelten: „Es ist gar nicht so leicht Heiden und auch jungen He</w:t>
      </w:r>
      <w:r>
        <w:t>i</w:t>
      </w:r>
      <w:r>
        <w:t>denchristen zu predigen, so daß sie verstehen, was man eigentlich will. […] Die Kirche resp. Schule war überfüllt. Ich habe mit rechter Freudigkeit zu den Le</w:t>
      </w:r>
      <w:r>
        <w:t>u</w:t>
      </w:r>
      <w:r>
        <w:t>ten geredet […]. Viele nackte Heiden waren anwesend, hörten aber sehr au</w:t>
      </w:r>
      <w:r>
        <w:t>f</w:t>
      </w:r>
      <w:r>
        <w:t>merksam zu. Bruder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r>
        <w:t xml:space="preserve"> dolmetschte. Nachher kamen wieder viele, um zu grüßen. Gegen 1/2 1 Uhr hielt Br.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r>
        <w:t xml:space="preserve"> Kindergottesdienst“ (1094f).</w:t>
      </w:r>
    </w:p>
    <w:p w:rsidR="00CF6655" w:rsidRDefault="00CF6655" w:rsidP="00CF6655">
      <w:pPr>
        <w:pStyle w:val="Text"/>
      </w:pPr>
      <w:r>
        <w:t>Der Kindergottesdienst ist eine regelmäßige Einrichtung und die ehrgeiz</w:t>
      </w:r>
      <w:r>
        <w:t>i</w:t>
      </w:r>
      <w:r>
        <w:t>gen Missionare schrecken auch nicht davor zurück, die Kinder für ihre Ziele ei</w:t>
      </w:r>
      <w:r>
        <w:t>n</w:t>
      </w:r>
      <w:r>
        <w:t>zuspannen: „Ich […] erzählte ihnen eine Geschichte von einem Knaben in Ch</w:t>
      </w:r>
      <w:r>
        <w:t>i</w:t>
      </w:r>
      <w:r>
        <w:lastRenderedPageBreak/>
        <w:t>na, den der Herr Jesus gebrauchte, um auch seine Eltern zu sich zu ziehen.“ (1134) Gerade im Amboland gibt es nämlich noch viele, die nicht zur Bekehrung bereit sind, obwohl sie auf die ständigen Aufforderungen hin versichern, sie würden Christen werden (1104f, 1130f).</w:t>
      </w:r>
    </w:p>
    <w:p w:rsidR="00CF6655" w:rsidRDefault="00CF6655" w:rsidP="00CF6655">
      <w:pPr>
        <w:pStyle w:val="Text"/>
      </w:pPr>
      <w:r>
        <w:t>Aus dem weiter südlich gelegenen Olukonda</w:t>
      </w:r>
      <w:r w:rsidR="00363C1C">
        <w:fldChar w:fldCharType="begin"/>
      </w:r>
      <w:r w:rsidR="00C05598">
        <w:instrText xml:space="preserve"> XE "</w:instrText>
      </w:r>
      <w:r w:rsidR="00C05598" w:rsidRPr="00285499">
        <w:instrText>Olukonda</w:instrText>
      </w:r>
      <w:r w:rsidR="00C05598">
        <w:instrText xml:space="preserve">" </w:instrText>
      </w:r>
      <w:r w:rsidR="00363C1C">
        <w:fldChar w:fldCharType="end"/>
      </w:r>
      <w:r>
        <w:t>, das dem Finnischen Bruder Rantauen</w:t>
      </w:r>
      <w:r w:rsidR="00363C1C">
        <w:fldChar w:fldCharType="begin"/>
      </w:r>
      <w:r w:rsidR="00C05598">
        <w:instrText xml:space="preserve"> XE "</w:instrText>
      </w:r>
      <w:r w:rsidR="00C05598" w:rsidRPr="001C6C3D">
        <w:instrText>Rantauen, Br.</w:instrText>
      </w:r>
      <w:r w:rsidR="00C05598">
        <w:instrText xml:space="preserve">" </w:instrText>
      </w:r>
      <w:r w:rsidR="00363C1C">
        <w:fldChar w:fldCharType="end"/>
      </w:r>
      <w:r>
        <w:t xml:space="preserve"> untersteht, berichtet er: „Der Gottesdienst findet in hochlutherischer</w:t>
      </w:r>
      <w:r w:rsidR="00363C1C">
        <w:fldChar w:fldCharType="begin"/>
      </w:r>
      <w:r w:rsidR="00C54DDA">
        <w:instrText xml:space="preserve"> XE "</w:instrText>
      </w:r>
      <w:r w:rsidR="00C54DDA" w:rsidRPr="009129CE">
        <w:instrText>lutherisch (Evangelisch-lutherische Kirchen)</w:instrText>
      </w:r>
      <w:r w:rsidR="00C54DDA">
        <w:instrText xml:space="preserve">" </w:instrText>
      </w:r>
      <w:r w:rsidR="00363C1C">
        <w:fldChar w:fldCharType="end"/>
      </w:r>
      <w:r>
        <w:t xml:space="preserve"> Form mit sehr ausgebildeter Liturgie statt. Mir sagte derselbe sehr zu. Zuerst wurde vor versammelter Gemeinde ein Kind getauft, auch ganz in Konfess. luth. Form mit Exorzismus</w:t>
      </w:r>
      <w:r w:rsidR="00363C1C">
        <w:fldChar w:fldCharType="begin"/>
      </w:r>
      <w:r w:rsidR="00C54DDA">
        <w:instrText xml:space="preserve"> XE "</w:instrText>
      </w:r>
      <w:r w:rsidR="00C54DDA" w:rsidRPr="000B217B">
        <w:instrText>Exorzismus</w:instrText>
      </w:r>
      <w:r w:rsidR="00C54DDA">
        <w:instrText xml:space="preserve">" </w:instrText>
      </w:r>
      <w:r w:rsidR="00363C1C">
        <w:fldChar w:fldCharType="end"/>
      </w:r>
      <w:r>
        <w:t>, Kreuzeszeichen u.s.w. […] Bei der Liturgie betete die Gemeinde kniend das Sündenbekenntnis gemeinsam laut und empfing kniend die Absolution“ (1068f) Eine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xml:space="preserve"> mit vorherigem Exorzismus dürfte auch d</w:t>
      </w:r>
      <w:r>
        <w:t>a</w:t>
      </w:r>
      <w:r>
        <w:t>mals in der evangelischen Gottesdienstpraxis schon sehr ungewöhnlich gewesen sein.</w:t>
      </w:r>
    </w:p>
    <w:p w:rsidR="00CF6655" w:rsidRDefault="00CF6655" w:rsidP="00CF6655">
      <w:pPr>
        <w:pStyle w:val="Text"/>
      </w:pPr>
      <w:r>
        <w:t>Immer wieder ist er erstaunt und erfreut über die große Aufmerksamkeit der Gottesdienstbesucher. Das ist ihm das wichtigste, und so gewöhnt er sich auch an die Bekleidungssitten: „Daß viele ganz nackt sind, andere im Hemd e</w:t>
      </w:r>
      <w:r>
        <w:t>r</w:t>
      </w:r>
      <w:r>
        <w:t>scheinen als in besonders gutem Gewand, merkt man gar nicht mehr.“ (1132)</w:t>
      </w:r>
    </w:p>
    <w:p w:rsidR="00CF6655" w:rsidRDefault="00CF6655" w:rsidP="00CF6655">
      <w:pPr>
        <w:pStyle w:val="Text"/>
      </w:pPr>
      <w:r>
        <w:t>Der Ausschluss vom Abendmahl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xml:space="preserve"> ist die immer wieder angewandte Strafe; als nächste Stufe droht dann der Ausschluss aus der Gemeinde. Die Betroffenen müssen sich in der vom Gottesdienst getrennten Abendmahlsfeier demütigen: „Dann mußten 2 Männer und 2 Frauen, die das 6te Gebot übertreten hatten und deshalb vom heil. Abendmahl ausgeschlossen waren, ihre Sünde bekennen und um Vergebung bitten.“ (1133) Beide Strafen werden vorwiegend wegen „Sit</w:t>
      </w:r>
      <w:r>
        <w:t>t</w:t>
      </w:r>
      <w:r>
        <w:t>lichkeitsverbrechen“ verhängt. So werden Schwarze, die schon lange von Ehefrau oder Ehemann getrennt leben, aber keine offizielle Scheidung bekommen kö</w:t>
      </w:r>
      <w:r>
        <w:t>n</w:t>
      </w:r>
      <w:r>
        <w:t xml:space="preserve">nen und eine neue Beziehung eingehen, aus der Gemeinde ausgeschlossen (s. auch Abschnitt </w:t>
      </w:r>
      <w:r w:rsidR="00363C1C">
        <w:fldChar w:fldCharType="begin"/>
      </w:r>
      <w:r w:rsidR="000A4CAD">
        <w:instrText xml:space="preserve"> REF _Ref325355344 \r \h </w:instrText>
      </w:r>
      <w:r w:rsidR="00363C1C">
        <w:fldChar w:fldCharType="separate"/>
      </w:r>
      <w:r w:rsidR="00216538">
        <w:t>2.2.2.1</w:t>
      </w:r>
      <w:r w:rsidR="00363C1C">
        <w:fldChar w:fldCharType="end"/>
      </w:r>
      <w:r>
        <w:t xml:space="preserve"> „Kirchenzucht</w:t>
      </w:r>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r>
        <w:t>“).</w:t>
      </w:r>
    </w:p>
    <w:p w:rsidR="00CF6655" w:rsidRDefault="00CF6655" w:rsidP="007308C9">
      <w:pPr>
        <w:pStyle w:val="Titel4"/>
      </w:pPr>
      <w:bookmarkStart w:id="151" w:name="_Toc130260691"/>
      <w:bookmarkStart w:id="152" w:name="_Toc327387991"/>
      <w:r>
        <w:t>Exkurs: Ein etwas anderer Missionsinspektor</w:t>
      </w:r>
      <w:bookmarkEnd w:id="151"/>
      <w:bookmarkEnd w:id="152"/>
    </w:p>
    <w:p w:rsidR="00CF6655" w:rsidRDefault="00CF6655" w:rsidP="00BC0A2B">
      <w:pPr>
        <w:pStyle w:val="Text"/>
        <w:ind w:firstLine="0"/>
      </w:pPr>
      <w:r>
        <w:t>Ein Vergleich mit den Aufzeichnungen des Theodor Hermann Wangemann</w:t>
      </w:r>
      <w:r w:rsidR="00363C1C">
        <w:fldChar w:fldCharType="begin"/>
      </w:r>
      <w:r w:rsidR="00AA2655">
        <w:instrText xml:space="preserve"> XE "</w:instrText>
      </w:r>
      <w:r w:rsidR="00AA2655" w:rsidRPr="00503667">
        <w:instrText>Wangemann, Theodor Hermann</w:instrText>
      </w:r>
      <w:r w:rsidR="00AA2655">
        <w:instrText xml:space="preserve">" </w:instrText>
      </w:r>
      <w:r w:rsidR="00363C1C">
        <w:fldChar w:fldCharType="end"/>
      </w:r>
      <w:r>
        <w:t>,</w:t>
      </w:r>
      <w:r>
        <w:rPr>
          <w:rStyle w:val="Funotenzeichen"/>
        </w:rPr>
        <w:footnoteReference w:id="99"/>
      </w:r>
      <w:r>
        <w:t xml:space="preserve"> der als Missionsdirektor der Berliner Mission</w:t>
      </w:r>
      <w:r w:rsidR="00363C1C">
        <w:fldChar w:fldCharType="begin"/>
      </w:r>
      <w:r w:rsidR="00AA2655">
        <w:instrText xml:space="preserve"> XE "</w:instrText>
      </w:r>
      <w:r w:rsidR="00AA2655" w:rsidRPr="007C7DF5">
        <w:instrText>Berliner Mission</w:instrText>
      </w:r>
      <w:r w:rsidR="00AA2655">
        <w:instrText xml:space="preserve">" </w:instrText>
      </w:r>
      <w:r w:rsidR="00363C1C">
        <w:fldChar w:fldCharType="end"/>
      </w:r>
      <w:r>
        <w:t xml:space="preserve"> 1866–67 eine Inspektionsreise im südlichen Afrika unternahm, macht Spieckers vergleichsweise liberale Haltung deutlich. Hemme zitiert eine Stelle, an der Wangemann</w:t>
      </w:r>
      <w:r w:rsidR="00363C1C">
        <w:fldChar w:fldCharType="begin"/>
      </w:r>
      <w:r w:rsidR="00AA2655">
        <w:instrText xml:space="preserve"> XE "</w:instrText>
      </w:r>
      <w:r w:rsidR="00AA2655" w:rsidRPr="00503667">
        <w:instrText>Wangemann, Theodor Hermann</w:instrText>
      </w:r>
      <w:r w:rsidR="00AA2655">
        <w:instrText xml:space="preserve">" </w:instrText>
      </w:r>
      <w:r w:rsidR="00363C1C">
        <w:fldChar w:fldCharType="end"/>
      </w:r>
      <w:r>
        <w:t xml:space="preserve"> ein ‚Bekehrungsg</w:t>
      </w:r>
      <w:r>
        <w:t>e</w:t>
      </w:r>
      <w:r>
        <w:t>spräch‘ führt:</w:t>
      </w:r>
    </w:p>
    <w:p w:rsidR="00CF6655" w:rsidRDefault="00CF6655" w:rsidP="00CF6655">
      <w:pPr>
        <w:pStyle w:val="Zitat"/>
      </w:pPr>
      <w:r>
        <w:t>[Wangemann</w:t>
      </w:r>
      <w:r w:rsidR="00363C1C">
        <w:fldChar w:fldCharType="begin"/>
      </w:r>
      <w:r w:rsidR="00AA2655">
        <w:instrText xml:space="preserve"> XE "</w:instrText>
      </w:r>
      <w:r w:rsidR="00AA2655" w:rsidRPr="00503667">
        <w:instrText>Wangemann, Theodor Hermann</w:instrText>
      </w:r>
      <w:r w:rsidR="00AA2655">
        <w:instrText xml:space="preserve">" </w:instrText>
      </w:r>
      <w:r w:rsidR="00363C1C">
        <w:fldChar w:fldCharType="end"/>
      </w:r>
      <w:r>
        <w:t xml:space="preserve">:] „Wenn Dein Kind ungehorsam ist, gegen Dich, was thust Du dann?“ – „Ich strafe es!“ – „Was meinst Du, dass der allmächtige Gott thun wird, wenn Du also weißt, Du bist ihm ungehorsam, und Du bleibst in dem Ungehorsam?“ – „Er wird mich sicherlich strafen.“ – „Du weißt doch, dass Du durch des Herrn Jesu Tod der Strafe entgehen kannst, was hindert Dich denn </w:t>
      </w:r>
      <w:r>
        <w:lastRenderedPageBreak/>
        <w:t>noch, seine Gnade zu suchen?“ […] „Ja, ich will kommen, ich will den Herrn bitten, dass er mich annehme!“</w:t>
      </w:r>
      <w:r>
        <w:rPr>
          <w:rStyle w:val="Funotenzeichen"/>
        </w:rPr>
        <w:footnoteReference w:id="100"/>
      </w:r>
    </w:p>
    <w:p w:rsidR="00CF6655" w:rsidRDefault="00CF6655" w:rsidP="00BC0A2B">
      <w:pPr>
        <w:pStyle w:val="Text"/>
        <w:ind w:firstLine="0"/>
      </w:pPr>
      <w:r>
        <w:t>Obwohl Hemme der Ansicht ist, dass dieser Dialog so niemals stattgefunden haben dürfte,</w:t>
      </w:r>
      <w:r>
        <w:rPr>
          <w:rStyle w:val="Funotenzeichen"/>
        </w:rPr>
        <w:footnoteReference w:id="101"/>
      </w:r>
      <w:r>
        <w:t xml:space="preserve"> ist er keineswegs unplausibel. Eingeschüchtert durch das autor</w:t>
      </w:r>
      <w:r>
        <w:t>i</w:t>
      </w:r>
      <w:r>
        <w:t xml:space="preserve">täre Auftreten des Missionsinspektors, von dem jedem klar war, dass er noch über dem örtlichen Missionar </w:t>
      </w:r>
      <w:r w:rsidR="007C0882">
        <w:t xml:space="preserve">stand </w:t>
      </w:r>
      <w:r>
        <w:t xml:space="preserve">und somit eine wirkliche Autoritätsperson </w:t>
      </w:r>
      <w:r w:rsidR="007C0882">
        <w:t>darstellte</w:t>
      </w:r>
      <w:r>
        <w:t>, kuscht der angesprochene „Heide“ rasch. Ob er die Bekehrung dann auch vollzogen hat, ist eine andere Frage; tatsächlich klagten die Missionare oft darüber, dass man ihnen in ihrer Anwesenheit alles verspräche, es aber nachher nicht einhielte.</w:t>
      </w:r>
    </w:p>
    <w:p w:rsidR="00A22690" w:rsidRDefault="00A22690" w:rsidP="00CF6655">
      <w:pPr>
        <w:pStyle w:val="Text"/>
      </w:pPr>
      <w:r>
        <w:t>Vor allem ist jedoch interessant, wie gedankenlos Wangemann</w:t>
      </w:r>
      <w:r w:rsidR="00363C1C">
        <w:fldChar w:fldCharType="begin"/>
      </w:r>
      <w:r w:rsidR="00AA2655">
        <w:instrText xml:space="preserve"> XE "</w:instrText>
      </w:r>
      <w:r w:rsidR="00AA2655" w:rsidRPr="00503667">
        <w:instrText>Wangemann, Theodor Hermann</w:instrText>
      </w:r>
      <w:r w:rsidR="00AA2655">
        <w:instrText xml:space="preserve">" </w:instrText>
      </w:r>
      <w:r w:rsidR="00363C1C">
        <w:fldChar w:fldCharType="end"/>
      </w:r>
      <w:r>
        <w:t xml:space="preserve"> die offe</w:t>
      </w:r>
      <w:r>
        <w:t>n</w:t>
      </w:r>
      <w:r>
        <w:t>sichtliche Asymmetrie des Gesprächs ausnutzt, die eine mehrfache ist; hat er doch als sozial Höherstehender, als bevorzugter Weißer, als Bürger eines fernen, aber mächtigen Landes, als Vertreter einer auch für die Nicht-Christen in ihrem Einfluss bedeutenden Institution, sowie als ‚Vertreter Gottes‘, der dessen Strafen androhen kann, alle Vorteile auf seiner Seite. Offensichtlich kommt er jedoch gar nicht auf die Idee, dass der Angesprochene hier nicht eine ganz freie Gewi</w:t>
      </w:r>
      <w:r>
        <w:t>s</w:t>
      </w:r>
      <w:r>
        <w:t>sensentscheidung trifft, und wird ihn wohl später auf diese festlegen. Die Pass</w:t>
      </w:r>
      <w:r>
        <w:t>a</w:t>
      </w:r>
      <w:r>
        <w:t>ge erweckt den Eindruck einer einfältigen Geisteshaltung, gemischt mit großem und unreflektiertem Selbstbewusstsein, das auf allen den genannten Funktionen beruht, ohne sich dessen bewusst zu sein. Das religiöse Gespräch verkommt auf diese Art zu einem bloßen Frage-Antwort-Spiel mit nahezu vorprogrammiertem Ausgang.</w:t>
      </w:r>
    </w:p>
    <w:p w:rsidR="00CF6655" w:rsidRDefault="00CF6655" w:rsidP="00CF6655">
      <w:pPr>
        <w:pStyle w:val="Text"/>
      </w:pPr>
      <w:r>
        <w:t>Bei Spiecker sucht man nach derart schlichten Darstellungen vergebens. Er nimmt, so scheint es, in jedem Gespräch sein Gegenüber als selbständig denke</w:t>
      </w:r>
      <w:r>
        <w:t>n</w:t>
      </w:r>
      <w:r>
        <w:t>den Menschen ernst; ohne dass dies explizit ausgesprochen würde, scheint er sich darüber im Klaren zu sein, dass eine Entscheidung, und gerade auch eine Glaubensentscheidung, nur dann Gültigkeit haben kann, wenn sie aus freiem Willen geschieht. Sicher handelt es sich um einen Unterschied der Persönlic</w:t>
      </w:r>
      <w:r>
        <w:t>h</w:t>
      </w:r>
      <w:r>
        <w:t>keit; ob auch die Zeitdifferenz von immerhin vier Jahrzehnten oder die von Spi</w:t>
      </w:r>
      <w:r>
        <w:t>e</w:t>
      </w:r>
      <w:r>
        <w:t>cker betonte andere Ausrichtung der Berliner Mission</w:t>
      </w:r>
      <w:r w:rsidR="00363C1C">
        <w:fldChar w:fldCharType="begin"/>
      </w:r>
      <w:r w:rsidR="000204A2">
        <w:instrText xml:space="preserve"> XE "</w:instrText>
      </w:r>
      <w:r w:rsidR="000204A2" w:rsidRPr="002E7447">
        <w:instrText>Berliner Mission</w:instrText>
      </w:r>
      <w:r w:rsidR="000204A2">
        <w:instrText xml:space="preserve">" </w:instrText>
      </w:r>
      <w:r w:rsidR="00363C1C">
        <w:fldChar w:fldCharType="end"/>
      </w:r>
      <w:r>
        <w:t>, die sogar ein gemeins</w:t>
      </w:r>
      <w:r>
        <w:t>a</w:t>
      </w:r>
      <w:r>
        <w:t>mes Abendmahl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xml:space="preserve"> unmöglich macht (2065), eine Rolle spielt, muss offen bleiben.</w:t>
      </w:r>
    </w:p>
    <w:p w:rsidR="00CF6655" w:rsidRDefault="00CF6655" w:rsidP="00A54EEF">
      <w:pPr>
        <w:pStyle w:val="Titel3"/>
      </w:pPr>
      <w:bookmarkStart w:id="153" w:name="_Toc130260692"/>
      <w:bookmarkStart w:id="154" w:name="_Toc327387992"/>
      <w:r>
        <w:t xml:space="preserve">Die </w:t>
      </w:r>
      <w:r w:rsidRPr="00A54EEF">
        <w:t>Gemeinden</w:t>
      </w:r>
      <w:bookmarkEnd w:id="153"/>
      <w:bookmarkEnd w:id="154"/>
    </w:p>
    <w:p w:rsidR="00CF6655" w:rsidRDefault="00CF6655" w:rsidP="00A54EEF">
      <w:pPr>
        <w:pStyle w:val="Text"/>
        <w:ind w:firstLine="0"/>
      </w:pPr>
      <w:r>
        <w:t>Die obligatorischen Besprechungen mit den Gemeindeältesten verlaufen unte</w:t>
      </w:r>
      <w:r>
        <w:t>r</w:t>
      </w:r>
      <w:r>
        <w:t>schiedlich. Besonders zufrieden ist er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„Sehr gewundert und gefreut habe ich mich über die verständigen Ansichten der Ältesten und die freimütige Art, dieselben zu äußern.“ (826) Schon am nächsten Tag schreibt er: „Die Älte</w:t>
      </w:r>
      <w:r>
        <w:t>s</w:t>
      </w:r>
      <w:r>
        <w:lastRenderedPageBreak/>
        <w:t>ten habe ich bei den Sitzungen schätzen gelernt und herzlich lieb gewonnen.“ (842) An anderen Orten hat er dagegen das Gefühl, dass die Zustimmung zu den immer wieder vorgetragenen Mahnungen (meist wegen „Trunkenheit“ der Mä</w:t>
      </w:r>
      <w:r>
        <w:t>n</w:t>
      </w:r>
      <w:r>
        <w:t>ner und „Unsittlichkeit“ der Frauen) eher Lippenbekenntnisse sind oder, wenn auch ernst gemeint, in der Umsetzung fraglich. Insgesamt verwundert aber, dass die Verständigung über die Situation und die Probleme vor Ort so gut gelingt, da Spiecker im Gegensatz zu den Missionaren ja wenig Erfahrung damit hat und sich die Bedingungen natürlich nicht mit deutschen Gemeinden vergleichen la</w:t>
      </w:r>
      <w:r>
        <w:t>s</w:t>
      </w:r>
      <w:r>
        <w:t>sen. Die erste Reise im Jahre 1903 dürfte hier eine Rolle spielen; aber auch die Einstellung von Spiecker, der seine Vorstellungen an die unterschiedlichen Real</w:t>
      </w:r>
      <w:r>
        <w:t>i</w:t>
      </w:r>
      <w:r>
        <w:t>täten anzupassen versteht.</w:t>
      </w:r>
    </w:p>
    <w:p w:rsidR="00CF6655" w:rsidRDefault="00CF6655" w:rsidP="007308C9">
      <w:pPr>
        <w:pStyle w:val="Titel4"/>
      </w:pPr>
      <w:bookmarkStart w:id="155" w:name="_Toc130260693"/>
      <w:bookmarkStart w:id="156" w:name="_Toc327387993"/>
      <w:r>
        <w:t>Exkurs: Die Sonderstellung von Rehoboth</w:t>
      </w:r>
      <w:bookmarkEnd w:id="155"/>
      <w:bookmarkEnd w:id="156"/>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p>
    <w:p w:rsidR="00CF6655" w:rsidRDefault="00CF6655" w:rsidP="00A54EEF">
      <w:pPr>
        <w:pStyle w:val="Text"/>
        <w:ind w:firstLine="0"/>
      </w:pPr>
      <w:r>
        <w:t>In der Darstellung von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wird die besonders enge Partnerschaft zw</w:t>
      </w:r>
      <w:r>
        <w:t>i</w:t>
      </w:r>
      <w:r>
        <w:t>schen der großen Gemeinde und der Mission deutlich. Die Gemeinde hat bei Spieckers Eintreffen bereits 15000 Mark für einen neuen Kirchenbau gesammelt. Spiecker stellt fest, dass die Leute der Mission „ein viel größeres Grundstück schenken wollten, als wir begehrten“, und außerdem ein weiteres großes Grun</w:t>
      </w:r>
      <w:r>
        <w:t>d</w:t>
      </w:r>
      <w:r>
        <w:t>stück (mehrere 1000 Hektar) „in dem Gedanken, daß dieses Gebiet dann jede</w:t>
      </w:r>
      <w:r>
        <w:t>n</w:t>
      </w:r>
      <w:r>
        <w:t>falls der Gemeinde bei allen Wechselfällen verbleibe. Hoffentlich bestätigt das Gouvernement</w:t>
      </w:r>
      <w:r w:rsidR="00363C1C">
        <w:fldChar w:fldCharType="begin"/>
      </w:r>
      <w:r w:rsidR="00C221A5">
        <w:instrText xml:space="preserve"> XE "</w:instrText>
      </w:r>
      <w:r w:rsidR="00C221A5" w:rsidRPr="00592176">
        <w:instrText>Gouvernement</w:instrText>
      </w:r>
      <w:r w:rsidR="00C221A5">
        <w:instrText xml:space="preserve">" </w:instrText>
      </w:r>
      <w:r w:rsidR="00363C1C">
        <w:fldChar w:fldCharType="end"/>
      </w:r>
      <w:r w:rsidR="00363C1C" w:rsidRPr="00C221A5">
        <w:fldChar w:fldCharType="begin"/>
      </w:r>
      <w:r w:rsidR="00C221A5" w:rsidRPr="00C221A5">
        <w:instrText xml:space="preserve"> XE "</w:instrText>
      </w:r>
      <w:r w:rsidR="00C221A5" w:rsidRPr="00C221A5">
        <w:rPr>
          <w:rFonts w:cstheme="minorHAnsi"/>
        </w:rPr>
        <w:instrText>Gouvernement</w:instrText>
      </w:r>
      <w:r w:rsidR="00C221A5" w:rsidRPr="00C221A5">
        <w:instrText>" \t "</w:instrText>
      </w:r>
      <w:r w:rsidR="00C221A5" w:rsidRPr="00C221A5">
        <w:rPr>
          <w:rFonts w:cstheme="minorHAnsi"/>
          <w:i/>
        </w:rPr>
        <w:instrText>siehe auch</w:instrText>
      </w:r>
      <w:r w:rsidR="00C221A5" w:rsidRPr="00C221A5">
        <w:rPr>
          <w:rFonts w:cstheme="minorHAnsi"/>
        </w:rPr>
        <w:instrText xml:space="preserve"> </w:instrText>
      </w:r>
      <w:r w:rsidR="00C221A5" w:rsidRPr="00C221A5">
        <w:instrText xml:space="preserve">Kolonialregierung" </w:instrText>
      </w:r>
      <w:r w:rsidR="00363C1C" w:rsidRPr="00C221A5">
        <w:fldChar w:fldCharType="end"/>
      </w:r>
      <w:r>
        <w:t xml:space="preserve"> die betreffenden Schenkungsurkunden“. Die Bedenken zeigen, dass es sich hier um eine Zusammenarbeit zwischen Gemeinde und Mission ha</w:t>
      </w:r>
      <w:r>
        <w:t>n</w:t>
      </w:r>
      <w:r>
        <w:t>delt, die von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nicht gerne gesehen wurde; aus gutem Grund. Denn das Land der Mission konnte nicht expropriiert werden.</w:t>
      </w:r>
    </w:p>
    <w:p w:rsidR="00CF6655" w:rsidRDefault="00CF6655" w:rsidP="00CF6655">
      <w:pPr>
        <w:pStyle w:val="Text"/>
      </w:pPr>
      <w:r>
        <w:t>Doch die Rehobother waren bekanntermaßen deutschfreundlich; sie stellten über lange Zeit eine sogenannte „Bastardkompagnie“, die gegen aufständische Afrikaner eingesetzt wurde.</w:t>
      </w:r>
      <w:r>
        <w:rPr>
          <w:rStyle w:val="Funotenzeichen"/>
        </w:rPr>
        <w:footnoteReference w:id="102"/>
      </w:r>
      <w:r>
        <w:t xml:space="preserve"> Deshalb genossen sie nach dem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eine Sonderstellung,</w:t>
      </w:r>
      <w:r>
        <w:rPr>
          <w:rStyle w:val="Funotenzeichen"/>
        </w:rPr>
        <w:footnoteReference w:id="103"/>
      </w:r>
      <w:r>
        <w:t xml:space="preserve"> die bei Stoecker beschrieben wird: „Der Gouverneur erließ am 18. August 1907 drei Verordnungen, denen zufolge es den Afrikanern für alle Zeiten verboten sein sollte, Land zu besitzen oder Großvieh zu halten. […] Wer </w:t>
      </w:r>
      <w:r>
        <w:lastRenderedPageBreak/>
        <w:t>nicht nachweisen konnte, wodurch er seinen Lebensunterhalt bestritt, konnte als Landstreicher bestraft werden. […] Die Expropriation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war die notwendige Voraussetzung zu ihrer Umwandlung in Lohnarbeiter.“ Man darf nicht vergessen, dass beide Stämme vorher Jäger (Nama) bzw. Viehzüchter (Herero) gewesen waren. „Die Folge war eine tiefgreifende Veränderung der G</w:t>
      </w:r>
      <w:r>
        <w:t>e</w:t>
      </w:r>
      <w:r>
        <w:t>sellschaftsstruktur im Lande. Freilich ist zu beachten, daß es neben den zwang</w:t>
      </w:r>
      <w:r>
        <w:t>s</w:t>
      </w:r>
      <w:r>
        <w:t>proletarisierten Herero und Nama noch die Gemeinschaft von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die Bethanier sowie die Ovambo gab, die nicht expropriiert worden waren. Deshalb kann man nur von der Zwangsproletarisierung eines Teiles der südwestafrikan</w:t>
      </w:r>
      <w:r>
        <w:t>i</w:t>
      </w:r>
      <w:r>
        <w:t>schen Bevölkerung sprechen.“</w:t>
      </w:r>
      <w:r>
        <w:rPr>
          <w:rStyle w:val="Funotenzeichen"/>
        </w:rPr>
        <w:footnoteReference w:id="104"/>
      </w:r>
    </w:p>
    <w:p w:rsidR="00CF6655" w:rsidRDefault="00CF6655" w:rsidP="00CF6655">
      <w:pPr>
        <w:pStyle w:val="Text"/>
      </w:pPr>
      <w:r>
        <w:t>Angesichts dieses brutalen und ungesetzlichen</w:t>
      </w:r>
      <w:r>
        <w:rPr>
          <w:rStyle w:val="Funotenzeichen"/>
        </w:rPr>
        <w:footnoteReference w:id="105"/>
      </w:r>
      <w:r>
        <w:t xml:space="preserve"> Auftakts der angestrebten „Zivilisierung“, die zu einer zwangsweisen Veränderung der Lebensbedingungen führten, wundert es nicht, dass Länder wie Namibia bis heute große gesellschaf</w:t>
      </w:r>
      <w:r>
        <w:t>t</w:t>
      </w:r>
      <w:r>
        <w:t>liche und wirtschaftliche Probleme haben. Hier wurde eine Gesellschaft von Zwangsarbeitern geschaffen, die in vielen Fällen wie Sklaven oder noch schlec</w:t>
      </w:r>
      <w:r>
        <w:t>h</w:t>
      </w:r>
      <w:r>
        <w:t>ter, weil nicht als wertvolles Eigentum, sondern als bedeutungsloses Arbeitsm</w:t>
      </w:r>
      <w:r>
        <w:t>a</w:t>
      </w:r>
      <w:r>
        <w:t>terial behandelt wurden.</w:t>
      </w:r>
      <w:r>
        <w:rPr>
          <w:rStyle w:val="Funotenzeichen"/>
        </w:rPr>
        <w:footnoteReference w:id="106"/>
      </w:r>
      <w:r>
        <w:t xml:space="preserve"> Die alte Gesellschaftsstruktur wurde auf immer ze</w:t>
      </w:r>
      <w:r>
        <w:t>r</w:t>
      </w:r>
      <w:r>
        <w:t>stört, ohne eine neue zu ermöglichen, die auch nur von ferne eine Aussicht auf Stabilität und Verbesserung der Lebensumstände geboten und damit einen Weg für die spätere namibische Gesellschaft aufgezeigt hätte.</w:t>
      </w:r>
    </w:p>
    <w:p w:rsidR="00CF6655" w:rsidRDefault="00CF6655" w:rsidP="00BF1ACC">
      <w:pPr>
        <w:pStyle w:val="Titel3"/>
      </w:pPr>
      <w:bookmarkStart w:id="157" w:name="_Toc122313638"/>
      <w:bookmarkStart w:id="158" w:name="_Toc122313726"/>
      <w:bookmarkStart w:id="159" w:name="_Toc130260694"/>
      <w:bookmarkStart w:id="160" w:name="_Toc327387994"/>
      <w:r>
        <w:t>Bautätigkeit</w:t>
      </w:r>
      <w:bookmarkEnd w:id="157"/>
      <w:bookmarkEnd w:id="158"/>
      <w:bookmarkEnd w:id="159"/>
      <w:bookmarkEnd w:id="160"/>
    </w:p>
    <w:p w:rsidR="00CF6655" w:rsidRDefault="00CF6655" w:rsidP="00BF1ACC">
      <w:pPr>
        <w:pStyle w:val="Text"/>
        <w:ind w:firstLine="0"/>
      </w:pPr>
      <w:r>
        <w:t>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bemerkt er: „Alsdann besuchten wir den Kirchhof. Die Afrikan</w:t>
      </w:r>
      <w:r>
        <w:t>i</w:t>
      </w:r>
      <w:r>
        <w:t>schen Missionskirchhöfe sind meist in schlechtem Zustand. Dieser sieht gerad</w:t>
      </w:r>
      <w:r>
        <w:t>e</w:t>
      </w:r>
      <w:r>
        <w:t>zu trostlos aus.“ (858f)</w:t>
      </w:r>
    </w:p>
    <w:p w:rsidR="00CF6655" w:rsidRDefault="00CF6655" w:rsidP="00CF6655">
      <w:pPr>
        <w:pStyle w:val="Text"/>
      </w:pPr>
      <w:r>
        <w:t>Missionshäuser sind oft ungenügend, zu klein oder alt, aber es gibt auch Ausnahmen wie das in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dessen Garten Spiecker fast euphorisch b</w:t>
      </w:r>
      <w:r>
        <w:t>e</w:t>
      </w:r>
      <w:r>
        <w:t>schreibt:</w:t>
      </w:r>
    </w:p>
    <w:p w:rsidR="00CF6655" w:rsidRDefault="00CF6655" w:rsidP="00CF6655">
      <w:pPr>
        <w:pStyle w:val="Zitat"/>
      </w:pPr>
      <w:r>
        <w:t>Das Haus ist offenbar in sehr gutem Zustand, der Garten eine Art Paradies, e</w:t>
      </w:r>
      <w:r>
        <w:t>i</w:t>
      </w:r>
      <w:r>
        <w:t>ne herrliche Oase mitten in der Wüste: Feigenbäume, Weinstöcke, Granat</w:t>
      </w:r>
      <w:r w:rsidR="00D07875">
        <w:softHyphen/>
        <w:t>a</w:t>
      </w:r>
      <w:r>
        <w:t>pfelbäume, Dattelpalmen, Fächerpalmen, Maulbeerbäume gibt es in großer Fülle. Dabei ist alles mit viel Geschick und Sorgfalt angelegt. Fast kommt es einem vor, als ob man in eine Märchenwelt hineingezaubert sei. (881)</w:t>
      </w:r>
    </w:p>
    <w:p w:rsidR="00CF6655" w:rsidRDefault="00CF6655" w:rsidP="00BF1ACC">
      <w:pPr>
        <w:pStyle w:val="Text"/>
        <w:ind w:firstLine="0"/>
      </w:pPr>
      <w:r>
        <w:t>Im abgelegenen Amboland ist der Transport von Baumaterialien ein großes Problem: „Die hiesige Kirche […] soll vergrößert und mit einem Wellblechdach versehen werden. Es hält nur so schwer das Wellblech hier hinauf zu bekommen. Schon lange lagert dasselbe in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(1068) Dabei entstehen größere </w:t>
      </w:r>
      <w:r>
        <w:lastRenderedPageBreak/>
        <w:t>Kosten als durch die Arbeit vor Ort, die von Eingeborenen meist nur gegen eine einfache Kost verrichtet wird (1116).</w:t>
      </w:r>
    </w:p>
    <w:p w:rsidR="00CF6655" w:rsidRDefault="00CF6655" w:rsidP="00CF6655">
      <w:pPr>
        <w:pStyle w:val="Text"/>
      </w:pPr>
      <w:r>
        <w:t>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lässt die Mission aufwendige Brunnen bauen, die trotzdem zu wenig Wasser für Mensch und Vieh liefern (754). In Omupanda</w:t>
      </w:r>
      <w:r w:rsidR="00363C1C">
        <w:fldChar w:fldCharType="begin"/>
      </w:r>
      <w:r w:rsidR="00C05598">
        <w:instrText xml:space="preserve"> XE "</w:instrText>
      </w:r>
      <w:r w:rsidR="00C05598" w:rsidRPr="00FA4932">
        <w:instrText>Omupanda</w:instrText>
      </w:r>
      <w:r w:rsidR="00C05598">
        <w:instrText xml:space="preserve">" </w:instrText>
      </w:r>
      <w:r w:rsidR="00363C1C">
        <w:fldChar w:fldCharType="end"/>
      </w:r>
      <w:r>
        <w:t xml:space="preserve"> beschreibt er die Brunnen als „große breite teichartige Löcher“ (1116). Auch in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xml:space="preserve"> b</w:t>
      </w:r>
      <w:r>
        <w:t>e</w:t>
      </w:r>
      <w:r>
        <w:t>finden sich solche Brunnen im Bau, „die Br. Toenjes</w:t>
      </w:r>
      <w:r w:rsidR="00363C1C">
        <w:fldChar w:fldCharType="begin"/>
      </w:r>
      <w:r w:rsidR="00C05598">
        <w:instrText xml:space="preserve"> XE "</w:instrText>
      </w:r>
      <w:r w:rsidR="00C05598" w:rsidRPr="00C06A25">
        <w:instrText>Toenjes, Br.</w:instrText>
      </w:r>
      <w:r w:rsidR="00C05598">
        <w:instrText xml:space="preserve">" </w:instrText>
      </w:r>
      <w:r w:rsidR="00363C1C">
        <w:fldChar w:fldCharType="end"/>
      </w:r>
      <w:r>
        <w:t xml:space="preserve"> mit viel Arbeit und Unko</w:t>
      </w:r>
      <w:r>
        <w:t>s</w:t>
      </w:r>
      <w:r>
        <w:t>ten graben läßt, um frisches gutes Wasser zu haben. Die Wasserfrage ist ja hier in Afrika besonders ernst und wichtig. Durch die bekannte Wünschelrute scheint sie in ein neues Stadium zu kommen.“ (1096f) Spiecker steht der neuen Methode optimistisch gegenüber, die auch gleich ausprobiert wird. Doch es kommt zum Vorführeffekt: „Bruder Hochstrate schnitt einen frischen Zweig gabelförmig vom Baum, hielt die beiden Enden sehr fest in der Hand. Sie drehte sich aber sichtbar und deutlich vom Wasser weg. Hier im Land wird natürlich viel von di</w:t>
      </w:r>
      <w:r>
        <w:t>e</w:t>
      </w:r>
      <w:r>
        <w:t>ser Wassersucherei geredet. Man knüpft große Hoffnungen daran. Bewährt sie sich, dann kann die Sache für das dürre Land von großer Bedeutung werden.“ (1097)</w:t>
      </w:r>
    </w:p>
    <w:p w:rsidR="00CF6655" w:rsidRDefault="00CF6655" w:rsidP="00BF1ACC">
      <w:pPr>
        <w:pStyle w:val="Titel3"/>
      </w:pPr>
      <w:bookmarkStart w:id="161" w:name="_Toc130260695"/>
      <w:bookmarkStart w:id="162" w:name="_Toc327387995"/>
      <w:r>
        <w:t>Krankenpflege</w:t>
      </w:r>
      <w:bookmarkEnd w:id="161"/>
      <w:bookmarkEnd w:id="162"/>
    </w:p>
    <w:p w:rsidR="00CF6655" w:rsidRDefault="00CF6655" w:rsidP="00BF1ACC">
      <w:pPr>
        <w:pStyle w:val="Text"/>
        <w:ind w:firstLine="0"/>
      </w:pPr>
      <w:r>
        <w:t>Die menschliche Dimension der missionarischen Arbeit sollte allerdings auch in diesem Kontext nicht vergessen werden. Sie wird beispielsweise im Lazaretts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deutlich: „Bruder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r>
        <w:t xml:space="preserve"> übt nur Barmherzigkeit an den Leuten und wa</w:t>
      </w:r>
      <w:r>
        <w:t>r</w:t>
      </w:r>
      <w:r>
        <w:t>tet ab, ob sie mehr wünschen als Leibespflege, wird ihnen aber mit Gottes Wort oder geistlichen Dingen in keiner Weise lästig.“ (764f) Allein die Formulierung, die die Erkenntnis enthält, dass „Gottes Wort“ in bestimmten Situationen „lä</w:t>
      </w:r>
      <w:r>
        <w:t>s</w:t>
      </w:r>
      <w:r>
        <w:t>tig“, das heißt einfach nicht das vordringliche Bedürfnis sein kann, verrät einen aufgeklärt-distanzierten Blick auf den eigenen Glauben.</w:t>
      </w:r>
      <w:r>
        <w:rPr>
          <w:rStyle w:val="Funotenzeichen"/>
        </w:rPr>
        <w:footnoteReference w:id="107"/>
      </w:r>
      <w:r>
        <w:t xml:space="preserve"> Man hat nicht den Eindruck, dass die selbstlose Pflege (die in diesem Lazarett überwiegend Heiden zuteil wird (764)) vor allem als Demonstration der moralischen Überlegenheit des Christentums und damit als Argument für eine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xml:space="preserve"> gedacht ist, obwohl auch dieser Aspekt eine Rolle spielen dürfte.</w:t>
      </w:r>
    </w:p>
    <w:p w:rsidR="00CF6655" w:rsidRDefault="00CF6655" w:rsidP="00CF6655">
      <w:pPr>
        <w:pStyle w:val="Text"/>
      </w:pPr>
      <w:r>
        <w:t>Nicht vergessen werden darf, dass die Mission oft auch soziale und rechtl</w:t>
      </w:r>
      <w:r>
        <w:t>i</w:t>
      </w:r>
      <w:r>
        <w:t>che Stärkung für die Gemeinden bedeutete, indem sie einerseits für die Ausbi</w:t>
      </w:r>
      <w:r>
        <w:t>l</w:t>
      </w:r>
      <w:r>
        <w:t xml:space="preserve">dung der Kinder sorgte, andererseits die Interessen der Gemeinde gegenüber der </w:t>
      </w:r>
      <w:r>
        <w:lastRenderedPageBreak/>
        <w:t>Regierung zu vertreten half. Wohl deshalb wird auch manchmal der Wunsch auf eine Missionierungsarbeit durch einen Stamm oder eine Ansiedlung an die Mi</w:t>
      </w:r>
      <w:r>
        <w:t>s</w:t>
      </w:r>
      <w:r>
        <w:t>sionare herangetragen (</w:t>
      </w:r>
      <w:r w:rsidR="00A27C71">
        <w:t>etwa</w:t>
      </w:r>
      <w:r>
        <w:t xml:space="preserve"> von den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in Wynberg</w:t>
      </w:r>
      <w:r w:rsidR="00363C1C">
        <w:fldChar w:fldCharType="begin"/>
      </w:r>
      <w:r w:rsidR="00CA43C2">
        <w:instrText xml:space="preserve"> XE "</w:instrText>
      </w:r>
      <w:r w:rsidR="00CA43C2" w:rsidRPr="002C373F">
        <w:instrText>Wynberg</w:instrText>
      </w:r>
      <w:r w:rsidR="00CA43C2">
        <w:instrText xml:space="preserve">" </w:instrText>
      </w:r>
      <w:r w:rsidR="00363C1C">
        <w:fldChar w:fldCharType="end"/>
      </w:r>
      <w:r>
        <w:t>; 167), was darauf schließen lässt, dass diese Arbeit auch von den Nicht-Missionierten als For</w:t>
      </w:r>
      <w:r>
        <w:t>t</w:t>
      </w:r>
      <w:r>
        <w:t>schritt für die Betroffenen wahrgenommen wird.</w:t>
      </w:r>
    </w:p>
    <w:p w:rsidR="00CF6655" w:rsidRDefault="00CF6655" w:rsidP="005B77A9">
      <w:pPr>
        <w:pStyle w:val="Titel2"/>
      </w:pPr>
      <w:bookmarkStart w:id="163" w:name="_Toc130260696"/>
      <w:bookmarkStart w:id="164" w:name="_Toc327387996"/>
      <w:r>
        <w:t xml:space="preserve">Die </w:t>
      </w:r>
      <w:r w:rsidRPr="005B77A9">
        <w:t>Macht</w:t>
      </w:r>
      <w:r>
        <w:t xml:space="preserve"> des Glaubens</w:t>
      </w:r>
      <w:bookmarkEnd w:id="163"/>
      <w:bookmarkEnd w:id="164"/>
    </w:p>
    <w:p w:rsidR="00CF6655" w:rsidRDefault="00CF6655" w:rsidP="00C17280">
      <w:pPr>
        <w:pStyle w:val="Text"/>
        <w:ind w:firstLine="0"/>
      </w:pPr>
      <w:r>
        <w:t>Als die nach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mit der meisten Autorität ausgestattete Inst</w:t>
      </w:r>
      <w:r>
        <w:t>i</w:t>
      </w:r>
      <w:r>
        <w:t>tution Südwestafrikas wurde die Mission auch zu einem wichtigen Träger von Macht. Im Folgenden werden einige Aspekte untersucht, in denen die Mission an der allgemeinen Unterdrückung der Eingeborenen teilhatte. Dies geschah e</w:t>
      </w:r>
      <w:r>
        <w:t>i</w:t>
      </w:r>
      <w:r>
        <w:t>nerseits durch spezifisch kirchliche Kontrollmechanismen (wie die „Kirche</w:t>
      </w:r>
      <w:r>
        <w:t>n</w:t>
      </w:r>
      <w:r>
        <w:t>zucht</w:t>
      </w:r>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r>
        <w:t>“) oder durch die Rolle in Prozessen gegen Eingeborene, in denen sie ihre ganze Autorität einsetzte, um Aufsässige eines Besseren zu belehren, andere</w:t>
      </w:r>
      <w:r>
        <w:t>r</w:t>
      </w:r>
      <w:r>
        <w:t>seits durch Indoktrination (wie die Verbreitung der Arbeitsideologie) oder al</w:t>
      </w:r>
      <w:r>
        <w:t>l</w:t>
      </w:r>
      <w:r>
        <w:t>mählicher Kulturzerstörung (wie bei der Sesshaftmachung und der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xml:space="preserve"> auf biblische</w:t>
      </w:r>
      <w:r w:rsidR="00CA43C2">
        <w:t xml:space="preserve"> </w:t>
      </w:r>
      <w:r w:rsidR="00490021">
        <w:t xml:space="preserve">bzw. </w:t>
      </w:r>
      <w:r>
        <w:t>europäische Namen). Ohne sich dessen wohl klar bewusst zu sein, wurde sie damit zu einem Teil jenes vielgliedrigen Beherrschungsmech</w:t>
      </w:r>
      <w:r>
        <w:t>a</w:t>
      </w:r>
      <w:r>
        <w:t>nismus, der die Eingeborenen über die Jahrzehnte seit dem Eindringen der We</w:t>
      </w:r>
      <w:r>
        <w:t>i</w:t>
      </w:r>
      <w:r>
        <w:t>ßen langsam, und nach der Gründung der Kolonie immer schneller, von allen Seiten einzuzwängen begann, wobei ihre Freiheit, ihre Kultur und ihr Selbstb</w:t>
      </w:r>
      <w:r>
        <w:t>e</w:t>
      </w:r>
      <w:r>
        <w:t>wusstsein gleichermaßen zerstört wurden.</w:t>
      </w:r>
    </w:p>
    <w:p w:rsidR="00CF6655" w:rsidRDefault="00CF6655" w:rsidP="00CF6655">
      <w:pPr>
        <w:pStyle w:val="Text"/>
      </w:pPr>
      <w:r>
        <w:t xml:space="preserve">Vorfälle wie der Saroner Prozess (s. Abschnitt </w:t>
      </w:r>
      <w:r w:rsidR="00363C1C">
        <w:fldChar w:fldCharType="begin"/>
      </w:r>
      <w:r w:rsidR="000A4CAD">
        <w:instrText xml:space="preserve"> REF _Ref325355375 \r \h </w:instrText>
      </w:r>
      <w:r w:rsidR="00363C1C">
        <w:fldChar w:fldCharType="separate"/>
      </w:r>
      <w:r w:rsidR="00216538">
        <w:t>2.2.5.1</w:t>
      </w:r>
      <w:r w:rsidR="00363C1C">
        <w:fldChar w:fldCharType="end"/>
      </w:r>
      <w:r>
        <w:t>) belegen, dass die schwarzen Bewohner der Missionsgemeinden die Beherrschungsmechanismen, denen sie durch die Mission unterworfen sind, verstehen und Widerstand zu lei</w:t>
      </w:r>
      <w:r>
        <w:t>s</w:t>
      </w:r>
      <w:r>
        <w:t>ten beginnen.</w:t>
      </w:r>
      <w:r>
        <w:rPr>
          <w:rStyle w:val="Funotenzeichen"/>
        </w:rPr>
        <w:footnoteReference w:id="108"/>
      </w:r>
      <w:r>
        <w:t xml:space="preserve"> Und Spiecker selbst erkennt in einem hellsichtigen Moment, dass die Missionsarbeit auch negative Seiten hat:</w:t>
      </w:r>
    </w:p>
    <w:p w:rsidR="00CF6655" w:rsidRDefault="00CF6655" w:rsidP="00CF6655">
      <w:pPr>
        <w:pStyle w:val="Zitat"/>
      </w:pPr>
      <w:r>
        <w:t xml:space="preserve">Es heißt überall: </w:t>
      </w:r>
      <w:r w:rsidR="00973327">
        <w:t>„</w:t>
      </w:r>
      <w:r>
        <w:t>Durch Kampf zum Sieg, durch Nacht zum Licht.</w:t>
      </w:r>
      <w:r w:rsidR="00973327">
        <w:t>“</w:t>
      </w:r>
      <w:r>
        <w:t xml:space="preserve"> […] Wenn wir freilich nicht von seiner [Jesu] Gnade leben könnten, dann würde ich den Mut in der Missionsarbeit verlieren, die doch auch so viel menschlich-verkehrtes an sich trägt neben mancherlei gutem, das durch </w:t>
      </w:r>
      <w:proofErr w:type="gramStart"/>
      <w:r>
        <w:t>des</w:t>
      </w:r>
      <w:proofErr w:type="gramEnd"/>
      <w:r>
        <w:t xml:space="preserve"> Herrn Gnade gewirkt wird. (731)</w:t>
      </w:r>
    </w:p>
    <w:p w:rsidR="00CF6655" w:rsidRDefault="00CF6655" w:rsidP="005B77A9">
      <w:pPr>
        <w:pStyle w:val="Text"/>
        <w:ind w:firstLine="0"/>
      </w:pPr>
      <w:r>
        <w:t>Angesichts seiner häufig bezeugten Aufmerksamkeit, mit der er die Ungerec</w:t>
      </w:r>
      <w:r>
        <w:t>h</w:t>
      </w:r>
      <w:r>
        <w:t>tigkeiten gegenüber den Schwarzen sieht und dokumentiert, ist es durchaus wahrscheinlich, dass sich die Aussage auf die in der Folge zu besprechenden Machtfunktionen der Mission bezieht.</w:t>
      </w:r>
    </w:p>
    <w:p w:rsidR="00CF6655" w:rsidRDefault="00CF6655" w:rsidP="005B77A9">
      <w:pPr>
        <w:pStyle w:val="Titel3"/>
      </w:pPr>
      <w:bookmarkStart w:id="165" w:name="_Toc130260697"/>
      <w:bookmarkStart w:id="166" w:name="_Ref325354803"/>
      <w:bookmarkStart w:id="167" w:name="_Toc327387997"/>
      <w:r>
        <w:lastRenderedPageBreak/>
        <w:t>Vorüberlegung: Der christliche Dünkel</w:t>
      </w:r>
      <w:bookmarkEnd w:id="165"/>
      <w:bookmarkEnd w:id="166"/>
      <w:bookmarkEnd w:id="167"/>
    </w:p>
    <w:p w:rsidR="00CF6655" w:rsidRDefault="00CF6655" w:rsidP="005B77A9">
      <w:pPr>
        <w:pStyle w:val="Text"/>
        <w:ind w:firstLine="0"/>
      </w:pPr>
      <w:r>
        <w:t>Unter dem Blickwinkel eines ideologiekritischen Postkolonialismus</w:t>
      </w:r>
      <w:r w:rsidR="00363C1C">
        <w:fldChar w:fldCharType="begin"/>
      </w:r>
      <w:r w:rsidR="003264BA">
        <w:instrText xml:space="preserve"> XE "</w:instrText>
      </w:r>
      <w:r w:rsidR="003264BA" w:rsidRPr="005A75D0">
        <w:instrText>Postkolonialismus</w:instrText>
      </w:r>
      <w:r w:rsidR="003264BA">
        <w:instrText xml:space="preserve">" </w:instrText>
      </w:r>
      <w:r w:rsidR="00363C1C">
        <w:fldChar w:fldCharType="end"/>
      </w:r>
      <w:r>
        <w:t xml:space="preserve"> betrachtet, war das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häufig ein weiterer Faktor in dem Überlegenheitswahn, in dem sich die Europäer befanden; es spielte eine Rolle in der Begründung der p</w:t>
      </w:r>
      <w:r>
        <w:t>o</w:t>
      </w:r>
      <w:r>
        <w:t>sitiven Eigenschaften, die man sich selbst zuschrieb. Diese Haltung mag bei Sta</w:t>
      </w:r>
      <w:r>
        <w:t>a</w:t>
      </w:r>
      <w:r>
        <w:t>ten und Handelstreibenden, bei allen Arten von Profiteuren und Siedlern dazu gedient haben, das oft ausbeuterische, brutale und räuberische Tun zu rechtfert</w:t>
      </w:r>
      <w:r>
        <w:t>i</w:t>
      </w:r>
      <w:r>
        <w:t>gen; bei Reisenden hatte sie vielleicht keinen anderen Grund, als sich in der B</w:t>
      </w:r>
      <w:r>
        <w:t>e</w:t>
      </w:r>
      <w:r>
        <w:t>gegnung mit dem ‚anderen‘ vor Selbstzweifeln zu schützen. Die folgende Inve</w:t>
      </w:r>
      <w:r>
        <w:t>k</w:t>
      </w:r>
      <w:r>
        <w:t>tive eines frühen Südafrika-Besuchers, des dänischen Reiseschriftstellers Wouter Schouten</w:t>
      </w:r>
      <w:r w:rsidR="00363C1C">
        <w:fldChar w:fldCharType="begin"/>
      </w:r>
      <w:r w:rsidR="009621ED">
        <w:instrText xml:space="preserve"> XE "</w:instrText>
      </w:r>
      <w:r w:rsidR="009621ED" w:rsidRPr="00DD04F3">
        <w:instrText>Schouten, Wouter</w:instrText>
      </w:r>
      <w:r w:rsidR="009621ED">
        <w:instrText xml:space="preserve">" </w:instrText>
      </w:r>
      <w:r w:rsidR="00363C1C">
        <w:fldChar w:fldCharType="end"/>
      </w:r>
      <w:r>
        <w:t xml:space="preserve">, gegen die </w:t>
      </w:r>
      <w:r w:rsidR="00004A81">
        <w:t xml:space="preserve">Eingeborenen (vermutlich Nama) </w:t>
      </w:r>
      <w:r>
        <w:t>ist charakteristisch:</w:t>
      </w:r>
    </w:p>
    <w:p w:rsidR="00CF6655" w:rsidRDefault="00CF6655" w:rsidP="00CF6655">
      <w:pPr>
        <w:pStyle w:val="Zitat"/>
        <w:rPr>
          <w:lang w:val="en-GB"/>
        </w:rPr>
      </w:pPr>
      <w:r>
        <w:rPr>
          <w:lang w:val="en-GB"/>
        </w:rPr>
        <w:t>It is pitiable, that such humans are found in Humanity […], who […] prove to possess so few human features, that they truly resemble senseless animals more, than ration humans, living a miserable and wretched life on the surface of the Earth, having no knowledge of God, nor that leads to salvation. Wretched People, how miserable is your pitiful state! Oh Christians, how happy is ours!</w:t>
      </w:r>
      <w:r>
        <w:rPr>
          <w:rStyle w:val="Funotenzeichen"/>
          <w:lang w:val="en-GB"/>
        </w:rPr>
        <w:footnoteReference w:id="109"/>
      </w:r>
    </w:p>
    <w:p w:rsidR="00CF6655" w:rsidRDefault="00CF6655" w:rsidP="00400F37">
      <w:pPr>
        <w:pStyle w:val="Text"/>
        <w:ind w:firstLine="0"/>
      </w:pPr>
      <w:r>
        <w:t>Bei dem Zitat fällt dreierlei auf:</w:t>
      </w:r>
    </w:p>
    <w:p w:rsidR="00CF6655" w:rsidRDefault="00CF6655" w:rsidP="00CF6655">
      <w:pPr>
        <w:pStyle w:val="Text"/>
      </w:pPr>
      <w:r>
        <w:t>1. Das religiöse Argument dient als Krönung anderer Überlegenheitsarg</w:t>
      </w:r>
      <w:r>
        <w:t>u</w:t>
      </w:r>
      <w:r>
        <w:t>mente, die unabhängig davon verbreitet waren: a) der fehlenden menschlichen Merkmale bzw. der unmenschlichen Gesichtszüge („features“ kann beides b</w:t>
      </w:r>
      <w:r>
        <w:t>e</w:t>
      </w:r>
      <w:r>
        <w:t>deuten); sowie b) der Ähnlichkeit zu Tieren und der fehlenden Rationalität. Das „fehlende Wissen von Gott“ schließt als triumphales Verdammungsurteil diesen Dreischritt der Erniedrigung ab. – Die nahtlose Verbindung von rassistischen Argumenten mit der Verachtung aus religiösen Gründen ist markant; zwar sol</w:t>
      </w:r>
      <w:r>
        <w:t>l</w:t>
      </w:r>
      <w:r>
        <w:t>ten beide Elemente in der Folgezeit auch einzeln auftreten, jedoch zeigt sich b</w:t>
      </w:r>
      <w:r>
        <w:t>e</w:t>
      </w:r>
      <w:r>
        <w:t>reits ihre Kombinierbarkeit.</w:t>
      </w:r>
    </w:p>
    <w:p w:rsidR="00CF6655" w:rsidRDefault="00CF6655" w:rsidP="00CF6655">
      <w:pPr>
        <w:pStyle w:val="Text"/>
      </w:pPr>
      <w:r>
        <w:t>2. Die verblüffende Selbstgerechtigkeit lässt sich nur durch die Religion b</w:t>
      </w:r>
      <w:r>
        <w:t>e</w:t>
      </w:r>
      <w:r>
        <w:t>gründen. Zieht man diese ab, bleibt eine Beschimpfung, in der man aus den (su</w:t>
      </w:r>
      <w:r>
        <w:t>b</w:t>
      </w:r>
      <w:r>
        <w:t>jektiv wahrgenommenen) Schwächen der anderen auf den eigenen Glücksz</w:t>
      </w:r>
      <w:r>
        <w:t>u</w:t>
      </w:r>
      <w:r>
        <w:t>stand schließt. Der letzte Satz tut nichts weiter, als sich angesichts dessen, wie gut man es doch (im Vergleich mit anderen) getroffen habe, auf die Brust zu schlagen. Ein</w:t>
      </w:r>
      <w:r w:rsidR="00BC0F9E">
        <w:t>e</w:t>
      </w:r>
      <w:r>
        <w:t xml:space="preserve"> solche </w:t>
      </w:r>
      <w:r w:rsidR="00BC0F9E">
        <w:t xml:space="preserve">Haltung </w:t>
      </w:r>
      <w:r>
        <w:t xml:space="preserve">wird man </w:t>
      </w:r>
      <w:r w:rsidR="00330EE5">
        <w:t xml:space="preserve">vielleicht bei </w:t>
      </w:r>
      <w:r>
        <w:t xml:space="preserve">pubertierenden </w:t>
      </w:r>
      <w:r w:rsidR="00330EE5">
        <w:t>Jugendl</w:t>
      </w:r>
      <w:r w:rsidR="00330EE5">
        <w:t>i</w:t>
      </w:r>
      <w:r w:rsidR="00330EE5">
        <w:t>chen erwarten</w:t>
      </w:r>
      <w:r>
        <w:t xml:space="preserve">; hier wird es jedoch von einem nicht ungebildeten Erwachsenen völlig im Ernst geäußert. </w:t>
      </w:r>
      <w:r w:rsidR="008F169F">
        <w:t xml:space="preserve">Zugleich </w:t>
      </w:r>
      <w:r>
        <w:t xml:space="preserve">wird man davon ausgehen können, dass </w:t>
      </w:r>
      <w:r w:rsidR="00330EE5">
        <w:t xml:space="preserve">viele </w:t>
      </w:r>
      <w:r>
        <w:t>zeitgenössische Leser bei diesen Stellen zustimmend genickt haben.</w:t>
      </w:r>
      <w:r w:rsidR="00B467D6">
        <w:t xml:space="preserve"> </w:t>
      </w:r>
      <w:r>
        <w:t xml:space="preserve">Erklärbar wird dieses scheinbare Paradox nur durch die Rolle der Religion: Diese – und nicht die Arroganz des Menschen – begründet die Überlegenheit des Christen. </w:t>
      </w:r>
      <w:r>
        <w:lastRenderedPageBreak/>
        <w:t>Wir haben Gott dankbar zu sein, dass er uns so gut gemacht hat, so lautet die Botschaft.</w:t>
      </w:r>
    </w:p>
    <w:p w:rsidR="00CF6655" w:rsidRDefault="00CF6655" w:rsidP="00CF6655">
      <w:pPr>
        <w:pStyle w:val="Text"/>
      </w:pPr>
      <w:r>
        <w:t>3. In einem absurd-brillanten Zirkelschluss, der zur Rechtfertigung des e</w:t>
      </w:r>
      <w:r>
        <w:t>i</w:t>
      </w:r>
      <w:r>
        <w:t>genen Handelns herangezogen wird, wird die vorausgesetzte moralische Überl</w:t>
      </w:r>
      <w:r>
        <w:t>e</w:t>
      </w:r>
      <w:r>
        <w:t>genheit des Christentums zur Begründung für die moralische Minderwertigkeit der „Heiden“, die sich dadurch in die Reihe anderer, nicht weiter begründeter Unwertsurteile einreiht und diese indirekt stützt (vgl. 1.). Die aus der ‚christl</w:t>
      </w:r>
      <w:r>
        <w:t>i</w:t>
      </w:r>
      <w:r>
        <w:t>chen Theorie‘ (Bibel</w:t>
      </w:r>
      <w:r w:rsidR="00363C1C">
        <w:fldChar w:fldCharType="begin"/>
      </w:r>
      <w:r w:rsidR="00115805">
        <w:instrText xml:space="preserve"> XE "</w:instrText>
      </w:r>
      <w:r w:rsidR="00115805" w:rsidRPr="00212637">
        <w:instrText>Bibel</w:instrText>
      </w:r>
      <w:r w:rsidR="00115805">
        <w:instrText xml:space="preserve">" </w:instrText>
      </w:r>
      <w:r w:rsidR="00363C1C">
        <w:fldChar w:fldCharType="end"/>
      </w:r>
      <w:r>
        <w:t>, Bibelkommentierung und Theologie) induzierte moral</w:t>
      </w:r>
      <w:r>
        <w:t>i</w:t>
      </w:r>
      <w:r>
        <w:t>sche Qualität des Christentums wird zur Begründung der moralischen Minde</w:t>
      </w:r>
      <w:r>
        <w:t>r</w:t>
      </w:r>
      <w:r>
        <w:t>wertigkeit der Nicht-Christen – unabhängig von der Frage, ob die Christen überhaupt den theoretischen Ansprüchen gerecht werden, und wie sich die Nicht-Christen tatsächlich verhalten.</w:t>
      </w:r>
      <w:r>
        <w:rPr>
          <w:rStyle w:val="Funotenzeichen"/>
        </w:rPr>
        <w:footnoteReference w:id="110"/>
      </w:r>
    </w:p>
    <w:p w:rsidR="00CF6655" w:rsidRDefault="00CF6655" w:rsidP="00CF6655">
      <w:pPr>
        <w:pStyle w:val="Text"/>
      </w:pPr>
      <w:r>
        <w:t>Es ist an dieser Stelle zu betonen, dass Spiecker keine plakativen Urteile über Nicht-Christen fällt. Doch auch er glaubt an den engen Zusammenhang zwischen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und europäischer Überlegenheit; so spricht er anlässlich einer Diskussion mit dem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die Überzeugung aus, „[d]aß das Christentum ein wesentlicher Faktor bei der Erziehung der europä</w:t>
      </w:r>
      <w:r>
        <w:t>i</w:t>
      </w:r>
      <w:r>
        <w:t>schen Völker zur Höhe der heutigen Kultur gewesen ist.“ Spiecker will den Hauptmann von der Möglichkeit überzeugen, die Schwarzen zu verbessern, auch wenn dieses Projekt „vielleicht noch Jahrhunderte dauern“ kann (38). Spieckers Position impliziert damit einerseits, dass die Afrikaner den Europäern (das ist die gemeinsame Prämisse mit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andererseits, dass die Nicht-Christen den Christen unterlegen seien. Zudem begründet sie die erste Relation durch die zweite, woraus sich wiederum zwei Schlüsse ergeben: Zum einen wird die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als „kulturelle Hebung“ – statt bloßer religiöser Konverti</w:t>
      </w:r>
      <w:r>
        <w:t>e</w:t>
      </w:r>
      <w:r>
        <w:t>rung – dargestellt, zum anderen das Projekt des europäischen Kulturexports in alle nicht-christlichen Länder gerechtfertigt.</w:t>
      </w:r>
    </w:p>
    <w:p w:rsidR="00CF6655" w:rsidRDefault="00CF6655" w:rsidP="00400F37">
      <w:pPr>
        <w:pStyle w:val="Titel3"/>
      </w:pPr>
      <w:bookmarkStart w:id="168" w:name="_Toc130260698"/>
      <w:bookmarkStart w:id="169" w:name="_Toc327387998"/>
      <w:r>
        <w:lastRenderedPageBreak/>
        <w:t>Kontrolle und Norm</w:t>
      </w:r>
      <w:bookmarkEnd w:id="168"/>
      <w:bookmarkEnd w:id="169"/>
    </w:p>
    <w:p w:rsidR="00CF6655" w:rsidRDefault="00CF6655" w:rsidP="007308C9">
      <w:pPr>
        <w:pStyle w:val="Titel4"/>
      </w:pPr>
      <w:bookmarkStart w:id="170" w:name="_Toc130260699"/>
      <w:bookmarkStart w:id="171" w:name="_Ref325355344"/>
      <w:bookmarkStart w:id="172" w:name="_Toc327387999"/>
      <w:r>
        <w:t>Kirchenzucht</w:t>
      </w:r>
      <w:bookmarkEnd w:id="170"/>
      <w:bookmarkEnd w:id="171"/>
      <w:bookmarkEnd w:id="172"/>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p>
    <w:p w:rsidR="00CF6655" w:rsidRDefault="00CF6655" w:rsidP="00400F37">
      <w:pPr>
        <w:pStyle w:val="Text"/>
        <w:ind w:firstLine="0"/>
      </w:pPr>
      <w:r>
        <w:t>Von Anfang an wurde in den neugegründeten Gemeinden auch die Kirchenzucht</w:t>
      </w:r>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r>
        <w:t xml:space="preserve"> praktiziert, und zwar in einer schlichten und rigorosen Weise, wie sie in Deutschland zu dieser Zeit keinesfalls möglich gewesen wäre. Sie funktioniert nach der Methode der öffentlichen Demütigung; das angewandte Zwangsmittel ist in der Regel der Ausschluss vom Abendmahl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Lothar Engel erläutert die Funktion der Kirchenzucht:</w:t>
      </w:r>
    </w:p>
    <w:p w:rsidR="00CF6655" w:rsidRDefault="00CF6655" w:rsidP="00EF624A">
      <w:pPr>
        <w:pStyle w:val="ZitatAbsto"/>
      </w:pPr>
      <w:r>
        <w:t>Die durch die Verkündigung angestrebte Veränderung der Einheimischen e</w:t>
      </w:r>
      <w:r>
        <w:t>r</w:t>
      </w:r>
      <w:r>
        <w:t>fordert, dass die jungen Christen „geübte Sinne zum Unterscheiden“ erhalten und dass sie, wie im Fall Bethanien</w:t>
      </w:r>
      <w:r w:rsidR="00363C1C">
        <w:fldChar w:fldCharType="begin"/>
      </w:r>
      <w:r w:rsidR="001F21DF">
        <w:instrText xml:space="preserve"> XE "</w:instrText>
      </w:r>
      <w:r w:rsidR="001F21DF" w:rsidRPr="001F21DF">
        <w:instrText>Bethanien</w:instrText>
      </w:r>
      <w:r w:rsidR="001F21DF">
        <w:instrText xml:space="preserve">" </w:instrText>
      </w:r>
      <w:r w:rsidR="00363C1C">
        <w:fldChar w:fldCharType="end"/>
      </w:r>
      <w:r>
        <w:t>, sich gegenseitig in der Einhaltung der ne</w:t>
      </w:r>
      <w:r>
        <w:t>u</w:t>
      </w:r>
      <w:r>
        <w:t>en Verhaltensregeln überwachen.</w:t>
      </w:r>
    </w:p>
    <w:p w:rsidR="00CF6655" w:rsidRDefault="00CF6655" w:rsidP="00EF624A">
      <w:pPr>
        <w:pStyle w:val="ZitatAbstu"/>
      </w:pPr>
      <w:r>
        <w:t>Vorrangig bei sexuellen Vergehen tritt Kirchenzucht</w:t>
      </w:r>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r>
        <w:t xml:space="preserve"> in Kraft. Die Betre</w:t>
      </w:r>
      <w:r>
        <w:t>f</w:t>
      </w:r>
      <w:r>
        <w:t>fenden werden vom Abendmahl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xml:space="preserve"> ausgeschlossen und müssen, um wieder in die Gemeinde aufgenommen zu werden, im Gottesdienst ein öffentliches Bußb</w:t>
      </w:r>
      <w:r>
        <w:t>e</w:t>
      </w:r>
      <w:r>
        <w:t>kenntnis ablegen […].</w:t>
      </w:r>
      <w:r>
        <w:rPr>
          <w:rStyle w:val="Funotenzeichen"/>
        </w:rPr>
        <w:footnoteReference w:id="111"/>
      </w:r>
    </w:p>
    <w:p w:rsidR="00CF6655" w:rsidRDefault="00CF6655" w:rsidP="00EF624A">
      <w:pPr>
        <w:pStyle w:val="Text"/>
        <w:ind w:firstLine="0"/>
      </w:pPr>
      <w:r>
        <w:t>Eine Passage bei Spiecker verdeutlicht die Machtposition der Mission:</w:t>
      </w:r>
    </w:p>
    <w:p w:rsidR="00CF6655" w:rsidRDefault="00CF6655" w:rsidP="00CF6655">
      <w:pPr>
        <w:pStyle w:val="Zitat"/>
      </w:pPr>
      <w:r>
        <w:t>Br.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hat der Commission die hier oft sich wiederholende Frage vorgelegt: Was sollen wir mit solchen Frauen machen, deren Männer sie seit Jahren ve</w:t>
      </w:r>
      <w:r>
        <w:t>r</w:t>
      </w:r>
      <w:r>
        <w:t>lassen haben, die um der Kinder willen gezwungen sind, mit einem anderen Mann zu leben, die aber kein Geld haben, sich von dem ersten Mann gesetzlich scheiden zu lassen? Natürlich ist eine solche Frau von der Gemeinde ausg</w:t>
      </w:r>
      <w:r>
        <w:t>e</w:t>
      </w:r>
      <w:r>
        <w:t>schlossen, aber es erscheint oft hart […]. Unsere Missionare sind in Ehesachen auch Standesbeamte und führen die öffentlichen Trauregister. (200f)</w:t>
      </w:r>
    </w:p>
    <w:p w:rsidR="00CF6655" w:rsidRDefault="00CF6655" w:rsidP="00EF624A">
      <w:pPr>
        <w:pStyle w:val="Text"/>
        <w:ind w:firstLine="0"/>
      </w:pPr>
      <w:r>
        <w:t>Schwarze Frauen haben unter der Regierung der weißen Männer besonders zu leiden, wie die öffentliche Zwangsuntersuchung auf Geschlechtskrankheiten</w:t>
      </w:r>
      <w:r w:rsidR="00363C1C">
        <w:fldChar w:fldCharType="begin"/>
      </w:r>
      <w:r w:rsidR="00763E6B">
        <w:instrText xml:space="preserve"> XE "</w:instrText>
      </w:r>
      <w:r w:rsidR="00763E6B" w:rsidRPr="005D4C40">
        <w:instrText>Geschlechtskrankheiten</w:instrText>
      </w:r>
      <w:r w:rsidR="00763E6B">
        <w:instrText xml:space="preserve">" </w:instrText>
      </w:r>
      <w:r w:rsidR="00363C1C">
        <w:fldChar w:fldCharType="end"/>
      </w:r>
      <w:r>
        <w:t xml:space="preserve"> oder das Verbot der Mischehen</w:t>
      </w:r>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r>
        <w:t>, von dem auf Seiten der Eingeborenen fast nur Frauen betroffen sind, zeigen. Aber auch die Mission trägt ihren Teil bei, indem sie die europäischen Ehenormen importiert und mit aller Entschiedenheit durc</w:t>
      </w:r>
      <w:r>
        <w:t>h</w:t>
      </w:r>
      <w:r>
        <w:t>setzt, worum sich die Regierung sonst kaum kümmern würde. Doch kulturelle, ökonomische und meldetechnische Voraussetzungen der bürgerlich strikten Moral fehlen, so dass die Frauen stigmatisiert werden, die nach den hergebrac</w:t>
      </w:r>
      <w:r>
        <w:t>h</w:t>
      </w:r>
      <w:r>
        <w:t>ten Normen ihrer Stämme keine Nachteile zu befürchten hätten – beispielsweise weil man sich nach einem Streit getrennt hat, der Aufenthaltsort des Mannes u</w:t>
      </w:r>
      <w:r>
        <w:t>n</w:t>
      </w:r>
      <w:r>
        <w:t xml:space="preserve">bekannt ist und eine neue Partnerschaft besteht; oder auch einfach, weil kein Geld für eine Scheidungsurkunde da ist. Selbst Spiecker kommt nicht auf die Idee, dass unter diesen Bedingungen die Mission die Unterdrückung dieser </w:t>
      </w:r>
      <w:r>
        <w:lastRenderedPageBreak/>
        <w:t>Frauen verursacht, da für sein europäisch geprägtes Denken nur das Scheidung</w:t>
      </w:r>
      <w:r>
        <w:t>s</w:t>
      </w:r>
      <w:r>
        <w:t>dokument und nicht der Fakt der Trennung die Möglichkeit einer neuen Eh</w:t>
      </w:r>
      <w:r>
        <w:t>e</w:t>
      </w:r>
      <w:r>
        <w:t>schließung eröffnet.</w:t>
      </w:r>
    </w:p>
    <w:p w:rsidR="00CF6655" w:rsidRDefault="00CF6655" w:rsidP="00CF6655">
      <w:pPr>
        <w:pStyle w:val="Text"/>
      </w:pPr>
      <w:r>
        <w:t>Er betont jedoch, mit der „alten rigoristischen Praxis“ komme man nicht mehr weiter (588), gerade auch, weil durch den Krieg und die dadurch ausgelö</w:t>
      </w:r>
      <w:r>
        <w:t>s</w:t>
      </w:r>
      <w:r>
        <w:t>ten Wanderungen die Familienverhältnisse vieler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in Unordnung geraten sind. Doch auch sein Vorgehen ist für die Betroffenen bisweilen hart, wie hier bei der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xml:space="preserve"> eines Kindes, das eine verheiratete Frau von einem Soldaten b</w:t>
      </w:r>
      <w:r>
        <w:t>e</w:t>
      </w:r>
      <w:r>
        <w:t>kommen hat:</w:t>
      </w:r>
    </w:p>
    <w:p w:rsidR="00CF6655" w:rsidRDefault="00CF6655" w:rsidP="00CF6655">
      <w:pPr>
        <w:pStyle w:val="Zitat"/>
      </w:pPr>
      <w:r>
        <w:t>Die Frau weinte u. schluchzte laut während der ganzen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In der kurzen Taufrede im Anschluß an Matth. 19 V 13-15 habe ich den ganzen Sündenfall ganz offen und ernst besprochen, aber als einen Schaden der Gemeinde, der diese beflecke und sich nicht mit dem Wesen einer christlichen Gemeinde ve</w:t>
      </w:r>
      <w:r>
        <w:t>r</w:t>
      </w:r>
      <w:r>
        <w:t>trage. Die ganze Feier war einfach, ernst und würdig. (115)</w:t>
      </w:r>
    </w:p>
    <w:p w:rsidR="00CF6655" w:rsidRDefault="00CF6655" w:rsidP="007308C9">
      <w:pPr>
        <w:pStyle w:val="Titel4"/>
      </w:pPr>
      <w:bookmarkStart w:id="173" w:name="_Toc130260700"/>
      <w:bookmarkStart w:id="174" w:name="_Toc327388000"/>
      <w:r>
        <w:t>Kontrolle durch die Bibel</w:t>
      </w:r>
      <w:bookmarkEnd w:id="173"/>
      <w:bookmarkEnd w:id="174"/>
      <w:r w:rsidR="00363C1C">
        <w:fldChar w:fldCharType="begin"/>
      </w:r>
      <w:r w:rsidR="00115805">
        <w:instrText xml:space="preserve"> XE "</w:instrText>
      </w:r>
      <w:r w:rsidR="00115805" w:rsidRPr="00212637">
        <w:instrText>Bibel</w:instrText>
      </w:r>
      <w:r w:rsidR="00115805">
        <w:instrText xml:space="preserve">" </w:instrText>
      </w:r>
      <w:r w:rsidR="00363C1C">
        <w:fldChar w:fldCharType="end"/>
      </w:r>
    </w:p>
    <w:p w:rsidR="00CF6655" w:rsidRDefault="00CF6655" w:rsidP="00EF624A">
      <w:pPr>
        <w:pStyle w:val="Text"/>
        <w:ind w:firstLine="0"/>
      </w:pPr>
      <w:r>
        <w:t>Nicht jede Bibelstelle passt für jede Volksgruppe gleich gut, wie sich 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erweist: „Nachmittags um 3 Uhr war Gottesdienst für die Eingeborenen in der Schule. […] Ich predigte über das Sonntagsevangelium Lukas 60 V 19-31 Vom Reichen Mann und armen Lazarus. Im Gottesdienst für die Weißen am Morgen habe ich dieses Evangelium zwar verlesen, aber für die Predigt vor diesen Leuten hielt ich es für nicht so sehr geeignet, da es zu manches enthält, woran der Ve</w:t>
      </w:r>
      <w:r>
        <w:t>r</w:t>
      </w:r>
      <w:r>
        <w:t>stand leicht Anstoß nimmt. Da war mir die Epistel von der Liebe Gottes gene</w:t>
      </w:r>
      <w:r>
        <w:t>h</w:t>
      </w:r>
      <w:r>
        <w:t>mer.“ Er hatte dort über 1. Johs 4 V 16-21 gepredigt. „Für die Eingeborenen passte mir das Evangelium sehr gut. Ich konnte ihnen sagen, daß es gar nicht d</w:t>
      </w:r>
      <w:r>
        <w:t>a</w:t>
      </w:r>
      <w:r>
        <w:t>rauf ankommt, wie es uns in diesem Leben ergeht sondern daß wir dieses Leben als Schule für den Himmel benutzen müssten.</w:t>
      </w:r>
      <w:r>
        <w:rPr>
          <w:rStyle w:val="Funotenzeichen"/>
        </w:rPr>
        <w:footnoteReference w:id="112"/>
      </w:r>
      <w:r>
        <w:t xml:space="preserve"> […] Mir war es eine Freude, an Hand der Schrift den Eingeborenen zu zeigen, dass sie trotz ihrer gegenwärtigen Armut und ihres vielfachen Elends noch eine herrliche Zukunft vor sich hätten, wenn sie Gottes Wort treu hörten […].“ (1006f)</w:t>
      </w:r>
    </w:p>
    <w:p w:rsidR="00CF6655" w:rsidRDefault="00CF6655" w:rsidP="00CF6655">
      <w:pPr>
        <w:pStyle w:val="Text"/>
      </w:pPr>
      <w:r>
        <w:t>Die Missionare können nicht nur großen Einfluss auf die Bevölkerung g</w:t>
      </w:r>
      <w:r>
        <w:t>e</w:t>
      </w:r>
      <w:r>
        <w:t xml:space="preserve">winnen, sondern auch auf die Häuptlinge, wo diese, wie im Amboland, noch die </w:t>
      </w:r>
      <w:r>
        <w:lastRenderedPageBreak/>
        <w:t>tatsächlichen Herrscher sind. (1150) Sie werden durchweg geachtet und ehre</w:t>
      </w:r>
      <w:r>
        <w:t>r</w:t>
      </w:r>
      <w:r>
        <w:t>bietig behandelt und ihr Wort gilt etwas, auch bei den ‚Heiden‘. Die Häuptlinge (auch die nicht christlichen) scheinen regelmäßig in die Missionshäuser zu kommen, tun es zumindest aus Anlass von Spieckers Besuch; an vielen Orten hat sich ein gutes Verhältnis entwickelt. Viele sehen wohl in der Mission einen Schutz vor den Gefahren durch die chauvinistische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der g</w:t>
      </w:r>
      <w:r>
        <w:t>e</w:t>
      </w:r>
      <w:r>
        <w:t>genüber die Mission als ihre Interessenvertretung und als Mittler auftreten soll.</w:t>
      </w:r>
    </w:p>
    <w:p w:rsidR="00CF6655" w:rsidRDefault="00CF6655" w:rsidP="00CF6655">
      <w:pPr>
        <w:pStyle w:val="Text"/>
      </w:pPr>
      <w:r>
        <w:t>Treffend charakterisiert der Häuptling Hamalua</w:t>
      </w:r>
      <w:r w:rsidR="00363C1C">
        <w:fldChar w:fldCharType="begin"/>
      </w:r>
      <w:r w:rsidR="005A705C">
        <w:instrText xml:space="preserve"> XE "</w:instrText>
      </w:r>
      <w:r w:rsidR="005A705C" w:rsidRPr="008D0C89">
        <w:instrText>Hamalua, Häuptling</w:instrText>
      </w:r>
      <w:r w:rsidR="005A705C">
        <w:instrText xml:space="preserve">" </w:instrText>
      </w:r>
      <w:r w:rsidR="00363C1C">
        <w:fldChar w:fldCharType="end"/>
      </w:r>
      <w:r>
        <w:t>, den sie auf seiner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in der Nähe von Omupanda</w:t>
      </w:r>
      <w:r w:rsidR="00363C1C">
        <w:fldChar w:fldCharType="begin"/>
      </w:r>
      <w:r w:rsidR="00C05598">
        <w:instrText xml:space="preserve"> XE "</w:instrText>
      </w:r>
      <w:r w:rsidR="00C05598" w:rsidRPr="00FA4932">
        <w:instrText>Omupanda</w:instrText>
      </w:r>
      <w:r w:rsidR="00C05598">
        <w:instrText xml:space="preserve">" </w:instrText>
      </w:r>
      <w:r w:rsidR="00363C1C">
        <w:fldChar w:fldCharType="end"/>
      </w:r>
      <w:r>
        <w:t xml:space="preserve"> besuchen, das Verhältnis aus Sicht der Eingeborenen: „Über manche Äußerung Hamaluas habe ich mich gewundert und wohl auch g</w:t>
      </w:r>
      <w:r>
        <w:t>e</w:t>
      </w:r>
      <w:r>
        <w:t>freut. Als von der Jagd die Rede war, sagte er: "Ihr Missionare jagt kein Wild, sondern Menschen."“ (1164f) Spiecker stimmt ihm offenbar zu, aber verstehen beide die Äußerung gleich? Hamalua</w:t>
      </w:r>
      <w:r w:rsidR="00363C1C">
        <w:fldChar w:fldCharType="begin"/>
      </w:r>
      <w:r w:rsidR="005A705C">
        <w:instrText xml:space="preserve"> XE "</w:instrText>
      </w:r>
      <w:r w:rsidR="005A705C" w:rsidRPr="008D0C89">
        <w:instrText>Hamalua, Häuptling</w:instrText>
      </w:r>
      <w:r w:rsidR="005A705C">
        <w:instrText xml:space="preserve">" </w:instrText>
      </w:r>
      <w:r w:rsidR="00363C1C">
        <w:fldChar w:fldCharType="end"/>
      </w:r>
      <w:r>
        <w:t>, der sich gegen den Übertritt wehrt, scheint sie ironischer zu konnotieren als Spiecker, der an das alte Bild von Chri</w:t>
      </w:r>
      <w:r>
        <w:t>s</w:t>
      </w:r>
      <w:r>
        <w:t>tus als „Seelenfischer“ denken dürfte.</w:t>
      </w:r>
    </w:p>
    <w:p w:rsidR="00CF6655" w:rsidRDefault="00CF6655" w:rsidP="00CF6655">
      <w:pPr>
        <w:pStyle w:val="Text"/>
      </w:pPr>
      <w:r>
        <w:t>Schon die Auswahl des Predigttextes wirkt manchmal wie eine Bestätigung kolonialer Sichtweisen, obwohl sie ohne Zweifel von Spiecker nicht so beabsic</w:t>
      </w:r>
      <w:r>
        <w:t>h</w:t>
      </w:r>
      <w:r>
        <w:t>tigt ist. In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predigt Spiecker den Gefangenen, Zwangsarbeitern und einigen Kranken aus den Lazaretten und bemerkt dazu: „Es war mir aber doch eine Freude diesen armen Leuten von der Liebe Jesu zu den Sündern zu zeugen.“ (1314) Viele dieser Menschen haben gar nicht am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teilgenommen; sie wurden inhaftiert, weil sie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oder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sind. Spiecker scheint sie auch gar nicht für kollektiv schuldig zu halten, denn er fährt fort: „Ich habe die Hof</w:t>
      </w:r>
      <w:r>
        <w:t>f</w:t>
      </w:r>
      <w:r>
        <w:t>nung, daß noch manche dieser armen hier so zertretenen Leute durch des Herrn Gnade selig werden.“ (1315) Das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aber, das er predigt, setzt in der Kombination von Anlass, Publikum und inhaltlicher Aussage Opfer mit Sündern gleich und legt somit den Menschen nahe, die Schuld für ihre Lage bei sich selbst zu suchen.</w:t>
      </w:r>
    </w:p>
    <w:p w:rsidR="00CF6655" w:rsidRDefault="00CF6655" w:rsidP="007308C9">
      <w:pPr>
        <w:pStyle w:val="Titel4"/>
      </w:pPr>
      <w:bookmarkStart w:id="175" w:name="_Toc130260701"/>
      <w:bookmarkStart w:id="176" w:name="_Toc327388001"/>
      <w:r>
        <w:t>Unter fremdem Namen</w:t>
      </w:r>
      <w:bookmarkEnd w:id="175"/>
      <w:bookmarkEnd w:id="176"/>
    </w:p>
    <w:p w:rsidR="00CF6655" w:rsidRDefault="00CF6655" w:rsidP="00EF624A">
      <w:pPr>
        <w:pStyle w:val="Text"/>
        <w:ind w:firstLine="0"/>
      </w:pPr>
      <w:r>
        <w:t>Getauft</w:t>
      </w:r>
      <w:r w:rsidR="00363C1C">
        <w:fldChar w:fldCharType="begin"/>
      </w:r>
      <w:r w:rsidR="007079A3">
        <w:instrText xml:space="preserve"> XE "</w:instrText>
      </w:r>
      <w:r w:rsidR="007079A3" w:rsidRPr="00DA14DA">
        <w:instrText>Taufe</w:instrText>
      </w:r>
      <w:r w:rsidR="007079A3">
        <w:instrText xml:space="preserve">" </w:instrText>
      </w:r>
      <w:r w:rsidR="00363C1C">
        <w:fldChar w:fldCharType="end"/>
      </w:r>
      <w:r>
        <w:t xml:space="preserve"> wird wie selbstverständlich nicht auf die traditionellen Namen der Ei</w:t>
      </w:r>
      <w:r>
        <w:t>n</w:t>
      </w:r>
      <w:r>
        <w:t>geborenen, sondern auf deutsche oder (öfter) biblische Namen. Das 6jährige Mädchen Kakurna, das als Waisenkind aus dem Krieg gerettet werden konnte und von Br.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aufgezogen wird, wird von Spiecker bei seinem Besuch zusammen mit dem ersten Kind der Brokmanns getauft: „Jetzt heißt sie Elise.“ (1030) Warum eigentlich nicht Kakurna? Die Frage wird nicht gestellt.</w:t>
      </w:r>
    </w:p>
    <w:p w:rsidR="00CF6655" w:rsidRDefault="00CF6655" w:rsidP="00CF6655">
      <w:pPr>
        <w:pStyle w:val="Text"/>
      </w:pPr>
      <w:r>
        <w:t>Schon in der Kapkolonie hatte Spiecker über Mitglieder von Gemeinderat und Kirchenvorstand berichtet: „Die Eingeborenen werden hier nur mit dem Vornamen genannt. So kann ich ihre Familiennamen nicht angeben“ (307), was ihn zumindest bei solchen ‚Funktionsträgern‘ doch etwas irritiert. Neben dem paternalistischen</w:t>
      </w:r>
      <w:r w:rsidR="00363C1C">
        <w:fldChar w:fldCharType="begin"/>
      </w:r>
      <w:r w:rsidR="00566F67">
        <w:instrText xml:space="preserve"> XE "</w:instrText>
      </w:r>
      <w:r w:rsidR="00566F67" w:rsidRPr="008F28EA">
        <w:instrText>Paternalismus</w:instrText>
      </w:r>
      <w:r w:rsidR="00566F67">
        <w:instrText xml:space="preserve">" </w:instrText>
      </w:r>
      <w:r w:rsidR="00363C1C">
        <w:fldChar w:fldCharType="end"/>
      </w:r>
      <w:r>
        <w:t xml:space="preserve"> Denken (alle Eingeborenen werden geduzt, weil sie als Kinder angesehen werden) spielt wohl auch die Faulheit der Weißen eine Rolle: Die bi</w:t>
      </w:r>
      <w:r>
        <w:t>b</w:t>
      </w:r>
      <w:r>
        <w:lastRenderedPageBreak/>
        <w:t>lischen Vornamen (Johannes, David, Elia usw.) klingen vertraut und sind leicht zu merken, während als Nachnamen teilweise traditionelle Stammesnamen ve</w:t>
      </w:r>
      <w:r>
        <w:t>r</w:t>
      </w:r>
      <w:r>
        <w:t>wendet werden.</w:t>
      </w:r>
    </w:p>
    <w:p w:rsidR="00CF6655" w:rsidRDefault="00CF6655" w:rsidP="00EF624A">
      <w:pPr>
        <w:pStyle w:val="Titel3"/>
      </w:pPr>
      <w:bookmarkStart w:id="177" w:name="_Toc122313634"/>
      <w:bookmarkStart w:id="178" w:name="_Toc122313722"/>
      <w:bookmarkStart w:id="179" w:name="_Toc130260702"/>
      <w:bookmarkStart w:id="180" w:name="_Toc327388002"/>
      <w:r>
        <w:t>Erziehung</w:t>
      </w:r>
      <w:bookmarkEnd w:id="177"/>
      <w:bookmarkEnd w:id="178"/>
      <w:bookmarkEnd w:id="179"/>
      <w:bookmarkEnd w:id="180"/>
    </w:p>
    <w:p w:rsidR="00CF6655" w:rsidRDefault="00CF6655" w:rsidP="007308C9">
      <w:pPr>
        <w:pStyle w:val="Titel4"/>
      </w:pPr>
      <w:bookmarkStart w:id="181" w:name="_Toc130260703"/>
      <w:bookmarkStart w:id="182" w:name="_Toc327388003"/>
      <w:r>
        <w:t>Die Missionsschulen</w:t>
      </w:r>
      <w:bookmarkEnd w:id="181"/>
      <w:bookmarkEnd w:id="182"/>
      <w:r w:rsidR="00363C1C">
        <w:fldChar w:fldCharType="begin"/>
      </w:r>
      <w:r w:rsidR="007079A3">
        <w:instrText xml:space="preserve"> XE "</w:instrText>
      </w:r>
      <w:r w:rsidR="007079A3" w:rsidRPr="00A3653B">
        <w:instrText>Missionsschule</w:instrText>
      </w:r>
      <w:r w:rsidR="007079A3">
        <w:instrText xml:space="preserve">" </w:instrText>
      </w:r>
      <w:r w:rsidR="00363C1C">
        <w:fldChar w:fldCharType="end"/>
      </w:r>
    </w:p>
    <w:p w:rsidR="00CF6655" w:rsidRDefault="00CF6655" w:rsidP="00EF624A">
      <w:pPr>
        <w:pStyle w:val="Text"/>
        <w:ind w:firstLine="0"/>
      </w:pPr>
      <w:r>
        <w:t>Für die Gründerzeit der protestantischen Mission in Südwestafrika (1842–84) stellt Panzergrau fest: „Der Charakter der Missionsschulen</w:t>
      </w:r>
      <w:r w:rsidR="00363C1C">
        <w:fldChar w:fldCharType="begin"/>
      </w:r>
      <w:r w:rsidR="007079A3">
        <w:instrText xml:space="preserve"> XE "</w:instrText>
      </w:r>
      <w:r w:rsidR="007079A3" w:rsidRPr="00A3653B">
        <w:instrText>Missionsschule</w:instrText>
      </w:r>
      <w:r w:rsidR="007079A3">
        <w:instrText xml:space="preserve">" </w:instrText>
      </w:r>
      <w:r w:rsidR="00363C1C">
        <w:fldChar w:fldCharType="end"/>
      </w:r>
      <w:r>
        <w:t xml:space="preserve"> im Hereroland in der ersten Phase der Missionsarbeit ist vergleichbar mit einer Sonntagsschule in E</w:t>
      </w:r>
      <w:r>
        <w:t>u</w:t>
      </w:r>
      <w:r>
        <w:t>ropa. […] Die Missionsschule ist ihrem Wesen nach ein Kindergottesdienst u</w:t>
      </w:r>
      <w:r>
        <w:t>n</w:t>
      </w:r>
      <w:r>
        <w:t>ter Einbeziehung von Lesen und Schreiben.“</w:t>
      </w:r>
      <w:r>
        <w:rPr>
          <w:rStyle w:val="Funotenzeichen"/>
        </w:rPr>
        <w:footnoteReference w:id="113"/>
      </w:r>
      <w:r>
        <w:t xml:space="preserve"> Im Mittelpunkt steht klar die Vermittlung der Heiligen Schrift; weitere Inhalte kommen nur insoweit dazu, als sie für das Funk</w:t>
      </w:r>
      <w:r>
        <w:softHyphen/>
        <w:t>tionieren der Gemeinde ratsam erscheinen, dazu gehören eben Lesen und Schreiben.</w:t>
      </w:r>
    </w:p>
    <w:p w:rsidR="00CF6655" w:rsidRDefault="00CF6655" w:rsidP="00CF6655">
      <w:pPr>
        <w:pStyle w:val="Text"/>
      </w:pPr>
      <w:r>
        <w:t>Nach der Gründung der Schutzgebiete (1884) änderte sich die Situation für die Missionsschulen</w:t>
      </w:r>
      <w:r w:rsidR="00363C1C">
        <w:fldChar w:fldCharType="begin"/>
      </w:r>
      <w:r w:rsidR="007079A3">
        <w:instrText xml:space="preserve"> XE "</w:instrText>
      </w:r>
      <w:r w:rsidR="007079A3" w:rsidRPr="00A3653B">
        <w:instrText>Missionsschule</w:instrText>
      </w:r>
      <w:r w:rsidR="007079A3">
        <w:instrText xml:space="preserve">" </w:instrText>
      </w:r>
      <w:r w:rsidR="00363C1C">
        <w:fldChar w:fldCharType="end"/>
      </w:r>
      <w:r>
        <w:t>. Jetzt hatte 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die offizielle Schulhoheit inne. Die Aufrechterhaltung der Schulen erforderte nun größere Anpassung an die Wünsche der Regierung. „Die Maßgabe ist ein Volksschulunterricht, dessen Kern das Erlernen der deutschen Sprache ist, angereichert durch Rechnen sowie Unterricht in der Muttersprache (Otjiherero</w:t>
      </w:r>
      <w:r w:rsidR="00363C1C">
        <w:fldChar w:fldCharType="begin"/>
      </w:r>
      <w:r w:rsidR="007866A1">
        <w:instrText xml:space="preserve"> XE "</w:instrText>
      </w:r>
      <w:r w:rsidR="007866A1" w:rsidRPr="00572422">
        <w:instrText>Otjiherero (Sprache)</w:instrText>
      </w:r>
      <w:r w:rsidR="007866A1">
        <w:instrText xml:space="preserve">" </w:instrText>
      </w:r>
      <w:r w:rsidR="00363C1C">
        <w:fldChar w:fldCharType="end"/>
      </w:r>
      <w:r>
        <w:t xml:space="preserve"> oder Nama</w:t>
      </w:r>
      <w:r w:rsidR="00363C1C">
        <w:fldChar w:fldCharType="begin"/>
      </w:r>
      <w:r w:rsidR="003264BA">
        <w:instrText xml:space="preserve"> XE "</w:instrText>
      </w:r>
      <w:r w:rsidR="003264BA" w:rsidRPr="001F563C">
        <w:instrText>Nama</w:instrText>
      </w:r>
      <w:r w:rsidR="007866A1">
        <w:instrText xml:space="preserve"> (Sprache)</w:instrText>
      </w:r>
      <w:r w:rsidR="003264BA">
        <w:instrText xml:space="preserve">" </w:instrText>
      </w:r>
      <w:r w:rsidR="00363C1C">
        <w:fldChar w:fldCharType="end"/>
      </w:r>
      <w:r>
        <w:t>), Naturkunde, Geogr</w:t>
      </w:r>
      <w:r>
        <w:t>a</w:t>
      </w:r>
      <w:r>
        <w:t>phie, Geschichte und Volkskunde.“</w:t>
      </w:r>
      <w:r>
        <w:rPr>
          <w:rStyle w:val="Funotenzeichen"/>
        </w:rPr>
        <w:footnoteReference w:id="114"/>
      </w:r>
    </w:p>
    <w:p w:rsidR="00CF6655" w:rsidRDefault="00CF6655" w:rsidP="00CF6655">
      <w:pPr>
        <w:pStyle w:val="Text"/>
      </w:pPr>
      <w:r>
        <w:t>Die Mission ist dabei von den Zuschüssen der Regierung abhängig: „Selbs</w:t>
      </w:r>
      <w:r>
        <w:t>t</w:t>
      </w:r>
      <w:r>
        <w:t>verständlich unterliegen die rheinischen Missionsschulen</w:t>
      </w:r>
      <w:r w:rsidR="00363C1C">
        <w:fldChar w:fldCharType="begin"/>
      </w:r>
      <w:r w:rsidR="007079A3">
        <w:instrText xml:space="preserve"> XE "</w:instrText>
      </w:r>
      <w:r w:rsidR="007079A3" w:rsidRPr="00A3653B">
        <w:instrText>Missionsschule</w:instrText>
      </w:r>
      <w:r w:rsidR="007079A3">
        <w:instrText xml:space="preserve">" </w:instrText>
      </w:r>
      <w:r w:rsidR="00363C1C">
        <w:fldChar w:fldCharType="end"/>
      </w:r>
      <w:r>
        <w:t xml:space="preserve"> der Schulaufsicht durch die Bezirkshauptleute, denen Bericht zu erstatten ist, nach welchem sich die Höhe der gewährten Beihilfe richtet.“</w:t>
      </w:r>
      <w:r>
        <w:rPr>
          <w:rStyle w:val="Funotenzeichen"/>
        </w:rPr>
        <w:footnoteReference w:id="115"/>
      </w:r>
      <w:r>
        <w:t xml:space="preserve"> Entsprechend den Wünschen der Regi</w:t>
      </w:r>
      <w:r>
        <w:t>e</w:t>
      </w:r>
      <w:r>
        <w:t>rung wurde der Unterricht auf Deutsch eingeführt, der sich – da die Kinder die Sprache nicht wirklich lernen – oft auf pures Auswendiglernen reduziert. Zu B</w:t>
      </w:r>
      <w:r>
        <w:t>e</w:t>
      </w:r>
      <w:r>
        <w:t>ginn der Mission hatte dagegen der Unterricht durch einheimische Lehrer nur in den Muttersprachen stattgefunden.</w:t>
      </w:r>
    </w:p>
    <w:p w:rsidR="00CF6655" w:rsidRDefault="00CF6655" w:rsidP="00CF6655">
      <w:pPr>
        <w:pStyle w:val="Text"/>
      </w:pPr>
      <w:r>
        <w:t>Koloniale Herrschaft und die Erziehung der Beherrschten hängen eng z</w:t>
      </w:r>
      <w:r>
        <w:t>u</w:t>
      </w:r>
      <w:r>
        <w:t>sammen. Zum einen erforderten natürlich die praktischen Gegebenheiten eine Erziehung im Sinne der Europäer; so sollten ja alle Afrikaner in der Lage sein, wenigstens einfache Befehle der Weißen zu verstehen. Außerdem war die erzi</w:t>
      </w:r>
      <w:r>
        <w:t>e</w:t>
      </w:r>
      <w:r>
        <w:t>herische Wirkung einer Schulbildung auf die ‚Wilden‘ in der Debatte immer pr</w:t>
      </w:r>
      <w:r>
        <w:t>ä</w:t>
      </w:r>
      <w:r>
        <w:t>sent; völlig unabhängig von den Inhalten glaubte man also bereits an die positive Wirkung der Institution an sich.</w:t>
      </w:r>
    </w:p>
    <w:p w:rsidR="00CF6655" w:rsidRDefault="00CF6655" w:rsidP="00CF6655">
      <w:pPr>
        <w:pStyle w:val="Text"/>
      </w:pPr>
      <w:r>
        <w:lastRenderedPageBreak/>
        <w:t>Panzergrau weist auf die zunächst sehr unterschiedlichen Grundhaltungen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und der Mission hin. Erstere sehen vor allem den „Ro</w:t>
      </w:r>
      <w:r>
        <w:t>h</w:t>
      </w:r>
      <w:r>
        <w:t>stoff Neger“ und dessen optimale Ausnutzung, daraus folgt: „Erziehung – falls überhaupt – hat in der Weise zu erfolgen, dass die Eingeborenen mit den U</w:t>
      </w:r>
      <w:r>
        <w:t>m</w:t>
      </w:r>
      <w:r>
        <w:t>ständen der kolonialen Gegebenheiten und im Umgang mit Geld vertraut g</w:t>
      </w:r>
      <w:r>
        <w:t>e</w:t>
      </w:r>
      <w:r>
        <w:t>macht werden müssen.“</w:t>
      </w:r>
      <w:r>
        <w:rPr>
          <w:rStyle w:val="Funotenzeichen"/>
        </w:rPr>
        <w:footnoteReference w:id="116"/>
      </w:r>
      <w:r>
        <w:t xml:space="preserve"> Letzteres ist nötig, weil die Eingeborenen auch als Konsumenten von Bedeutung waren; von vornherein hatten Befürworter des Imperialismus darauf verwiesen, dass die heimische Industrie neue Absatzmärkte brauche. Die Regierung leitete die wünschenswerte Erziehung also ganz aus den Interessen der kolonisierenden Nation ab.</w:t>
      </w:r>
    </w:p>
    <w:p w:rsidR="00CF6655" w:rsidRDefault="00CF6655" w:rsidP="00CF6655">
      <w:pPr>
        <w:pStyle w:val="Text"/>
      </w:pPr>
      <w:r>
        <w:t>Für die Missionare dagegen stand die Absicht im Vordergrund, „im Dienste der Missionszöglinge zu handeln“.</w:t>
      </w:r>
      <w:r>
        <w:rPr>
          <w:rStyle w:val="Funotenzeichen"/>
        </w:rPr>
        <w:footnoteReference w:id="117"/>
      </w:r>
      <w:r>
        <w:t xml:space="preserve"> Diese Differenz war erheblich und brachte die Missionare prinzipiell in einen Gewissenskonflikt, dessen sie sich jedoch mit verblüffender Agilität entledigte. Panzergrau spricht von einer „Haltung des v</w:t>
      </w:r>
      <w:r>
        <w:t>o</w:t>
      </w:r>
      <w:r>
        <w:t>rauseilenden Gehorsams“, mit der die Mission den Bedürfnissen der weltlichen Obrigkeit entgegenkam. Man entwickelte eine ethisch angehauchte Erziehung</w:t>
      </w:r>
      <w:r>
        <w:t>s</w:t>
      </w:r>
      <w:r>
        <w:t>theorie, „die den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auch zum Nutzen der angestammten Bevölk</w:t>
      </w:r>
      <w:r>
        <w:t>e</w:t>
      </w:r>
      <w:r>
        <w:t>rung erscheinen lässt.“</w:t>
      </w:r>
      <w:r>
        <w:rPr>
          <w:rStyle w:val="Funotenzeichen"/>
        </w:rPr>
        <w:footnoteReference w:id="118"/>
      </w:r>
      <w:r>
        <w:t xml:space="preserve"> So vermied man den Konflikt mit der Kolonialregi</w:t>
      </w:r>
      <w:r>
        <w:t>e</w:t>
      </w:r>
      <w:r>
        <w:t>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sicherte sich deren Gelder und konnte sich zugleich sagen, im Interesse der eigenen Gemeindemitglieder – in ihrer großen Mehrheit Eingeborene – zu ha</w:t>
      </w:r>
      <w:r>
        <w:t>n</w:t>
      </w:r>
      <w:r>
        <w:t>deln.</w:t>
      </w:r>
    </w:p>
    <w:p w:rsidR="00CF6655" w:rsidRDefault="00CF6655" w:rsidP="00CF6655">
      <w:pPr>
        <w:pStyle w:val="Text"/>
      </w:pPr>
      <w:r>
        <w:t>Vor diesem Hintergrund sind die Beobachtungen Spieckers zu verstehen, die Schlaglichter auf die tatsächlichen Zustände für die Kinder – jenseits aller Zielvorgaben und ideologischen Differenzen der über sie Bestimmenden – we</w:t>
      </w:r>
      <w:r>
        <w:t>r</w:t>
      </w:r>
      <w:r>
        <w:t>fen:</w:t>
      </w:r>
    </w:p>
    <w:p w:rsidR="00CF6655" w:rsidRDefault="00CF6655" w:rsidP="00CF6655">
      <w:pPr>
        <w:pStyle w:val="Text"/>
      </w:pPr>
      <w:r>
        <w:t>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dem Sitz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ist die Schule sehr unzure</w:t>
      </w:r>
      <w:r>
        <w:t>i</w:t>
      </w:r>
      <w:r>
        <w:t>chend: 350 Kinder werden dort auf einmal in einem früheren Pferdestall unte</w:t>
      </w:r>
      <w:r>
        <w:t>r</w:t>
      </w:r>
      <w:r>
        <w:t>richtet. „Die Luft war zum Ersticken.“ (533) Eine neue Schule in Windhuk soll durch die Gemeinde finanziert werden, die Missionsgesellschaft will das Geld vorstrecken (800). Auch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findet der Unterricht in einem einzigen Raum statt – in der Kirche. (844) Der alte Lehrer, unter dem die Schule „sehr g</w:t>
      </w:r>
      <w:r>
        <w:t>e</w:t>
      </w:r>
      <w:r>
        <w:t>litten“ habe, wurde zwei Monate zuvor wegen Trunkenheit abgesetzt.</w:t>
      </w:r>
    </w:p>
    <w:p w:rsidR="00CF6655" w:rsidRDefault="00CF6655" w:rsidP="009029D5">
      <w:pPr>
        <w:pStyle w:val="Text"/>
        <w:spacing w:after="240"/>
      </w:pPr>
      <w:r>
        <w:t>In den Schulen werden in der Regel nur wenige Fächer unterrichtet: Lesen, Schreiben, teilweise Rechnen, biblische Geschichte und Gesang. (1149) Fast überall singen die Kinder gern und gut; ansonsten sind die Kenntnisse mal im e</w:t>
      </w:r>
      <w:r>
        <w:t>i</w:t>
      </w:r>
      <w:r>
        <w:t xml:space="preserve">nen, mal im anderen Fach besser. Das hängt wohl auch von den pädagogischen Fähigkeiten der jeweiligen Lehrer ab. In </w:t>
      </w:r>
      <w:r w:rsidR="00B733FE">
        <w:t xml:space="preserve">den meisten </w:t>
      </w:r>
      <w:r>
        <w:t>Schulen unterrichten ei</w:t>
      </w:r>
      <w:r>
        <w:t>n</w:t>
      </w:r>
      <w:r>
        <w:t xml:space="preserve">geborene Lehrer, in </w:t>
      </w:r>
      <w:r w:rsidR="00B733FE">
        <w:t xml:space="preserve">einigen </w:t>
      </w:r>
      <w:r>
        <w:t>deutsche</w:t>
      </w:r>
      <w:r w:rsidR="00B733FE">
        <w:t>;</w:t>
      </w:r>
      <w:r>
        <w:t xml:space="preserve"> </w:t>
      </w:r>
      <w:r w:rsidR="00B733FE">
        <w:t>t</w:t>
      </w:r>
      <w:r>
        <w:t>eilweise unterrichten die Missionare auch selbst. Ein Hauptproblem der Schulen besteht darin, dass sich immer nur wenige aktiv beteiligen, was auch an den großen Schülerzahlen und der nicht ausre</w:t>
      </w:r>
      <w:r>
        <w:t>i</w:t>
      </w:r>
      <w:r>
        <w:lastRenderedPageBreak/>
        <w:t>chenden Altersdifferenzierung liegt (687). Dazu kommt die fehlende Ausbi</w:t>
      </w:r>
      <w:r>
        <w:t>l</w:t>
      </w:r>
      <w:r>
        <w:t>dung der eingesetzten einheimischen Lehrer, die nur durch die Assistenz beim Missionar Unterrichten gelernt haben; nach Spieckers Urteil „fehlt den meisten jedes Lehrgeschick“ (686). Nur gesungen</w:t>
      </w:r>
      <w:r w:rsidR="001A263B">
        <w:t xml:space="preserve"> wird überall mit Begeisterung.</w:t>
      </w:r>
    </w:p>
    <w:p w:rsidR="009029D5" w:rsidRDefault="002609F3" w:rsidP="009029D5">
      <w:pPr>
        <w:pStyle w:val="Text"/>
        <w:ind w:firstLine="0"/>
      </w:pPr>
      <w:r>
        <w:rPr>
          <w:noProof/>
        </w:rPr>
        <w:drawing>
          <wp:inline distT="0" distB="0" distL="0" distR="0">
            <wp:extent cx="4320540" cy="2938633"/>
            <wp:effectExtent l="19050" t="0" r="3810" b="0"/>
            <wp:docPr id="12" name="Abb6.jpg" descr="C:\Users\Martin\Docs\Publikationen\Sprache, Glaube und Macht\Johannes Spiecker in Deutsch-Südwestafrika\A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6.jpg"/>
                    <pic:cNvPicPr/>
                  </pic:nvPicPr>
                  <pic:blipFill>
                    <a:blip r:embed="rId20" cstate="print">
                      <a:lum bright="4000" contrast="4000"/>
                    </a:blip>
                    <a:stretch>
                      <a:fillRect/>
                    </a:stretch>
                  </pic:blipFill>
                  <pic:spPr>
                    <a:xfrm>
                      <a:off x="0" y="0"/>
                      <a:ext cx="4320540" cy="2938633"/>
                    </a:xfrm>
                    <a:prstGeom prst="rect">
                      <a:avLst/>
                    </a:prstGeom>
                  </pic:spPr>
                </pic:pic>
              </a:graphicData>
            </a:graphic>
          </wp:inline>
        </w:drawing>
      </w:r>
    </w:p>
    <w:p w:rsidR="009029D5" w:rsidRDefault="009029D5" w:rsidP="009029D5">
      <w:pPr>
        <w:pStyle w:val="Beschriftung"/>
      </w:pPr>
      <w:bookmarkStart w:id="183" w:name="_Toc327393038"/>
      <w:r w:rsidRPr="004C3839">
        <w:rPr>
          <w:b/>
        </w:rPr>
        <w:t xml:space="preserve">Abb. </w:t>
      </w:r>
      <w:r w:rsidR="00E66CE9">
        <w:rPr>
          <w:b/>
        </w:rPr>
        <w:t>6</w:t>
      </w:r>
      <w:r>
        <w:tab/>
        <w:t>Inspektor Johannes Spiecker auf seinem Ochsenwagen</w:t>
      </w:r>
      <w:bookmarkEnd w:id="183"/>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9029D5">
      <w:pPr>
        <w:pStyle w:val="Text"/>
        <w:ind w:firstLine="0"/>
      </w:pPr>
      <w:r>
        <w:t>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xml:space="preserve"> urteilt Spiecker: „Die Schule leidet auch darunter, daß sie ei</w:t>
      </w:r>
      <w:r>
        <w:t>n</w:t>
      </w:r>
      <w:r>
        <w:t>klassig ist und der Lehrer es nicht versteht mehrere Klassen, ja mehrere Kinder gleichzeitig recht zu beschäftigen. Auch gebrauchte er mir zu viel den Scha</w:t>
      </w:r>
      <w:r>
        <w:t>m</w:t>
      </w:r>
      <w:r>
        <w:t>bock (die Peitsche). Br.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xml:space="preserve"> meinte, das muß sein, die Kinder sind von zu Ha</w:t>
      </w:r>
      <w:r>
        <w:t>u</w:t>
      </w:r>
      <w:r>
        <w:t>se daran gewöhnt.“ (739)</w:t>
      </w:r>
    </w:p>
    <w:p w:rsidR="00CF6655" w:rsidRDefault="00CF6655" w:rsidP="00CF6655">
      <w:pPr>
        <w:pStyle w:val="Text"/>
      </w:pPr>
      <w:r>
        <w:t>Es gibt Überlegungen, den Schulzwang einzuführen. Das hätte wohl für die Kinder große Vorteile, da sie oft von ihren Eltern zum Arbeiten zu Hause beha</w:t>
      </w:r>
      <w:r>
        <w:t>l</w:t>
      </w:r>
      <w:r>
        <w:t>ten werden; fast alle Schulen, die Spiecker besucht, leiden erheblich unter der hohen Fehlquote. Dass es auf beiden Seiten (Kolonialverwaltung und Mission) andere Interessen zu wahren gilt, zeigt eine Unterredung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„Major Märker</w:t>
      </w:r>
      <w:r w:rsidR="00363C1C">
        <w:fldChar w:fldCharType="begin"/>
      </w:r>
      <w:r w:rsidR="00E2128C">
        <w:instrText xml:space="preserve"> XE "</w:instrText>
      </w:r>
      <w:r w:rsidR="00E2128C" w:rsidRPr="007605EC">
        <w:instrText>Märker, Major (Windhuk)</w:instrText>
      </w:r>
      <w:r w:rsidR="00E2128C">
        <w:instrText xml:space="preserve">" </w:instrText>
      </w:r>
      <w:r w:rsidR="00363C1C">
        <w:fldChar w:fldCharType="end"/>
      </w:r>
      <w:r>
        <w:t xml:space="preserve"> klagte gestern über das wilde Umhertreiben der eingeborenen Jugend in den Kasernen etc. und sprach von Zwangserziehung. In dem Fall würde die Hälfte der Kathol. Mission überwiesen werden. Ich bat deshalb lieber Schu</w:t>
      </w:r>
      <w:r>
        <w:t>l</w:t>
      </w:r>
      <w:r>
        <w:t>zwang einzuführen. Dann würden wir freilich des Raumes wegen in große Not kommen. In unserer Schule hier sind keine Bänke, nur die kahlen Wände. Die Kinder sitzen dicht auf einander auf der Erde.“ (806f)</w:t>
      </w:r>
    </w:p>
    <w:p w:rsidR="00CF6655" w:rsidRDefault="00CF6655" w:rsidP="00CF6655">
      <w:pPr>
        <w:pStyle w:val="Text"/>
      </w:pPr>
      <w:r>
        <w:lastRenderedPageBreak/>
        <w:t>Der Lehrer Rawe</w:t>
      </w:r>
      <w:r w:rsidR="00363C1C">
        <w:fldChar w:fldCharType="begin"/>
      </w:r>
      <w:r w:rsidR="00CF09BB">
        <w:instrText xml:space="preserve"> XE "</w:instrText>
      </w:r>
      <w:r w:rsidR="00CF09BB" w:rsidRPr="00AE0476">
        <w:instrText>Rawe (Lehrer in Windhuk)</w:instrText>
      </w:r>
      <w:r w:rsidR="00CF09BB">
        <w:instrText xml:space="preserve">" </w:instrText>
      </w:r>
      <w:r w:rsidR="00363C1C">
        <w:fldChar w:fldCharType="end"/>
      </w:r>
      <w:r>
        <w:t xml:space="preserve"> (Schwiegersohn von Br. Judt</w:t>
      </w:r>
      <w:r w:rsidR="00363C1C">
        <w:fldChar w:fldCharType="begin"/>
      </w:r>
      <w:r w:rsidR="00CF09BB">
        <w:instrText xml:space="preserve"> XE "</w:instrText>
      </w:r>
      <w:r w:rsidR="00CF09BB" w:rsidRPr="007A7FC1">
        <w:instrText>Judt, Br.</w:instrText>
      </w:r>
      <w:r w:rsidR="00CF09BB">
        <w:instrText xml:space="preserve">" </w:instrText>
      </w:r>
      <w:r w:rsidR="00363C1C">
        <w:fldChar w:fldCharType="end"/>
      </w:r>
      <w:r>
        <w:t>)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erteilt den Ju</w:t>
      </w:r>
      <w:r>
        <w:t>n</w:t>
      </w:r>
      <w:r>
        <w:t>gen „Handfertigkeitsunterricht“, offenbar mit großem Erfolg. Spiecker em</w:t>
      </w:r>
      <w:r>
        <w:t>p</w:t>
      </w:r>
      <w:r>
        <w:t>fiehlt, dass Missionare in Deutschland Kurse zur Erteilung von Handfertigkeit</w:t>
      </w:r>
      <w:r>
        <w:t>s</w:t>
      </w:r>
      <w:r>
        <w:t>unterricht besuchen sollten. „Allgemein wünscht man ja, daß wir die Farbigen mehr zur Arbeit und für's praktische Leben erziehen und sie Handwerke lehren. Das würde durch Erteilen von Handfertigkeitsunterricht bis zu gewissem Grade am besten erreicht.“ (822)</w:t>
      </w:r>
    </w:p>
    <w:p w:rsidR="00CF6655" w:rsidRDefault="00CF6655" w:rsidP="00CF6655">
      <w:pPr>
        <w:pStyle w:val="Text"/>
      </w:pPr>
      <w:r>
        <w:t>In der Missionsschule</w:t>
      </w:r>
      <w:r w:rsidR="00363C1C">
        <w:fldChar w:fldCharType="begin"/>
      </w:r>
      <w:r w:rsidR="00BB08A9">
        <w:instrText xml:space="preserve"> XE "</w:instrText>
      </w:r>
      <w:r w:rsidR="00BB08A9" w:rsidRPr="00C0581F">
        <w:instrText>Missionsschule</w:instrText>
      </w:r>
      <w:r w:rsidR="00BB08A9">
        <w:instrText xml:space="preserve">" </w:instrText>
      </w:r>
      <w:r w:rsidR="00363C1C">
        <w:fldChar w:fldCharType="end"/>
      </w:r>
      <w:r>
        <w:t xml:space="preserve"> von Namakunde</w:t>
      </w:r>
      <w:r w:rsidR="00363C1C">
        <w:fldChar w:fldCharType="begin"/>
      </w:r>
      <w:r w:rsidR="00C05598">
        <w:instrText xml:space="preserve"> XE "</w:instrText>
      </w:r>
      <w:r w:rsidR="00C05598" w:rsidRPr="00C17333">
        <w:instrText>Namakunde</w:instrText>
      </w:r>
      <w:r w:rsidR="00C05598">
        <w:instrText xml:space="preserve">" </w:instrText>
      </w:r>
      <w:r w:rsidR="00363C1C">
        <w:fldChar w:fldCharType="end"/>
      </w:r>
      <w:r>
        <w:t xml:space="preserve"> am äußersten nördlichen Rand des Ambolands lernen Kinder und Erwachsene in der Landessprache Oshikuanjam</w:t>
      </w:r>
      <w:r w:rsidR="00363C1C">
        <w:fldChar w:fldCharType="begin"/>
      </w:r>
      <w:r w:rsidR="00C40893">
        <w:instrText xml:space="preserve"> XE "</w:instrText>
      </w:r>
      <w:r w:rsidR="00C40893" w:rsidRPr="00D85E67">
        <w:instrText>Oshikuanjama (Sprache)</w:instrText>
      </w:r>
      <w:r w:rsidR="00C40893">
        <w:instrText xml:space="preserve">" </w:instrText>
      </w:r>
      <w:r w:rsidR="00363C1C">
        <w:fldChar w:fldCharType="end"/>
      </w:r>
      <w:r w:rsidR="00C40893">
        <w:t>a (</w:t>
      </w:r>
      <w:r>
        <w:t>1099)</w:t>
      </w:r>
      <w:r w:rsidR="00C40893">
        <w:t>, einem Bantu-Dialekt</w:t>
      </w:r>
      <w:r>
        <w:t>.</w:t>
      </w:r>
      <w:r w:rsidR="00C40893">
        <w:rPr>
          <w:rStyle w:val="Funotenzeichen"/>
        </w:rPr>
        <w:footnoteReference w:id="119"/>
      </w:r>
      <w:r>
        <w:t xml:space="preserve"> Es gibt auch das von Bruder Rantauen</w:t>
      </w:r>
      <w:r w:rsidR="00363C1C">
        <w:fldChar w:fldCharType="begin"/>
      </w:r>
      <w:r w:rsidR="00C05598">
        <w:instrText xml:space="preserve"> XE "</w:instrText>
      </w:r>
      <w:r w:rsidR="00C05598" w:rsidRPr="001C6C3D">
        <w:instrText>Rantauen, Br.</w:instrText>
      </w:r>
      <w:r w:rsidR="00C05598">
        <w:instrText xml:space="preserve">" </w:instrText>
      </w:r>
      <w:r w:rsidR="00363C1C">
        <w:fldChar w:fldCharType="end"/>
      </w:r>
      <w:r>
        <w:t xml:space="preserve"> herausg</w:t>
      </w:r>
      <w:r>
        <w:t>e</w:t>
      </w:r>
      <w:r>
        <w:t>gebene Ondonga-Gesangbuch und Neue Testament (1076).</w:t>
      </w:r>
    </w:p>
    <w:p w:rsidR="00CF6655" w:rsidRDefault="00CF6655" w:rsidP="007308C9">
      <w:pPr>
        <w:pStyle w:val="Titel4"/>
      </w:pPr>
      <w:bookmarkStart w:id="184" w:name="_Toc130260704"/>
      <w:bookmarkStart w:id="185" w:name="_Ref325356893"/>
      <w:bookmarkStart w:id="186" w:name="_Toc327388004"/>
      <w:r>
        <w:t>Die Reform der Lehrerausbildung</w:t>
      </w:r>
      <w:bookmarkEnd w:id="184"/>
      <w:bookmarkEnd w:id="185"/>
      <w:bookmarkEnd w:id="186"/>
      <w:r w:rsidR="00363C1C">
        <w:fldChar w:fldCharType="begin"/>
      </w:r>
      <w:r w:rsidR="003264BA">
        <w:instrText xml:space="preserve"> XE "</w:instrText>
      </w:r>
      <w:r w:rsidR="003264BA" w:rsidRPr="0004575E">
        <w:instrText>Lehrerausbildung</w:instrText>
      </w:r>
      <w:r w:rsidR="003264BA">
        <w:instrText xml:space="preserve">" </w:instrText>
      </w:r>
      <w:r w:rsidR="00363C1C">
        <w:fldChar w:fldCharType="end"/>
      </w:r>
    </w:p>
    <w:p w:rsidR="00CF6655" w:rsidRDefault="00CF6655" w:rsidP="00BA7BB6">
      <w:pPr>
        <w:pStyle w:val="Text"/>
        <w:ind w:firstLine="0"/>
      </w:pPr>
      <w:r>
        <w:t>Interessant ist ein Blick auf die weitere Entwicklung der Lehrerausbildung</w:t>
      </w:r>
      <w:r w:rsidR="00363C1C">
        <w:fldChar w:fldCharType="begin"/>
      </w:r>
      <w:r w:rsidR="003264BA">
        <w:instrText xml:space="preserve"> XE "</w:instrText>
      </w:r>
      <w:r w:rsidR="003264BA" w:rsidRPr="0004575E">
        <w:instrText>Lehrerausbildung</w:instrText>
      </w:r>
      <w:r w:rsidR="003264BA">
        <w:instrText xml:space="preserve">" </w:instrText>
      </w:r>
      <w:r w:rsidR="00363C1C">
        <w:fldChar w:fldCharType="end"/>
      </w:r>
      <w:r>
        <w:t>. 1911 wurde in Gaub</w:t>
      </w:r>
      <w:r w:rsidR="00363C1C">
        <w:fldChar w:fldCharType="begin"/>
      </w:r>
      <w:r w:rsidR="00FD439D">
        <w:instrText xml:space="preserve"> XE "</w:instrText>
      </w:r>
      <w:r w:rsidR="00FD439D" w:rsidRPr="0045100C">
        <w:rPr>
          <w:lang w:val="it-IT"/>
        </w:rPr>
        <w:instrText>Gaub</w:instrText>
      </w:r>
      <w:r w:rsidR="00FD439D">
        <w:instrText xml:space="preserve">" </w:instrText>
      </w:r>
      <w:r w:rsidR="00363C1C">
        <w:fldChar w:fldCharType="end"/>
      </w:r>
      <w:r>
        <w:t xml:space="preserve"> ein neues Seminar für die Ausbildung von Lehrern und Evang</w:t>
      </w:r>
      <w:r>
        <w:t>e</w:t>
      </w:r>
      <w:r>
        <w:t>listen eröffnet. Diese Neuerung dürfte mit dem schlechten Eindruck, den Spi</w:t>
      </w:r>
      <w:r>
        <w:t>e</w:t>
      </w:r>
      <w:r>
        <w:t>cker auf seiner Inspektionsreise gewonnen hat, in Zusammenhang zu bringen sein. Hier ergibt sich eine gewisse Diskrepanz zum Visitationsbericht von 1907, wo es beispielsweise heißt: „Unsere bisherigen Gehilfen leiden bei aller Tüchti</w:t>
      </w:r>
      <w:r>
        <w:t>g</w:t>
      </w:r>
      <w:r>
        <w:t>keit, Treue und Brauchbarkeit doch fast ohne Ausnahme an einem gewissen Hang zur Selbstüberschätzung und zum Hochmut.“</w:t>
      </w:r>
      <w:r>
        <w:rPr>
          <w:rStyle w:val="Funotenzeichen"/>
        </w:rPr>
        <w:footnoteReference w:id="120"/>
      </w:r>
    </w:p>
    <w:p w:rsidR="00CF6655" w:rsidRDefault="00CF6655" w:rsidP="00CF6655">
      <w:pPr>
        <w:pStyle w:val="Text"/>
      </w:pPr>
      <w:r>
        <w:t>Wie die im letzten Abschnitt zitierten Passagen zeigen, die durchaus repr</w:t>
      </w:r>
      <w:r>
        <w:t>ä</w:t>
      </w:r>
      <w:r>
        <w:t>sentativ sind, spricht das Tagebuch hier eine etwas andere Sprache: Die ma</w:t>
      </w:r>
      <w:r>
        <w:t>n</w:t>
      </w:r>
      <w:r>
        <w:t>gelnde Lehrqualifikation steht im Vordergrund von Spieckers Kritik, die auf zahlreichen Unterrichtsvisitationen beruht, bei denen Spiecker selbst die For</w:t>
      </w:r>
      <w:r>
        <w:t>t</w:t>
      </w:r>
      <w:r>
        <w:t>schritte der Kinder überprüft. Der aus dem Visitationsbericht entstehende Ei</w:t>
      </w:r>
      <w:r>
        <w:t>n</w:t>
      </w:r>
      <w:r>
        <w:t xml:space="preserve">druck, Spieckers Kritik an den einheimischen Lehrern sei vor allem auf deren Selbstbewusstsein </w:t>
      </w:r>
      <w:r w:rsidR="002855CD">
        <w:t xml:space="preserve">und charakterliche Mängel </w:t>
      </w:r>
      <w:r>
        <w:t xml:space="preserve">zurückzuführen, </w:t>
      </w:r>
      <w:r w:rsidR="008E2372">
        <w:t xml:space="preserve">wird im Tagebuch nicht </w:t>
      </w:r>
      <w:r w:rsidR="002855CD">
        <w:t>bestätigt</w:t>
      </w:r>
      <w:r>
        <w:t>.</w:t>
      </w:r>
    </w:p>
    <w:p w:rsidR="00CF6655" w:rsidRDefault="00CF6655" w:rsidP="00CF6655">
      <w:pPr>
        <w:pStyle w:val="Text"/>
      </w:pPr>
      <w:r>
        <w:t xml:space="preserve">Sicher hat Spiecker die beschriebene „Selbstüberschätzung“ tatsächlich </w:t>
      </w:r>
      <w:r w:rsidR="00AE4CA5">
        <w:t xml:space="preserve">so </w:t>
      </w:r>
      <w:r>
        <w:t xml:space="preserve">empfunden; aber warum stellt er sie im Visitationsbericht in den Vordergrund? </w:t>
      </w:r>
      <w:r w:rsidR="001121EA">
        <w:t xml:space="preserve">Es kann vermutet </w:t>
      </w:r>
      <w:r>
        <w:t>werden, dass er für den Visitationsbericht gerade den Kriti</w:t>
      </w:r>
      <w:r>
        <w:t>k</w:t>
      </w:r>
      <w:r>
        <w:lastRenderedPageBreak/>
        <w:t>punkt auswählte, de</w:t>
      </w:r>
      <w:r w:rsidR="00682F99">
        <w:t>r</w:t>
      </w:r>
      <w:r>
        <w:t xml:space="preserve"> </w:t>
      </w:r>
      <w:r w:rsidR="00682F99">
        <w:t>einem breiteren</w:t>
      </w:r>
      <w:r>
        <w:t xml:space="preserve"> Publikum in Deutschland </w:t>
      </w:r>
      <w:r w:rsidR="00682F99">
        <w:t>einleuchten konnte</w:t>
      </w:r>
      <w:r>
        <w:t>; möglicherweise unbewusst</w:t>
      </w:r>
      <w:r w:rsidR="00682F99">
        <w:t xml:space="preserve"> stellte er den Hinweis auf „gedankenloses</w:t>
      </w:r>
      <w:r>
        <w:t xml:space="preserve"> und geisttötendes Schulehalten“ (1001)</w:t>
      </w:r>
      <w:r w:rsidR="00682F99">
        <w:t>, also systemische Mängel der Mission</w:t>
      </w:r>
      <w:r w:rsidR="00682F99">
        <w:t>s</w:t>
      </w:r>
      <w:r w:rsidR="00682F99">
        <w:t>schulen,</w:t>
      </w:r>
      <w:r>
        <w:t xml:space="preserve"> </w:t>
      </w:r>
      <w:r w:rsidR="00682F99">
        <w:t xml:space="preserve">zurück und betonte lieber „Selbstüberschätzung“ und </w:t>
      </w:r>
      <w:r>
        <w:t xml:space="preserve">„Hochmut“ der </w:t>
      </w:r>
      <w:r w:rsidR="00B733FE">
        <w:t xml:space="preserve">„Gehilfen“, also der </w:t>
      </w:r>
      <w:r w:rsidR="00682F99">
        <w:t xml:space="preserve">einheimischen </w:t>
      </w:r>
      <w:r>
        <w:t>Leh</w:t>
      </w:r>
      <w:r w:rsidR="00682F99">
        <w:t>rer – ein pauschales und abwertendes U</w:t>
      </w:r>
      <w:r w:rsidR="00682F99">
        <w:t>r</w:t>
      </w:r>
      <w:r w:rsidR="00682F99">
        <w:t>teil, das er so niemals über deutsche Lehrer hätte aussprechen können.</w:t>
      </w:r>
    </w:p>
    <w:p w:rsidR="00CF6655" w:rsidRDefault="00CF6655" w:rsidP="00BA7BB6">
      <w:pPr>
        <w:pStyle w:val="Titel3"/>
      </w:pPr>
      <w:bookmarkStart w:id="187" w:name="_Toc130260705"/>
      <w:bookmarkStart w:id="188" w:name="_Ref325354823"/>
      <w:bookmarkStart w:id="189" w:name="_Ref325355858"/>
      <w:bookmarkStart w:id="190" w:name="_Toc327388005"/>
      <w:r>
        <w:t>Mission und Ideologie</w:t>
      </w:r>
      <w:bookmarkEnd w:id="187"/>
      <w:bookmarkEnd w:id="188"/>
      <w:bookmarkEnd w:id="189"/>
      <w:bookmarkEnd w:id="190"/>
    </w:p>
    <w:p w:rsidR="00CF6655" w:rsidRDefault="00CF6655" w:rsidP="00BA7BB6">
      <w:pPr>
        <w:pStyle w:val="Text"/>
        <w:ind w:firstLine="0"/>
      </w:pPr>
      <w:r>
        <w:t>Neben den religiös erklärbaren vertrat die Mission auch eine Reihe von durchaus ideologischen Positionen. Während die Entscheidung für den christlichen Gla</w:t>
      </w:r>
      <w:r>
        <w:t>u</w:t>
      </w:r>
      <w:r>
        <w:t>ben – obwohl auch diese indirekt vielen sozialen Zwängen unterworfen war – wenigstens noch als solche markiert wurde, beschränkte sich die Rolle der Mi</w:t>
      </w:r>
      <w:r>
        <w:t>s</w:t>
      </w:r>
      <w:r>
        <w:t>sion als ideologischer Kraft auf reine Indoktrination. Zwei wichtige Beispiele so</w:t>
      </w:r>
      <w:r>
        <w:t>l</w:t>
      </w:r>
      <w:r>
        <w:t>len hier anhand des Tagebuchs erläutert werden: Die Propagierung der Sessha</w:t>
      </w:r>
      <w:r>
        <w:t>f</w:t>
      </w:r>
      <w:r>
        <w:t>tigkeit als fortschrittlicher Lebensweise und die Erziehung der Eingeborenen zur Arbeit, die auch eine weitgehende Unterstützung der Zwangsarbeit</w:t>
      </w:r>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r>
        <w:t xml:space="preserve"> einschloss.</w:t>
      </w:r>
    </w:p>
    <w:p w:rsidR="00CF6655" w:rsidRDefault="00D11472" w:rsidP="007308C9">
      <w:pPr>
        <w:pStyle w:val="Titel4"/>
      </w:pPr>
      <w:bookmarkStart w:id="191" w:name="_Toc130260706"/>
      <w:bookmarkStart w:id="192" w:name="_Ref325355628"/>
      <w:bookmarkStart w:id="193" w:name="_Ref325356767"/>
      <w:bookmarkStart w:id="194" w:name="_Ref327290794"/>
      <w:bookmarkStart w:id="195" w:name="_Toc327388006"/>
      <w:r>
        <w:t xml:space="preserve">Die </w:t>
      </w:r>
      <w:r w:rsidR="00CF6655">
        <w:t>Religion der Sesshaften</w:t>
      </w:r>
      <w:bookmarkEnd w:id="191"/>
      <w:bookmarkEnd w:id="192"/>
      <w:bookmarkEnd w:id="193"/>
      <w:bookmarkEnd w:id="194"/>
      <w:bookmarkEnd w:id="195"/>
    </w:p>
    <w:p w:rsidR="00CF6655" w:rsidRDefault="00CF6655" w:rsidP="00BA7BB6">
      <w:pPr>
        <w:pStyle w:val="Text"/>
        <w:ind w:firstLine="0"/>
      </w:pPr>
      <w:r>
        <w:t>Die Rheinische Mission machte es sich zum Prinzip, bei der Bildung christlicher Gemeinden feste Missionsstationen zu gründen. Diejenigen, die sich zum Chri</w:t>
      </w:r>
      <w:r>
        <w:t>s</w:t>
      </w:r>
      <w:r>
        <w:t>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bekehrten, sollten sich um die Stationen herum ansiedeln; damit sollten zugleich die Stämme insgesamt zur Sesshaftigkeit erzogen werden, die man als Vorbedingung einer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Zivilisierung und stabilen weltlichen O</w:t>
      </w:r>
      <w:r>
        <w:t>r</w:t>
      </w:r>
      <w:r>
        <w:t>ganisation ansah. Lothar Engel beschreibt daher das Christentum als „Religion der Sesshaften“.</w:t>
      </w:r>
      <w:r>
        <w:rPr>
          <w:rStyle w:val="Funotenzeichen"/>
        </w:rPr>
        <w:footnoteReference w:id="121"/>
      </w:r>
      <w:r>
        <w:t xml:space="preserve"> Horst Gründer erläutert:</w:t>
      </w:r>
    </w:p>
    <w:p w:rsidR="00CF6655" w:rsidRDefault="00CF6655" w:rsidP="00CF6655">
      <w:pPr>
        <w:pStyle w:val="Zitat"/>
      </w:pPr>
      <w:r>
        <w:t>„Politisches“ Ziel der Mission war es zunächst einmal, zur Verwirklichung e</w:t>
      </w:r>
      <w:r>
        <w:t>i</w:t>
      </w:r>
      <w:r>
        <w:t>nes allgemeinen Landfriedens einen befriedenden Einfluß auf die Bevölkerung auszuüben, die sich in einem permanenten Kriegszustand, namentlich zwischen den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und Orlamstämmen auf der einen und den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-Stämmen auf der anderen Seite, befand. Aus diesem Grunde sollten die viehtreibenden n</w:t>
      </w:r>
      <w:r>
        <w:t>o</w:t>
      </w:r>
      <w:r>
        <w:t>madisierenden Eingeborenen auf der Basis ihrer Stämme möglichst innerhalb von Stationen angesiedelt und zu Ackerbauern […] „umerzogen“ werden. Im Jahre 1848 führte der Missionar S. Hahn den Pflug im Namaland ein.</w:t>
      </w:r>
      <w:r>
        <w:rPr>
          <w:rStyle w:val="Funotenzeichen"/>
        </w:rPr>
        <w:footnoteReference w:id="122"/>
      </w:r>
    </w:p>
    <w:p w:rsidR="00CF6655" w:rsidRDefault="00CF6655" w:rsidP="00BA7BB6">
      <w:pPr>
        <w:pStyle w:val="Text"/>
        <w:ind w:firstLine="0"/>
      </w:pPr>
      <w:r>
        <w:t>Doch die feste Ansiedlung der Stämme an den Missionsplätzen hatte ihre Nac</w:t>
      </w:r>
      <w:r>
        <w:t>h</w:t>
      </w:r>
      <w:r>
        <w:t>teile. Insbesondere berücksichtigte man die klimatischen Bedingungen nicht au</w:t>
      </w:r>
      <w:r>
        <w:t>s</w:t>
      </w:r>
      <w:r>
        <w:t>reichend, wusste manchmal vielleicht auch nicht genügend darüber, um beurte</w:t>
      </w:r>
      <w:r>
        <w:t>i</w:t>
      </w:r>
      <w:r>
        <w:lastRenderedPageBreak/>
        <w:t>len zu können, ob ein Stück Land für einen so grundsätzlichen Wechsel der Nutzungsweise überhaupt geeignet ist.</w:t>
      </w:r>
    </w:p>
    <w:p w:rsidR="00CF6655" w:rsidRDefault="00CF6655" w:rsidP="00CF6655">
      <w:pPr>
        <w:pStyle w:val="Zitat"/>
      </w:pPr>
      <w:r>
        <w:t>Die Örtlichkeiten, an welchen ständige Niederlassungen […] eingerichtet we</w:t>
      </w:r>
      <w:r>
        <w:t>r</w:t>
      </w:r>
      <w:r>
        <w:t>den konnten, mußten aber […] an dergestalt vorteilhaften Stellen liegen, daß Wasser auch über lange Zeiträume zur Verfügung stand […]. Die einzigen Ste</w:t>
      </w:r>
      <w:r>
        <w:t>l</w:t>
      </w:r>
      <w:r>
        <w:t>len, die diese Voraussetzungen versprachen, lagen an den Oberläufen größerer Riviere</w:t>
      </w:r>
      <w:r w:rsidR="00363C1C">
        <w:fldChar w:fldCharType="begin"/>
      </w:r>
      <w:r w:rsidR="009058FB">
        <w:instrText xml:space="preserve"> XE "</w:instrText>
      </w:r>
      <w:r w:rsidR="009058FB" w:rsidRPr="00286ED5">
        <w:instrText>Rivier</w:instrText>
      </w:r>
      <w:r w:rsidR="009058FB">
        <w:instrText xml:space="preserve">" </w:instrText>
      </w:r>
      <w:r w:rsidR="00363C1C">
        <w:fldChar w:fldCharType="end"/>
      </w:r>
      <w:r>
        <w:t>. Nach der Regenzeit</w:t>
      </w:r>
      <w:r w:rsidR="00363C1C">
        <w:fldChar w:fldCharType="begin"/>
      </w:r>
      <w:r w:rsidR="00A72472">
        <w:instrText xml:space="preserve"> XE "</w:instrText>
      </w:r>
      <w:r w:rsidR="00A72472" w:rsidRPr="00C537E8">
        <w:instrText>Regenzeit</w:instrText>
      </w:r>
      <w:r w:rsidR="00A72472">
        <w:instrText xml:space="preserve">" </w:instrText>
      </w:r>
      <w:r w:rsidR="00363C1C">
        <w:fldChar w:fldCharType="end"/>
      </w:r>
      <w:r>
        <w:t>, wenn die Hauptströme der Flut abgelaufen sind, bleiben Altwasser liegen – sogenannte Wleys</w:t>
      </w:r>
      <w:r w:rsidR="009058FB">
        <w:rPr>
          <w:rStyle w:val="Funotenzeichen"/>
        </w:rPr>
        <w:footnoteReference w:id="123"/>
      </w:r>
      <w:r>
        <w:t xml:space="preserve"> – und im Flußbett hält sich z</w:t>
      </w:r>
      <w:r>
        <w:t>u</w:t>
      </w:r>
      <w:r>
        <w:t>dem die Feuchtigkeit länger als im übrigen Steppenboden. Alle Missionsstati</w:t>
      </w:r>
      <w:r>
        <w:t>o</w:t>
      </w:r>
      <w:r>
        <w:t>nen im Hereroland weisen dieses Charakteristikum auf […].</w:t>
      </w:r>
      <w:r>
        <w:rPr>
          <w:rStyle w:val="Funotenzeichen"/>
        </w:rPr>
        <w:footnoteReference w:id="124"/>
      </w:r>
    </w:p>
    <w:p w:rsidR="00CF6655" w:rsidRDefault="00CF6655" w:rsidP="00D37F1A">
      <w:pPr>
        <w:pStyle w:val="Text"/>
        <w:ind w:firstLine="0"/>
      </w:pPr>
      <w:r>
        <w:t>Doch der Preis für die</w:t>
      </w:r>
      <w:r w:rsidR="00AE4CA5">
        <w:t>se</w:t>
      </w:r>
      <w:r>
        <w:t xml:space="preserve"> Siedlungsweise war hoch: Das stehende Wasser war eine ideale Brutstätte für Krankheitserreger wie die Malaria</w:t>
      </w:r>
      <w:r w:rsidR="00363C1C">
        <w:fldChar w:fldCharType="begin"/>
      </w:r>
      <w:r w:rsidR="00790193">
        <w:instrText xml:space="preserve"> XE "</w:instrText>
      </w:r>
      <w:r w:rsidR="00790193" w:rsidRPr="00323CE4">
        <w:instrText>Malaria</w:instrText>
      </w:r>
      <w:r w:rsidR="00790193">
        <w:instrText xml:space="preserve">" </w:instrText>
      </w:r>
      <w:r w:rsidR="00363C1C">
        <w:fldChar w:fldCharType="end"/>
      </w:r>
      <w:r>
        <w:t>-Mücke und bewirkte ein ungesundes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wie Spiecker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selbst erfahren muss (s. A</w:t>
      </w:r>
      <w:r>
        <w:t>b</w:t>
      </w:r>
      <w:r>
        <w:t xml:space="preserve">schnitt </w:t>
      </w:r>
      <w:r w:rsidR="00363C1C">
        <w:fldChar w:fldCharType="begin"/>
      </w:r>
      <w:r w:rsidR="000A4CAD">
        <w:instrText xml:space="preserve"> REF _Ref325355394 \r \h </w:instrText>
      </w:r>
      <w:r w:rsidR="00363C1C">
        <w:fldChar w:fldCharType="separate"/>
      </w:r>
      <w:r w:rsidR="00216538">
        <w:t>1.2.2.1</w:t>
      </w:r>
      <w:r w:rsidR="00363C1C">
        <w:fldChar w:fldCharType="end"/>
      </w:r>
      <w:r>
        <w:t xml:space="preserve"> „Die Krankheit in Okombahe“). In den Flussbetten war auße</w:t>
      </w:r>
      <w:r>
        <w:t>r</w:t>
      </w:r>
      <w:r>
        <w:t>dem kein dauerhafter Landbau möglich, da sie sich gelegentlich zu reißenden Strömen verwandelten.</w:t>
      </w:r>
    </w:p>
    <w:p w:rsidR="00CF6655" w:rsidRDefault="00CF6655" w:rsidP="007308C9">
      <w:pPr>
        <w:pStyle w:val="Titel4"/>
      </w:pPr>
      <w:bookmarkStart w:id="196" w:name="_Toc122313669"/>
      <w:bookmarkStart w:id="197" w:name="_Toc122313757"/>
      <w:bookmarkStart w:id="198" w:name="_Toc130260707"/>
      <w:bookmarkStart w:id="199" w:name="_Ref325355799"/>
      <w:bookmarkStart w:id="200" w:name="_Ref325356141"/>
      <w:bookmarkStart w:id="201" w:name="_Ref325356250"/>
      <w:bookmarkStart w:id="202" w:name="_Ref325357642"/>
      <w:bookmarkStart w:id="203" w:name="_Toc327388007"/>
      <w:r>
        <w:t>Erziehung zur Arbeit</w:t>
      </w:r>
      <w:bookmarkEnd w:id="196"/>
      <w:bookmarkEnd w:id="197"/>
      <w:bookmarkEnd w:id="198"/>
      <w:bookmarkEnd w:id="199"/>
      <w:bookmarkEnd w:id="200"/>
      <w:bookmarkEnd w:id="201"/>
      <w:bookmarkEnd w:id="202"/>
      <w:bookmarkEnd w:id="203"/>
    </w:p>
    <w:p w:rsidR="00CF6655" w:rsidRDefault="00CF6655" w:rsidP="00D37F1A">
      <w:pPr>
        <w:pStyle w:val="Text"/>
        <w:ind w:firstLine="0"/>
      </w:pPr>
      <w:r>
        <w:t>Ein zentrales Konzept zur „Hebung“ der Eingeborenen ist die Umerziehung der Afrikaner im europäischen Sinn zu fleißigen Arbeitern. Genau wie in Deutsc</w:t>
      </w:r>
      <w:r>
        <w:t>h</w:t>
      </w:r>
      <w:r>
        <w:t>land macht man auch hier keinen Unterschied zwischen vielseitiger, geistig anr</w:t>
      </w:r>
      <w:r>
        <w:t>e</w:t>
      </w:r>
      <w:r>
        <w:t>gender Tätigkeit und eintöniger, körperlich harter Arbeit. Nur so lässt es sich erklären, dass ein human gesinnter Mann wie Spiecker jederzeit die harte Arbeit befürwortet, selbst wenn diese (wie beim Eisenbahnbau</w:t>
      </w:r>
      <w:r w:rsidR="00363C1C">
        <w:fldChar w:fldCharType="begin"/>
      </w:r>
      <w:r w:rsidR="00AE4CA5">
        <w:instrText xml:space="preserve"> XE "</w:instrText>
      </w:r>
      <w:r w:rsidR="00AE4CA5" w:rsidRPr="0036291F">
        <w:instrText>Eisenbahnbau</w:instrText>
      </w:r>
      <w:r w:rsidR="00AE4CA5">
        <w:instrText xml:space="preserve">" </w:instrText>
      </w:r>
      <w:r w:rsidR="00363C1C">
        <w:fldChar w:fldCharType="end"/>
      </w:r>
      <w:r>
        <w:t>) sich auf wohl 70 oder mehr Stunden in der Woche beläuft (952). Dass in den Gefangenenlagern am Sonntag gearbeitet werden muss, beunruhigt Spiecker auch nicht allzu sehr; er spricht von „hinreichend freie[r] Zeit“ (1287),</w:t>
      </w:r>
      <w:r>
        <w:rPr>
          <w:rStyle w:val="Funotenzeichen"/>
        </w:rPr>
        <w:footnoteReference w:id="125"/>
      </w:r>
      <w:r>
        <w:t xml:space="preserve"> obwohl er anerkennt, dass z</w:t>
      </w:r>
      <w:r>
        <w:t>u</w:t>
      </w:r>
      <w:r>
        <w:t>mindest in Einzelfällen auch Überarbeitung Ursache für die vielen Todesfälle ist (1311). Er ist selbst außerordentlich fleißig und gönnt sich wenig Ruhe. Dass körperliche Arbeit, vor allem in diesem Umfang, doch noch etwas anderes ist, wusste er genauso wenig wie viele andere zeitgenössische Advokaten der „A</w:t>
      </w:r>
      <w:r>
        <w:t>r</w:t>
      </w:r>
      <w:r>
        <w:t>beitsideologie“;</w:t>
      </w:r>
      <w:r>
        <w:rPr>
          <w:rStyle w:val="Funotenzeichen"/>
        </w:rPr>
        <w:footnoteReference w:id="126"/>
      </w:r>
      <w:r>
        <w:t xml:space="preserve"> sie hatten nie selbst körperliche Arbeit auf regelmäßiger Basis oder auch nur eintönige Haushaltsarbeit ausgeführt.</w:t>
      </w:r>
    </w:p>
    <w:p w:rsidR="00CF6655" w:rsidRDefault="00CF6655" w:rsidP="00CF6655">
      <w:pPr>
        <w:pStyle w:val="Text"/>
      </w:pPr>
      <w:r>
        <w:t>In der Schule in Walfishbay</w:t>
      </w:r>
      <w:r w:rsidR="00363C1C">
        <w:fldChar w:fldCharType="begin"/>
      </w:r>
      <w:r w:rsidR="00C05598">
        <w:instrText xml:space="preserve"> XE "</w:instrText>
      </w:r>
      <w:r w:rsidR="00C05598" w:rsidRPr="00C05598">
        <w:instrText>Walfishbay</w:instrText>
      </w:r>
      <w:r w:rsidR="00C05598">
        <w:instrText xml:space="preserve">" </w:instrText>
      </w:r>
      <w:r w:rsidR="00363C1C">
        <w:fldChar w:fldCharType="end"/>
      </w:r>
      <w:r>
        <w:t xml:space="preserve"> erarbeiten sich die Kinder den Unterricht:</w:t>
      </w:r>
    </w:p>
    <w:p w:rsidR="00CF6655" w:rsidRDefault="00CF6655" w:rsidP="00CF6655">
      <w:pPr>
        <w:pStyle w:val="Zitat"/>
      </w:pPr>
      <w:r>
        <w:lastRenderedPageBreak/>
        <w:t>Bruder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r>
        <w:t xml:space="preserve"> ließ sie [die Schulkinder] eine Stunde lang Sand schaufeln und wegtragen. Andere waren am Hämmern u.s.w. Es liegt dem Br.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r>
        <w:t xml:space="preserve"> sehr an die Leute zur Arbeit zu erziehen. Er sieht es hier immer vor Augen, daß M</w:t>
      </w:r>
      <w:r>
        <w:t>ü</w:t>
      </w:r>
      <w:r>
        <w:t>ßiggang aller Laster Anfang ist. So beginnt er schon bei den Kindern. Diese kommen zum Teil 2-3 Stunden weit zur Schule und oft mit leerem Magen. Br.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r>
        <w:t xml:space="preserve"> muß </w:t>
      </w:r>
      <w:proofErr w:type="gramStart"/>
      <w:r>
        <w:t>ihnen</w:t>
      </w:r>
      <w:proofErr w:type="gramEnd"/>
      <w:r>
        <w:t xml:space="preserve"> zu essen geben. Er hat aber das feste Prinzip nichts zu g</w:t>
      </w:r>
      <w:r>
        <w:t>e</w:t>
      </w:r>
      <w:r>
        <w:t>ben ohne Gegenleistung, da er sonst den so schädlichen Müßiggang befördern würde. (1332)</w:t>
      </w:r>
    </w:p>
    <w:p w:rsidR="00CF6655" w:rsidRDefault="00CF6655" w:rsidP="00D37F1A">
      <w:pPr>
        <w:pStyle w:val="Text"/>
        <w:ind w:firstLine="0"/>
      </w:pPr>
      <w:r>
        <w:t>Nach dem Unterricht und der anschließenden Arbeit bekommen die Kinder ihr Essen:</w:t>
      </w:r>
    </w:p>
    <w:p w:rsidR="00CF6655" w:rsidRDefault="00CF6655" w:rsidP="00CF6655">
      <w:pPr>
        <w:pStyle w:val="Zitat"/>
      </w:pPr>
      <w:r>
        <w:t>Um 1 Uhr wurden 2 große Kessel mit Maisbrei gebracht, den Bruder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r>
        <w:t xml:space="preserve"> austeilte. Jedes Kind bekam 2 Löffel in </w:t>
      </w:r>
      <w:proofErr w:type="gramStart"/>
      <w:r>
        <w:t>irgend ein</w:t>
      </w:r>
      <w:proofErr w:type="gramEnd"/>
      <w:r>
        <w:t xml:space="preserve"> Gefäß, meist eine Konse</w:t>
      </w:r>
      <w:r>
        <w:t>r</w:t>
      </w:r>
      <w:r>
        <w:t>venbüchse. (1332f)</w:t>
      </w:r>
    </w:p>
    <w:p w:rsidR="00CF6655" w:rsidRDefault="00CF6655" w:rsidP="00D37F1A">
      <w:pPr>
        <w:pStyle w:val="Text"/>
        <w:ind w:firstLine="0"/>
      </w:pPr>
      <w:r>
        <w:t>Die Methode ist effektiv:</w:t>
      </w:r>
    </w:p>
    <w:p w:rsidR="00CF6655" w:rsidRDefault="00CF6655" w:rsidP="00CF6655">
      <w:pPr>
        <w:pStyle w:val="Zitat"/>
      </w:pPr>
      <w:r>
        <w:t>Auf die Weise füttert Br. Schaible</w:t>
      </w:r>
      <w:r w:rsidR="00363C1C">
        <w:fldChar w:fldCharType="begin"/>
      </w:r>
      <w:r w:rsidR="00C05598">
        <w:instrText xml:space="preserve"> XE "</w:instrText>
      </w:r>
      <w:r w:rsidR="00C05598" w:rsidRPr="00C304F1">
        <w:instrText>Schaible, Geschw.</w:instrText>
      </w:r>
      <w:r w:rsidR="00C05598">
        <w:instrText xml:space="preserve">" </w:instrText>
      </w:r>
      <w:r w:rsidR="00363C1C">
        <w:fldChar w:fldCharType="end"/>
      </w:r>
      <w:r>
        <w:t xml:space="preserve"> mit 1 Sack Mais à 16 Mark</w:t>
      </w:r>
      <w:r>
        <w:rPr>
          <w:rStyle w:val="Funotenzeichen"/>
        </w:rPr>
        <w:footnoteReference w:id="127"/>
      </w:r>
      <w:r>
        <w:t xml:space="preserve"> 2-3 Monate lang 30-50 Kinder an den 5 Schultagen </w:t>
      </w:r>
      <w:proofErr w:type="gramStart"/>
      <w:r>
        <w:t>Mittags</w:t>
      </w:r>
      <w:proofErr w:type="gramEnd"/>
      <w:r>
        <w:t>. (1333)</w:t>
      </w:r>
    </w:p>
    <w:p w:rsidR="00CF6655" w:rsidRDefault="00CF6655" w:rsidP="00D37F1A">
      <w:pPr>
        <w:pStyle w:val="Text"/>
        <w:ind w:firstLine="0"/>
      </w:pPr>
      <w:r>
        <w:t>Die Arbeit, die die Kinder in der Zeit leisten, würde vermutlich mehr kosten.</w:t>
      </w:r>
    </w:p>
    <w:p w:rsidR="00CF6655" w:rsidRDefault="00CF6655" w:rsidP="00CF6655">
      <w:pPr>
        <w:pStyle w:val="Text"/>
      </w:pPr>
      <w:r>
        <w:t>Die Bekämpfung des Müßiggangs bei den Kindern gilt nicht, wie in Deutschland, einer innerhalb des etablierten wirtschaftlichen Systems une</w:t>
      </w:r>
      <w:r>
        <w:t>r</w:t>
      </w:r>
      <w:r>
        <w:t>wünschten Eigenschaft: Sie gehört hier zu einem durch die Kolonialisten betri</w:t>
      </w:r>
      <w:r>
        <w:t>e</w:t>
      </w:r>
      <w:r>
        <w:t>benen Systemwechsel, der im Übergang von einer nomadisch bestimmten zu e</w:t>
      </w:r>
      <w:r>
        <w:t>i</w:t>
      </w:r>
      <w:r>
        <w:t>ner sesshaften Lebensweise liegt. Gerade auch die Missionare, die die Entstehung von sesshaften Gemeinden nach europäischem Vorbild um ihre Missionsstati</w:t>
      </w:r>
      <w:r>
        <w:t>o</w:t>
      </w:r>
      <w:r>
        <w:t>nen förderten, trieben diese Entwicklung voran, die schließlich in den Gouvernementsbeschlüssen von 1907 zwangsweise festgeschrieben wurde.</w:t>
      </w:r>
      <w:r>
        <w:rPr>
          <w:rStyle w:val="Funotenzeichen"/>
        </w:rPr>
        <w:footnoteReference w:id="128"/>
      </w:r>
      <w:r>
        <w:t xml:space="preserve"> Die vorher auf Selbstversorgung und Subsistenz ausgerichtete Denkweise der nom</w:t>
      </w:r>
      <w:r>
        <w:t>a</w:t>
      </w:r>
      <w:r>
        <w:t>disch oder teilnomadisch lebenden Stämme sollte durch das monetär orientierte Denken sesshafter Spezialisten ersetzt werden, was notwendig eine erhebliche Steigerung der durchschnittlichen Arbeitszeit und außerdem deren disziplinierte und regelmäßige Ausübung verlangte.</w:t>
      </w:r>
    </w:p>
    <w:p w:rsidR="007F1FA7" w:rsidRDefault="00CF6655" w:rsidP="00CF6655">
      <w:pPr>
        <w:pStyle w:val="Text"/>
      </w:pPr>
      <w:r>
        <w:lastRenderedPageBreak/>
        <w:t xml:space="preserve">Bereits Johannes Spieckers Bruder </w:t>
      </w:r>
      <w:r w:rsidR="006A7F44">
        <w:t xml:space="preserve">Friedrich </w:t>
      </w:r>
      <w:r>
        <w:t>Albert Spiecker</w:t>
      </w:r>
      <w:r w:rsidR="00363C1C">
        <w:fldChar w:fldCharType="begin"/>
      </w:r>
      <w:r w:rsidR="006A7F44">
        <w:instrText xml:space="preserve"> XE "</w:instrText>
      </w:r>
      <w:r w:rsidR="006A7F44" w:rsidRPr="00BB1713">
        <w:instrText>Spiecker</w:instrText>
      </w:r>
      <w:r w:rsidR="0036732D">
        <w:instrText>, Friedrich Albert</w:instrText>
      </w:r>
      <w:r w:rsidR="006A7F44">
        <w:instrText xml:space="preserve">" </w:instrText>
      </w:r>
      <w:r w:rsidR="00363C1C">
        <w:fldChar w:fldCharType="end"/>
      </w:r>
      <w:r>
        <w:t xml:space="preserve"> hatte bei seiner Afrika-Reise 1885 mit Blick auf eine mögliche Rettung der kriselnden MHAG (Missions-Handels-Actien-Gesellschaft</w:t>
      </w:r>
      <w:r w:rsidR="00363C1C">
        <w:fldChar w:fldCharType="begin"/>
      </w:r>
      <w:r w:rsidR="0078232E">
        <w:instrText xml:space="preserve"> XE "</w:instrText>
      </w:r>
      <w:r w:rsidR="0078232E" w:rsidRPr="00EB3213">
        <w:instrText>Missions-Handels-Actien-Gesellschaft (MHAG)</w:instrText>
      </w:r>
      <w:r w:rsidR="0078232E">
        <w:instrText xml:space="preserve">" </w:instrText>
      </w:r>
      <w:r w:rsidR="00363C1C">
        <w:fldChar w:fldCharType="end"/>
      </w:r>
      <w:r>
        <w:t>) versucht,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zu einem anderen wirtschaftlichen Denken zu </w:t>
      </w:r>
      <w:r w:rsidR="007F1FA7">
        <w:t>bewegen. Kaiser schreibt dazu:</w:t>
      </w:r>
    </w:p>
    <w:p w:rsidR="00CF6655" w:rsidRDefault="00CF6655" w:rsidP="007F1FA7">
      <w:pPr>
        <w:pStyle w:val="Zitat"/>
      </w:pPr>
      <w:r>
        <w:t>Ihr reicher Viehbesitz machte [die Herero] im Gegensatz zu den eher von der Jagd lebenden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an sich wohlhabend […]. Allerdings setzten sie ihn nicht wirtschaftlich ein und betrachteten ihn nur als unveräußerliche Insignien ihres gesellschaftlichen Prestiges. </w:t>
      </w:r>
      <w:r w:rsidR="004048B8">
        <w:t xml:space="preserve">[Friedrich Albert] </w:t>
      </w:r>
      <w:r>
        <w:t>Spiecker hoffte, dies ändern zu können, und versuchte, einen geordneten Export von Herero-Schlachtvieh in die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hinein zu organisieren. Von den Gewinnen – so seine Rec</w:t>
      </w:r>
      <w:r>
        <w:t>h</w:t>
      </w:r>
      <w:r>
        <w:t>nung – würden nicht nur seine Gesellschaft, sondern auch die Herero profiti</w:t>
      </w:r>
      <w:r>
        <w:t>e</w:t>
      </w:r>
      <w:r>
        <w:t>ren und allmählich weg von ihrem Subsistenzdenken hin zu einer rationelleren und am Markt orientierten Vorratswirtschaft kommen. Auf diese Weise – so Spieckers Überzeugung – könnten sie ihre atavistischen Wertvorstellungen und nomadisierenden Lebensformen überwinden […].</w:t>
      </w:r>
      <w:r>
        <w:rPr>
          <w:rStyle w:val="Funotenzeichen"/>
        </w:rPr>
        <w:footnoteReference w:id="129"/>
      </w:r>
    </w:p>
    <w:p w:rsidR="00CF6655" w:rsidRDefault="00CF6655" w:rsidP="007F1FA7">
      <w:pPr>
        <w:pStyle w:val="Text"/>
        <w:ind w:firstLine="0"/>
      </w:pPr>
      <w:r>
        <w:t>Das Zitat macht deutlich, dass der Übergang von der Subsistenzwirtschaft zum Marktdenken der von einer vorkapitalistischen Lebensweise mit „kommunist</w:t>
      </w:r>
      <w:r>
        <w:t>i</w:t>
      </w:r>
      <w:r>
        <w:t>schen“ (908) Elementen, wie sie Johannes Spiecker in Gemeinschaftsbesitz und Teilungswillen der Schwarzen entdeckt, hin zum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und das heißt eben auch: zu einer Arbeitsgesellschaft ist. Schon Friedrich Albert Spiecker</w:t>
      </w:r>
      <w:r w:rsidR="00363C1C">
        <w:fldChar w:fldCharType="begin"/>
      </w:r>
      <w:r w:rsidR="006A7F44">
        <w:instrText xml:space="preserve"> XE "</w:instrText>
      </w:r>
      <w:r w:rsidR="006A7F44" w:rsidRPr="006E68CD">
        <w:instrText>Spiecker</w:instrText>
      </w:r>
      <w:r w:rsidR="0036732D">
        <w:instrText>, Friedrich Albert</w:instrText>
      </w:r>
      <w:r w:rsidR="006A7F44">
        <w:instrText xml:space="preserve">" </w:instrText>
      </w:r>
      <w:r w:rsidR="00363C1C">
        <w:fldChar w:fldCharType="end"/>
      </w:r>
      <w:r>
        <w:t xml:space="preserve"> hatte die Bedeutung einer solchen Veränderung unterschätzt: „Ein Eingehen der H</w:t>
      </w:r>
      <w:r>
        <w:t>e</w:t>
      </w:r>
      <w:r>
        <w:t>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auf die Vorstellungen der MHAG hätte einen tiefgreifenden Mentalität</w:t>
      </w:r>
      <w:r>
        <w:t>s</w:t>
      </w:r>
      <w:r>
        <w:t>wandel der reichen Viehbesitzer-Clans zur Voraussetzung gehabt […]. Insofern konnte dieses Experiment gar nicht gelingen.“ (Kaiser: 13) 20 Jahre später ahnt Johannes Spiecker die zeitliche Dimension eines solchen Prozesses, dessen Notwendigkeit auch er als selbstverständlich ansieht: „Es wird lange dauern, bis diese freiheitliebenden Naturkinder sich an ein geregeltes und geordnetes Leben der Arbeit und an Seßhaftigkeit gewöhnen.“ (1463f)</w:t>
      </w:r>
    </w:p>
    <w:p w:rsidR="00CF6655" w:rsidRDefault="00CF6655" w:rsidP="00CF6655">
      <w:pPr>
        <w:pStyle w:val="Text"/>
      </w:pPr>
      <w:r>
        <w:t>Dabei ist die Erziehung zur Arbeit eine ideologische Position, die nicht nur den propagierten Ansichten der weltlichen Autorität in Deutschland entspricht, sondern längst auch in die Religion eingebunden worden ist: „Aus Sicht der Mi</w:t>
      </w:r>
      <w:r>
        <w:t>s</w:t>
      </w:r>
      <w:r>
        <w:t>sionare korrelierte wirtschaftlicher Erfolg eng mit einer gottesfürchtigen L</w:t>
      </w:r>
      <w:r>
        <w:t>e</w:t>
      </w:r>
      <w:r>
        <w:t>bensweise, die mit Wohlstand und Besitztum durch den Allmächtigen belohnt wurde.“</w:t>
      </w:r>
      <w:r>
        <w:rPr>
          <w:rStyle w:val="Funotenzeichen"/>
        </w:rPr>
        <w:footnoteReference w:id="130"/>
      </w:r>
      <w:r>
        <w:t xml:space="preserve"> Die Aussagen Spieckers zeigen, dass diese Einstellung keine Domäne der Calvinisten war, denen sie insbesondere zugeschrieben wird, sondern ein al</w:t>
      </w:r>
      <w:r>
        <w:t>l</w:t>
      </w:r>
      <w:r>
        <w:t>gemein protestantisches Phänomen.</w:t>
      </w:r>
    </w:p>
    <w:p w:rsidR="00CF6655" w:rsidRDefault="00CF6655" w:rsidP="00D37F1A">
      <w:pPr>
        <w:pStyle w:val="Titel3"/>
      </w:pPr>
      <w:bookmarkStart w:id="204" w:name="_Toc130260708"/>
      <w:bookmarkStart w:id="205" w:name="_Ref325355866"/>
      <w:bookmarkStart w:id="206" w:name="_Toc327388008"/>
      <w:r>
        <w:lastRenderedPageBreak/>
        <w:t>Juristische Aspekte</w:t>
      </w:r>
      <w:bookmarkEnd w:id="204"/>
      <w:bookmarkEnd w:id="205"/>
      <w:bookmarkEnd w:id="206"/>
    </w:p>
    <w:p w:rsidR="00CF6655" w:rsidRDefault="00CF6655" w:rsidP="007308C9">
      <w:pPr>
        <w:pStyle w:val="Titel4"/>
      </w:pPr>
      <w:bookmarkStart w:id="207" w:name="_Toc122313666"/>
      <w:bookmarkStart w:id="208" w:name="_Toc122313754"/>
      <w:bookmarkStart w:id="209" w:name="_Toc130260709"/>
      <w:bookmarkStart w:id="210" w:name="_Ref325355375"/>
      <w:bookmarkStart w:id="211" w:name="_Ref325355664"/>
      <w:bookmarkStart w:id="212" w:name="_Toc327388009"/>
      <w:r>
        <w:t>Vor Gericht</w:t>
      </w:r>
      <w:bookmarkEnd w:id="207"/>
      <w:bookmarkEnd w:id="208"/>
      <w:bookmarkEnd w:id="209"/>
      <w:bookmarkEnd w:id="210"/>
      <w:bookmarkEnd w:id="211"/>
      <w:bookmarkEnd w:id="212"/>
    </w:p>
    <w:p w:rsidR="00CF6655" w:rsidRDefault="00CF6655" w:rsidP="00D37F1A">
      <w:pPr>
        <w:pStyle w:val="Text"/>
        <w:ind w:firstLine="0"/>
      </w:pPr>
      <w:r>
        <w:t>Bei einem wichtigen Prozess in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xml:space="preserve"> (16.-27 Nov. 1905) geht es um Rechte der Eingeborenen an Grund und Boden: „Die Absicht scheint zu sein festzustellen, daß die farbigen Bewohner Sarons ein gewisses Recht auf ihr Erbe haben, wä</w:t>
      </w:r>
      <w:r>
        <w:t>h</w:t>
      </w:r>
      <w:r>
        <w:t>rend wir auch um der farbigen Bewohner willen Saron als full and free property, also als volles und freies Eigentumsrecht der Rhein. Mission beanspruchen mü</w:t>
      </w:r>
      <w:r>
        <w:t>s</w:t>
      </w:r>
      <w:r>
        <w:t>sen“ (170), wobei auch ein Präzedenzfall für andere evangelische Missionsinst</w:t>
      </w:r>
      <w:r>
        <w:t>i</w:t>
      </w:r>
      <w:r>
        <w:t>tute geschaffen werden könnte (171). Dieser Prozess in der Kapkolonie, in der die Eingeborenen auch das Stimmrecht besitzen (70), wäre in Deutsch-Südwestafrika wohl gar nicht denkbar; er zeigt, dass die Schwarzen zumindest vor den gesetzlichen Institutionen Südafrikas schon einige Rechte besitzen. E</w:t>
      </w:r>
      <w:r>
        <w:t>r</w:t>
      </w:r>
      <w:r>
        <w:t>wähnenswert scheint auch, dass die Anwälte der Gegenseite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sind. Wä</w:t>
      </w:r>
      <w:r>
        <w:t>h</w:t>
      </w:r>
      <w:r>
        <w:t>rend Spiecker hier die Mission als die wahre Vertretung der Eingeborenen sieht und die „jüdischen Advokaten“ als Verführer der Saroner versteht (169; vgl. auch 257), zeigt sich aus heutiger Sicht, dass Juden hier eine Rolle bei frühen Emanz</w:t>
      </w:r>
      <w:r>
        <w:t>i</w:t>
      </w:r>
      <w:r>
        <w:t>pationsbestrebungen der Schwarzen gespielt haben – wohl deshalb, weil sie aus der Gemeinschaft der Weißen in den Kolonien weitgehend ausgeschlossen waren und sich durch die Übernahme solcher Aufträge weniger vergeben konnten als deutsche oder englische Anwälte. Den Prozess gewinnt am Ende die Mission (238).</w:t>
      </w:r>
    </w:p>
    <w:p w:rsidR="00CF6655" w:rsidRDefault="00CF6655" w:rsidP="00CF6655">
      <w:pPr>
        <w:pStyle w:val="Text"/>
      </w:pPr>
      <w:r>
        <w:t>Einem weiteren Prozess muss Spiecker zu seinem Ärger in Springbock</w:t>
      </w:r>
      <w:r w:rsidR="00363C1C">
        <w:fldChar w:fldCharType="begin"/>
      </w:r>
      <w:r w:rsidR="00D20257">
        <w:instrText xml:space="preserve"> XE "</w:instrText>
      </w:r>
      <w:r w:rsidR="00D20257" w:rsidRPr="00B67991">
        <w:instrText>Springbock</w:instrText>
      </w:r>
      <w:r w:rsidR="00D20257">
        <w:instrText xml:space="preserve">" </w:instrText>
      </w:r>
      <w:r w:rsidR="00363C1C">
        <w:fldChar w:fldCharType="end"/>
      </w:r>
      <w:r>
        <w:t>, dem Magistratssitz im Klein-Namaland, beiwohnen (310ff):</w:t>
      </w:r>
    </w:p>
    <w:p w:rsidR="00CF6655" w:rsidRDefault="00CF6655" w:rsidP="00CF6655">
      <w:pPr>
        <w:pStyle w:val="Zitat"/>
      </w:pPr>
      <w:r>
        <w:t>Der Kläger […] ist ein frecher junger Mann von 18 Jahren, der ganz modern gekleidet wie ein Europäer auftrat und auch gut Englisch sprach, obwohl er ein Eingeborener ist. Er ist in Concordia</w:t>
      </w:r>
      <w:r w:rsidR="00363C1C">
        <w:fldChar w:fldCharType="begin"/>
      </w:r>
      <w:r w:rsidR="00FD439D">
        <w:instrText xml:space="preserve"> XE "</w:instrText>
      </w:r>
      <w:r w:rsidR="00FD439D" w:rsidRPr="00B43315">
        <w:instrText>Concordia</w:instrText>
      </w:r>
      <w:r w:rsidR="00FD439D">
        <w:instrText xml:space="preserve">" </w:instrText>
      </w:r>
      <w:r w:rsidR="00363C1C">
        <w:fldChar w:fldCharType="end"/>
      </w:r>
      <w:r>
        <w:t xml:space="preserve"> geboren und getauft und konfirmiert, le</w:t>
      </w:r>
      <w:r>
        <w:t>b</w:t>
      </w:r>
      <w:r>
        <w:t>te nun aber da in wilder Ehe mit seiner Halbschwester. Hanefeld</w:t>
      </w:r>
      <w:r w:rsidR="00363C1C">
        <w:fldChar w:fldCharType="begin"/>
      </w:r>
      <w:r w:rsidR="00D20257">
        <w:instrText xml:space="preserve"> XE "</w:instrText>
      </w:r>
      <w:r w:rsidR="00D20257" w:rsidRPr="001450CC">
        <w:instrText>Hanefeld, Br.</w:instrText>
      </w:r>
      <w:r w:rsidR="00D20257">
        <w:instrText xml:space="preserve">" </w:instrText>
      </w:r>
      <w:r w:rsidR="00363C1C">
        <w:fldChar w:fldCharType="end"/>
      </w:r>
      <w:r>
        <w:t xml:space="preserve"> mit seinem Rat verwies ihn aus der Gemeinde. Da er nicht freiwillig wich, sandte Hanefeld</w:t>
      </w:r>
      <w:r w:rsidR="00363C1C">
        <w:fldChar w:fldCharType="begin"/>
      </w:r>
      <w:r w:rsidR="00D20257">
        <w:instrText xml:space="preserve"> XE "</w:instrText>
      </w:r>
      <w:r w:rsidR="00D20257" w:rsidRPr="001450CC">
        <w:instrText>Hanefeld, Br.</w:instrText>
      </w:r>
      <w:r w:rsidR="00D20257">
        <w:instrText xml:space="preserve">" </w:instrText>
      </w:r>
      <w:r w:rsidR="00363C1C">
        <w:fldChar w:fldCharType="end"/>
      </w:r>
      <w:r>
        <w:t xml:space="preserve"> 2 Ratsleute, die sein Haus (Pontok) abbrachen und seine Sachen zusammenle</w:t>
      </w:r>
      <w:r>
        <w:t>g</w:t>
      </w:r>
      <w:r>
        <w:t>ten, daß er sie mitnehmen konnte. Dieser Gewaltakt war ungesetzlich. Der Magistrat hätte auf Antrag den Mann über die Grenze gebracht, aber Privatle</w:t>
      </w:r>
      <w:r>
        <w:t>u</w:t>
      </w:r>
      <w:r>
        <w:t>te durften es nicht tun. (310f)</w:t>
      </w:r>
    </w:p>
    <w:p w:rsidR="00CF6655" w:rsidRDefault="00CF6655" w:rsidP="00A5300E">
      <w:pPr>
        <w:pStyle w:val="Text"/>
        <w:ind w:firstLine="0"/>
      </w:pPr>
      <w:r>
        <w:t>Unnötig zu sagen, dass bei den vielen Weißen, die nach Spieckers Maßstäben u</w:t>
      </w:r>
      <w:r>
        <w:t>n</w:t>
      </w:r>
      <w:r>
        <w:t>sittlich leben und immer wieder deshalb von ihm kritisiert werden, so ein „G</w:t>
      </w:r>
      <w:r>
        <w:t>e</w:t>
      </w:r>
      <w:r>
        <w:t>waltakt“ nicht in Frage kommt. Beachtenswert ist vielleicht auch, dass Spiecker, obwohl er das Vorgehen des Gemeinderats als „ungesetzlich“ brandmarkt, ke</w:t>
      </w:r>
      <w:r>
        <w:t>i</w:t>
      </w:r>
      <w:r>
        <w:t>neswegs mit dem jungen Mann sympathisiert. Diesen bezeichnet er als frech und berichtet über den Vereidigten: „Mit einer unbegreiflichen Dreistigkeit behau</w:t>
      </w:r>
      <w:r>
        <w:t>p</w:t>
      </w:r>
      <w:r>
        <w:t>tete er die tollsten und unglaublichsten Lügen.“ (311) Man kann sich des Ei</w:t>
      </w:r>
      <w:r>
        <w:t>n</w:t>
      </w:r>
      <w:r>
        <w:t xml:space="preserve">drucks nicht erwehren, dass schon das offenbar selbstbewusste Auftreten „wie </w:t>
      </w:r>
      <w:r>
        <w:lastRenderedPageBreak/>
        <w:t>ein Europäer“, zusammen mit seiner modernen Kleidung und selbst sein gutes Englisch (während Br. Hanefeld</w:t>
      </w:r>
      <w:r w:rsidR="00363C1C">
        <w:fldChar w:fldCharType="begin"/>
      </w:r>
      <w:r w:rsidR="00D20257">
        <w:instrText xml:space="preserve"> XE "</w:instrText>
      </w:r>
      <w:r w:rsidR="00D20257" w:rsidRPr="001450CC">
        <w:instrText>Hanefeld, Br.</w:instrText>
      </w:r>
      <w:r w:rsidR="00D20257">
        <w:instrText xml:space="preserve">" </w:instrText>
      </w:r>
      <w:r w:rsidR="00363C1C">
        <w:fldChar w:fldCharType="end"/>
      </w:r>
      <w:r>
        <w:t xml:space="preserve"> „seine Aussagen in dem schlechten Capholländisch</w:t>
      </w:r>
      <w:r w:rsidR="00363C1C">
        <w:fldChar w:fldCharType="begin"/>
      </w:r>
      <w:r w:rsidR="00D80359">
        <w:instrText xml:space="preserve"> XE "</w:instrText>
      </w:r>
      <w:r w:rsidR="00D80359" w:rsidRPr="008738AC">
        <w:instrText>Kapholländisch</w:instrText>
      </w:r>
      <w:r w:rsidR="00D80359">
        <w:instrText xml:space="preserve"> (Sprache)" </w:instrText>
      </w:r>
      <w:r w:rsidR="00363C1C">
        <w:fldChar w:fldCharType="end"/>
      </w:r>
      <w:r>
        <w:t>“</w:t>
      </w:r>
      <w:r w:rsidR="00211EDA">
        <w:rPr>
          <w:rStyle w:val="Funotenzeichen"/>
        </w:rPr>
        <w:footnoteReference w:id="131"/>
      </w:r>
      <w:r>
        <w:t xml:space="preserve"> machen muss; 312) zur schlechten Meinung Spieckers über den Mann eher beitragen, als ihr entgegenzuwirken. Am Ende werden die beiden Ratsleute zu 15 £ (300 M) Strafe und Übernahme der Gerichtskosten verurteilt (313).</w:t>
      </w:r>
    </w:p>
    <w:p w:rsidR="00CF6655" w:rsidRDefault="00CF6655" w:rsidP="007308C9">
      <w:pPr>
        <w:pStyle w:val="Titel4"/>
      </w:pPr>
      <w:bookmarkStart w:id="213" w:name="_Toc130260710"/>
      <w:bookmarkStart w:id="214" w:name="_Toc327388010"/>
      <w:r>
        <w:t>Die gezinkte Waage</w:t>
      </w:r>
      <w:bookmarkEnd w:id="213"/>
      <w:bookmarkEnd w:id="214"/>
    </w:p>
    <w:p w:rsidR="00CF6655" w:rsidRDefault="00CF6655" w:rsidP="00A5300E">
      <w:pPr>
        <w:pStyle w:val="Text"/>
        <w:ind w:firstLine="0"/>
      </w:pPr>
      <w:r>
        <w:t>Im Allgemeinen war jedoch die Rechtsprechung in Deutsch-Südwestafrika für die Weißen keine besondere Gefahr – egal was sie taten. Das zeigt die folgende Liste, die die Verurteilungen im Zusammenhang mit Todesfällen auflisten, bei denen Opfer und Täter verschiedene Hautfarben hatten (es wird nicht weiter aufgeschlüsselt, ob es sich jeweils um Mord, Totschlag, Körperverletzung mit Todesfolge oder anderes gehandelt hat):</w:t>
      </w:r>
      <w:r>
        <w:rPr>
          <w:rStyle w:val="Funotenzeichen"/>
        </w:rPr>
        <w:footnoteReference w:id="132"/>
      </w:r>
    </w:p>
    <w:p w:rsidR="00CF6655" w:rsidRDefault="00CF6655" w:rsidP="00A5300E">
      <w:pPr>
        <w:pStyle w:val="Text"/>
        <w:ind w:firstLine="0"/>
      </w:pPr>
      <w:r>
        <w:t>A)</w:t>
      </w:r>
      <w:r>
        <w:tab/>
        <w:t>Weiße durch Handlungen Eingeborener:</w:t>
      </w:r>
    </w:p>
    <w:p w:rsidR="00CF6655" w:rsidRDefault="00A5300E" w:rsidP="00A5300E">
      <w:pPr>
        <w:pStyle w:val="Text"/>
        <w:tabs>
          <w:tab w:val="left" w:pos="3969"/>
        </w:tabs>
        <w:ind w:firstLine="0"/>
      </w:pPr>
      <w:r>
        <w:tab/>
      </w:r>
      <w:r w:rsidR="00CF6655">
        <w:t>1.</w:t>
      </w:r>
      <w:r w:rsidR="007F23BB">
        <w:t xml:space="preserve"> </w:t>
      </w:r>
      <w:r w:rsidR="00CF6655">
        <w:t>1894</w:t>
      </w:r>
      <w:r w:rsidR="00CF6655">
        <w:tab/>
        <w:t>Engländer Christi</w:t>
      </w:r>
      <w:r w:rsidR="00CF6655">
        <w:tab/>
        <w:t>1 Todesurteil, 1 Freiheitsstrafe</w:t>
      </w:r>
    </w:p>
    <w:p w:rsidR="00CF6655" w:rsidRDefault="00A5300E" w:rsidP="00A5300E">
      <w:pPr>
        <w:pStyle w:val="Text"/>
        <w:tabs>
          <w:tab w:val="left" w:pos="3969"/>
        </w:tabs>
        <w:ind w:firstLine="0"/>
      </w:pPr>
      <w:r>
        <w:tab/>
      </w:r>
      <w:r w:rsidR="00CF6655">
        <w:t>2.</w:t>
      </w:r>
      <w:r w:rsidR="007F23BB">
        <w:t xml:space="preserve"> </w:t>
      </w:r>
      <w:r w:rsidR="00CF6655">
        <w:t>1895</w:t>
      </w:r>
      <w:r w:rsidR="00CF6655">
        <w:tab/>
        <w:t>Schutztruppenreiter Wilke</w:t>
      </w:r>
      <w:r w:rsidR="00CF6655">
        <w:tab/>
        <w:t>6 Todesurteile</w:t>
      </w:r>
    </w:p>
    <w:p w:rsidR="00CF6655" w:rsidRDefault="00A5300E" w:rsidP="00A5300E">
      <w:pPr>
        <w:pStyle w:val="Text"/>
        <w:tabs>
          <w:tab w:val="left" w:pos="3969"/>
        </w:tabs>
        <w:ind w:firstLine="0"/>
      </w:pPr>
      <w:r>
        <w:tab/>
      </w:r>
      <w:r w:rsidR="00CF6655">
        <w:t>3.</w:t>
      </w:r>
      <w:r w:rsidR="007F23BB">
        <w:t xml:space="preserve"> </w:t>
      </w:r>
      <w:r w:rsidR="00CF6655">
        <w:t>1895</w:t>
      </w:r>
      <w:r w:rsidR="00CF6655">
        <w:tab/>
        <w:t>Bur Smith</w:t>
      </w:r>
      <w:r w:rsidR="00CF6655">
        <w:tab/>
        <w:t>2 Todesurteile</w:t>
      </w:r>
    </w:p>
    <w:p w:rsidR="00CF6655" w:rsidRDefault="00A5300E" w:rsidP="00A5300E">
      <w:pPr>
        <w:pStyle w:val="Text"/>
        <w:tabs>
          <w:tab w:val="left" w:pos="3969"/>
        </w:tabs>
        <w:ind w:firstLine="0"/>
      </w:pPr>
      <w:r>
        <w:tab/>
      </w:r>
      <w:r w:rsidR="00CF6655">
        <w:t>4.</w:t>
      </w:r>
      <w:r w:rsidR="007F23BB">
        <w:t xml:space="preserve"> </w:t>
      </w:r>
      <w:r w:rsidR="00CF6655">
        <w:t>1896</w:t>
      </w:r>
      <w:r w:rsidR="00CF6655">
        <w:tab/>
        <w:t>Engländer Feyton</w:t>
      </w:r>
      <w:r w:rsidR="00CF6655">
        <w:tab/>
        <w:t>1 Todesurteil</w:t>
      </w:r>
    </w:p>
    <w:p w:rsidR="00CF6655" w:rsidRDefault="00A5300E" w:rsidP="00A5300E">
      <w:pPr>
        <w:pStyle w:val="Text"/>
        <w:tabs>
          <w:tab w:val="left" w:pos="3969"/>
        </w:tabs>
        <w:ind w:firstLine="0"/>
      </w:pPr>
      <w:r>
        <w:tab/>
      </w:r>
      <w:r w:rsidR="00CF6655">
        <w:t>5.</w:t>
      </w:r>
      <w:r w:rsidR="007F23BB">
        <w:t xml:space="preserve"> </w:t>
      </w:r>
      <w:r w:rsidR="00CF6655">
        <w:t>1899</w:t>
      </w:r>
      <w:r w:rsidR="00CF6655">
        <w:tab/>
        <w:t>Ansiedler Claasen und Dürr</w:t>
      </w:r>
      <w:r w:rsidR="00CF6655">
        <w:tab/>
        <w:t>2 Todesurteile</w:t>
      </w:r>
    </w:p>
    <w:p w:rsidR="00CF6655" w:rsidRDefault="00A5300E" w:rsidP="00A5300E">
      <w:pPr>
        <w:pStyle w:val="Text"/>
        <w:tabs>
          <w:tab w:val="left" w:pos="3969"/>
        </w:tabs>
        <w:ind w:firstLine="0"/>
      </w:pPr>
      <w:r>
        <w:tab/>
      </w:r>
      <w:r w:rsidR="00CF6655">
        <w:t>6.</w:t>
      </w:r>
      <w:r w:rsidR="007F23BB">
        <w:t xml:space="preserve"> </w:t>
      </w:r>
      <w:r w:rsidR="00CF6655">
        <w:t>1900</w:t>
      </w:r>
      <w:r w:rsidR="00CF6655">
        <w:tab/>
        <w:t>Ein weißer Polizist</w:t>
      </w:r>
      <w:r w:rsidR="00CF6655">
        <w:tab/>
        <w:t>3 Todesurteile</w:t>
      </w:r>
    </w:p>
    <w:p w:rsidR="00CF6655" w:rsidRDefault="00CF6655" w:rsidP="00A5300E">
      <w:pPr>
        <w:pStyle w:val="Text"/>
        <w:tabs>
          <w:tab w:val="left" w:pos="3969"/>
        </w:tabs>
        <w:ind w:firstLine="0"/>
      </w:pPr>
      <w:r>
        <w:t>B)</w:t>
      </w:r>
      <w:r>
        <w:tab/>
        <w:t>Eingeborene durch Handlungen Weißer:</w:t>
      </w:r>
    </w:p>
    <w:p w:rsidR="00CF6655" w:rsidRDefault="00A5300E" w:rsidP="00A5300E">
      <w:pPr>
        <w:pStyle w:val="Text"/>
        <w:tabs>
          <w:tab w:val="left" w:pos="3969"/>
        </w:tabs>
        <w:ind w:firstLine="0"/>
      </w:pPr>
      <w:r>
        <w:tab/>
      </w:r>
      <w:r w:rsidR="00CF6655">
        <w:t>1.</w:t>
      </w:r>
      <w:r>
        <w:t xml:space="preserve"> </w:t>
      </w:r>
      <w:r w:rsidR="00CF6655">
        <w:t>1896</w:t>
      </w:r>
      <w:r w:rsidR="00CF6655">
        <w:tab/>
        <w:t>Hottentotten</w:t>
      </w:r>
      <w:r w:rsidR="00363C1C">
        <w:fldChar w:fldCharType="begin"/>
      </w:r>
      <w:r w:rsidR="00DA4F5B">
        <w:instrText xml:space="preserve"> XE "</w:instrText>
      </w:r>
      <w:r w:rsidR="00DA4F5B" w:rsidRPr="002B55F1">
        <w:instrText>Hottentotten</w:instrText>
      </w:r>
      <w:r w:rsidR="00DA4F5B">
        <w:instrText xml:space="preserve">" </w:instrText>
      </w:r>
      <w:r w:rsidR="00363C1C">
        <w:fldChar w:fldCharType="end"/>
      </w:r>
      <w:r w:rsidR="00CF6655">
        <w:t xml:space="preserve"> Jantje und Kurieb</w:t>
      </w:r>
      <w:r>
        <w:tab/>
      </w:r>
      <w:r w:rsidR="00CF6655">
        <w:t>1. Instanz: 5 ½ Jahre Zuchthaus</w:t>
      </w:r>
      <w:r w:rsidR="00CF6655">
        <w:br/>
      </w:r>
      <w:r w:rsidR="00CF6655">
        <w:tab/>
      </w:r>
      <w:r>
        <w:tab/>
      </w:r>
      <w:r>
        <w:tab/>
      </w:r>
      <w:r w:rsidR="00CF6655">
        <w:tab/>
      </w:r>
      <w:r w:rsidR="00CF6655">
        <w:tab/>
      </w:r>
      <w:r w:rsidR="00CF6655">
        <w:tab/>
        <w:t>2. Instanz: 3 Monate Gefängnis</w:t>
      </w:r>
    </w:p>
    <w:p w:rsidR="00CF6655" w:rsidRDefault="007F23BB" w:rsidP="00A5300E">
      <w:pPr>
        <w:pStyle w:val="Text"/>
        <w:tabs>
          <w:tab w:val="left" w:pos="3969"/>
        </w:tabs>
        <w:ind w:firstLine="0"/>
      </w:pPr>
      <w:r>
        <w:tab/>
      </w:r>
      <w:r w:rsidR="00CF6655">
        <w:t>2.</w:t>
      </w:r>
      <w:r>
        <w:t xml:space="preserve"> </w:t>
      </w:r>
      <w:r w:rsidR="00CF6655">
        <w:t>1901</w:t>
      </w:r>
      <w:r w:rsidR="00CF6655">
        <w:tab/>
        <w:t>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rsidR="00CF6655">
        <w:t xml:space="preserve"> Leonhard</w:t>
      </w:r>
      <w:r w:rsidR="00CF6655">
        <w:tab/>
        <w:t>1 Jahr Gefängnis</w:t>
      </w:r>
    </w:p>
    <w:p w:rsidR="00CF6655" w:rsidRDefault="007F23BB" w:rsidP="00A5300E">
      <w:pPr>
        <w:pStyle w:val="Text"/>
        <w:tabs>
          <w:tab w:val="left" w:pos="3969"/>
        </w:tabs>
        <w:ind w:firstLine="0"/>
      </w:pPr>
      <w:r>
        <w:tab/>
      </w:r>
      <w:r w:rsidR="00CF6655">
        <w:t>3.</w:t>
      </w:r>
      <w:r>
        <w:t xml:space="preserve"> </w:t>
      </w:r>
      <w:r w:rsidR="00CF6655">
        <w:t>1902</w:t>
      </w:r>
      <w:r w:rsidR="00CF6655">
        <w:tab/>
        <w:t>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rsidR="00CF6655">
        <w:t xml:space="preserve"> Kamauru</w:t>
      </w:r>
      <w:r w:rsidR="00CF6655">
        <w:tab/>
        <w:t>2 Jahre Gefängnis</w:t>
      </w:r>
    </w:p>
    <w:p w:rsidR="00CF6655" w:rsidRDefault="007F23BB" w:rsidP="00A5300E">
      <w:pPr>
        <w:pStyle w:val="Text"/>
        <w:tabs>
          <w:tab w:val="left" w:pos="3969"/>
        </w:tabs>
        <w:ind w:firstLine="0"/>
      </w:pPr>
      <w:r>
        <w:tab/>
      </w:r>
      <w:r w:rsidR="00CF6655">
        <w:t>4.</w:t>
      </w:r>
      <w:r>
        <w:t xml:space="preserve"> </w:t>
      </w:r>
      <w:r w:rsidR="00CF6655">
        <w:t>1903</w:t>
      </w:r>
      <w:r w:rsidR="00CF6655">
        <w:tab/>
        <w:t>Tochter des Häuptlings Zacharias</w:t>
      </w:r>
      <w:r w:rsidR="00363C1C">
        <w:fldChar w:fldCharType="begin"/>
      </w:r>
      <w:r w:rsidR="00870B1C">
        <w:instrText xml:space="preserve"> XE "</w:instrText>
      </w:r>
      <w:r w:rsidR="00870B1C" w:rsidRPr="00705C6F">
        <w:instrText>Zacharias</w:instrText>
      </w:r>
      <w:r w:rsidR="006F4997" w:rsidRPr="006F4997">
        <w:instrText xml:space="preserve"> </w:instrText>
      </w:r>
      <w:r w:rsidR="006F4997">
        <w:instrText>von Otjimbingwe</w:instrText>
      </w:r>
      <w:r w:rsidR="00870B1C">
        <w:instrText xml:space="preserve">" </w:instrText>
      </w:r>
      <w:r w:rsidR="00363C1C">
        <w:fldChar w:fldCharType="end"/>
      </w:r>
      <w:r w:rsidR="00CF6655">
        <w:t xml:space="preserve"> von Otjimbingwe</w:t>
      </w:r>
      <w:r w:rsidR="00CF6655">
        <w:br/>
      </w:r>
      <w:r w:rsidR="00CF6655">
        <w:tab/>
      </w:r>
      <w:r w:rsidR="00CF6655">
        <w:tab/>
      </w:r>
      <w:r w:rsidR="00CF6655">
        <w:tab/>
      </w:r>
      <w:r w:rsidR="00CF6655">
        <w:tab/>
      </w:r>
      <w:r w:rsidR="00CF6655">
        <w:tab/>
      </w:r>
      <w:r w:rsidR="00CF6655">
        <w:tab/>
        <w:t>1. Instanz: Freisprechung</w:t>
      </w:r>
      <w:r w:rsidR="00CF6655">
        <w:br/>
      </w:r>
      <w:r w:rsidR="00CF6655">
        <w:tab/>
      </w:r>
      <w:r w:rsidR="00CF6655">
        <w:tab/>
      </w:r>
      <w:r w:rsidR="00CF6655">
        <w:tab/>
      </w:r>
      <w:r w:rsidR="00CF6655">
        <w:tab/>
      </w:r>
      <w:r w:rsidR="00CF6655">
        <w:tab/>
      </w:r>
      <w:r w:rsidR="00CF6655">
        <w:tab/>
        <w:t>2. Instanz: 3 Jahre Gefängnis</w:t>
      </w:r>
    </w:p>
    <w:p w:rsidR="00CF6655" w:rsidRDefault="00CF6655" w:rsidP="00A5300E">
      <w:pPr>
        <w:pStyle w:val="Text"/>
        <w:ind w:firstLine="0"/>
      </w:pPr>
      <w:r>
        <w:t>Hinzu kam, dass die Strafen auf unterschiedliche Art zu verbüßen waren. Schwarze hatten in Sträflingskleidung im Freien zu arbeiten, Weiße verbüßten ihre Strafen innerhalb der Gefängnisse; für längere Haftstrafen wurden sie nach Deutschland gebracht, „da es keine dafür geeignete Gefängnisse in Deutsch-</w:t>
      </w:r>
      <w:r>
        <w:lastRenderedPageBreak/>
        <w:t>Südwestafrika gab“, wodurch der Eindruck entstand, sie würden einfach nur heimgeschickt.</w:t>
      </w:r>
      <w:r>
        <w:rPr>
          <w:rStyle w:val="Funotenzeichen"/>
        </w:rPr>
        <w:footnoteReference w:id="133"/>
      </w:r>
    </w:p>
    <w:p w:rsidR="00CF6655" w:rsidRDefault="00CF6655" w:rsidP="00CF6655">
      <w:pPr>
        <w:pStyle w:val="Text"/>
      </w:pPr>
      <w:r>
        <w:t>In den verschiedenen Schutzverträgen waren detaillierte Bestimmungen über die Rechtsprechung in Fällen zwischen Eingeborenen und Weißen entha</w:t>
      </w:r>
      <w:r>
        <w:t>l</w:t>
      </w:r>
      <w:r>
        <w:t>ten gewesen (während die Rechtsprechung innerhalb der Stämme bei den Häup</w:t>
      </w:r>
      <w:r>
        <w:t>t</w:t>
      </w:r>
      <w:r>
        <w:t>lingen verblieb); in mehreren davon war festgelegt worden, dass der entspr</w:t>
      </w:r>
      <w:r>
        <w:t>e</w:t>
      </w:r>
      <w:r>
        <w:t>chende Häuptling einen Beisitzer berufen konnte.</w:t>
      </w:r>
      <w:r>
        <w:rPr>
          <w:rStyle w:val="Funotenzeichen"/>
        </w:rPr>
        <w:footnoteReference w:id="134"/>
      </w:r>
      <w:r>
        <w:t xml:space="preserve"> Otto von Weber merkt </w:t>
      </w:r>
      <w:r w:rsidR="008A221F">
        <w:t>d</w:t>
      </w:r>
      <w:r w:rsidR="008A221F">
        <w:t>a</w:t>
      </w:r>
      <w:r w:rsidR="008A221F">
        <w:t xml:space="preserve">zu </w:t>
      </w:r>
      <w:r>
        <w:t>an: „Als die deutsche Herrschaft tatsächlich ausgeübt wurde, kümmerte sich die Landesregierung wenig mehr um die Bestimmungen der Schutzverträge, so</w:t>
      </w:r>
      <w:r>
        <w:t>n</w:t>
      </w:r>
      <w:r>
        <w:t>dern unterwarf alle Stämme gleichmäßig der Rechtsprechung der deutschen G</w:t>
      </w:r>
      <w:r>
        <w:t>e</w:t>
      </w:r>
      <w:r>
        <w:t>richte und wandte die deutschen Gesetze an.“</w:t>
      </w:r>
      <w:r>
        <w:rPr>
          <w:rStyle w:val="Funotenzeichen"/>
        </w:rPr>
        <w:footnoteReference w:id="135"/>
      </w:r>
      <w:r>
        <w:t xml:space="preserve"> Zu dieser Praxis </w:t>
      </w:r>
      <w:r w:rsidR="008A221F">
        <w:t>ist zweierlei festzustellen</w:t>
      </w:r>
      <w:r>
        <w:t>:</w:t>
      </w:r>
    </w:p>
    <w:p w:rsidR="00CF6655" w:rsidRDefault="00CF6655" w:rsidP="00CF6655">
      <w:pPr>
        <w:pStyle w:val="Text"/>
      </w:pPr>
      <w:r>
        <w:t>1. Die Deutschen hielten sich nie an die Schutzverträge; die Justiz ist hier zwar nur symptomatisch, aber doch zugleich ein wichtiger Bereich jeder legit</w:t>
      </w:r>
      <w:r>
        <w:t>i</w:t>
      </w:r>
      <w:r>
        <w:t>men Staatenbildung. Dies hinderte die große Mehrheit der Deutschen, insbeso</w:t>
      </w:r>
      <w:r>
        <w:t>n</w:t>
      </w:r>
      <w:r>
        <w:t>dere aber das koloniale Lager, nicht daran, die Schutzverträge als legitimen Au</w:t>
      </w:r>
      <w:r>
        <w:t>f</w:t>
      </w:r>
      <w:r>
        <w:t>takt der Kolonialmacht anzusehen – auch als längst klar war, dass sie nur auf dem Papier standen.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selbst ist ein gutes Beispiel: Obwohl er den Sachverhalt klar erkennt, nennt er sein Buch „Geschichte des Schutzgebietes Deutsch-Südwest-Afrika“.</w:t>
      </w:r>
    </w:p>
    <w:p w:rsidR="00CF6655" w:rsidRDefault="00CF6655" w:rsidP="00CF6655">
      <w:pPr>
        <w:pStyle w:val="Text"/>
      </w:pPr>
      <w:r>
        <w:t>2. Die Rechtsprechung selbst ist damit aber auch nicht legitimiert; sie wurde von denen, über die hier Recht gesprochen wird, nie eingesetzt oder anerkannt. Es handelt sich damit unter rechtlichem Gesichtspunkt um Unrechtsjustiz.</w:t>
      </w:r>
    </w:p>
    <w:p w:rsidR="00CF6655" w:rsidRDefault="00CF6655" w:rsidP="00CF6655">
      <w:pPr>
        <w:pStyle w:val="Text"/>
      </w:pPr>
      <w:r>
        <w:t>Wichtig ist ferner, dass die schlichte Formel der „Anwendung der deutschen Gesetze“ doch noch weiter qualifiziert wurde: „Dabei sollten [sic] nach dem Ermessen des Richters den besonderen Verhältnissen der Kolonie Rechnung g</w:t>
      </w:r>
      <w:r>
        <w:t>e</w:t>
      </w:r>
      <w:r>
        <w:t>tragen werden.“ Es darf davon ausgegangen werden, dass die ungleiche Statistik (s. oben) die Sichtweise der Richter auf diese „besonderen Umstände“ wide</w:t>
      </w:r>
      <w:r>
        <w:t>r</w:t>
      </w:r>
      <w:r>
        <w:t>spiegelt. Dass damit Gefahren einhergingen, sah man durchaus: „Es wurden auch eingeborene Beisitzer zugezogen, aber nicht um bei der Findung des Urteils mitzuwirken, sondern nur als Zuhörer. Der Grund für ihre Anwesenheit war, daß die Eingeborenen das Gefühl haben sollten, daß die deutsche Rech</w:t>
      </w:r>
      <w:r>
        <w:t>t</w:t>
      </w:r>
      <w:r>
        <w:t>sprechung unparteiisch sei und nicht einseitig die Weißen bevorzuge.“</w:t>
      </w:r>
      <w:r>
        <w:rPr>
          <w:rStyle w:val="Funotenzeichen"/>
        </w:rPr>
        <w:footnoteReference w:id="136"/>
      </w:r>
      <w:r>
        <w:t xml:space="preserve"> Dies funktionierte offenbar nicht; das zeigt die Tatsache, dass Samuel Maharero</w:t>
      </w:r>
      <w:r w:rsidR="00363C1C">
        <w:fldChar w:fldCharType="begin"/>
      </w:r>
      <w:r w:rsidR="008F56BD">
        <w:instrText xml:space="preserve"> XE "</w:instrText>
      </w:r>
      <w:r w:rsidR="008F56BD" w:rsidRPr="00711B87">
        <w:instrText>Maharero, Samuel</w:instrText>
      </w:r>
      <w:r w:rsidR="008F56BD">
        <w:instrText xml:space="preserve">" </w:instrText>
      </w:r>
      <w:r w:rsidR="00363C1C">
        <w:fldChar w:fldCharType="end"/>
      </w:r>
      <w:r>
        <w:t xml:space="preserve"> die Rechtsprechungspraxis in seinem berühmten Brief an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xml:space="preserve"> als einen der Faktoren für den Ausbruch des Aufstands nennt.</w:t>
      </w:r>
      <w:r>
        <w:rPr>
          <w:rStyle w:val="Funotenzeichen"/>
        </w:rPr>
        <w:footnoteReference w:id="137"/>
      </w:r>
    </w:p>
    <w:p w:rsidR="00CF6655" w:rsidRDefault="00CF6655" w:rsidP="007308C9">
      <w:pPr>
        <w:pStyle w:val="Titel4"/>
      </w:pPr>
      <w:bookmarkStart w:id="215" w:name="_Toc130260711"/>
      <w:bookmarkStart w:id="216" w:name="_Ref325357304"/>
      <w:bookmarkStart w:id="217" w:name="_Ref325357680"/>
      <w:bookmarkStart w:id="218" w:name="_Toc327388011"/>
      <w:r>
        <w:lastRenderedPageBreak/>
        <w:t>Schlecht beraten</w:t>
      </w:r>
      <w:bookmarkEnd w:id="215"/>
      <w:bookmarkEnd w:id="216"/>
      <w:bookmarkEnd w:id="217"/>
      <w:bookmarkEnd w:id="218"/>
    </w:p>
    <w:p w:rsidR="00CF6655" w:rsidRDefault="00CF6655" w:rsidP="00093B6E">
      <w:pPr>
        <w:pStyle w:val="Text"/>
        <w:ind w:firstLine="0"/>
      </w:pPr>
      <w:r>
        <w:t>Der Prozess in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xml:space="preserve"> entstand vermutlich durch falsches Verhalten von Br. Kling</w:t>
      </w:r>
      <w:r w:rsidR="00363C1C">
        <w:fldChar w:fldCharType="begin"/>
      </w:r>
      <w:r w:rsidR="00E01EA7">
        <w:instrText xml:space="preserve"> XE "</w:instrText>
      </w:r>
      <w:r w:rsidR="00E01EA7" w:rsidRPr="00A8331C">
        <w:instrText>Kling, Br.</w:instrText>
      </w:r>
      <w:r w:rsidR="00E01EA7">
        <w:instrText xml:space="preserve">" </w:instrText>
      </w:r>
      <w:r w:rsidR="00363C1C">
        <w:fldChar w:fldCharType="end"/>
      </w:r>
      <w:r>
        <w:t xml:space="preserve"> selbst. In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xml:space="preserve"> schreibt Spiecker später: „Als am Schluß die Ältesten das Protokoll zeichnen sollten, weigerten sie sich zunächst. Sie sind daran nicht g</w:t>
      </w:r>
      <w:r>
        <w:t>e</w:t>
      </w:r>
      <w:r>
        <w:t>wöhnt und wußten nicht, was es zu bedeuten habe und fürchteten etwaige Fo</w:t>
      </w:r>
      <w:r>
        <w:t>l</w:t>
      </w:r>
      <w:r>
        <w:t>gen. […] Mir warf diese Weigerung der Ältesten ein Licht auf das Verhalten der Leute in Saron.“ (349) Dieselbe Erfahrung auch beim Gemeinderat: „Zur Unte</w:t>
      </w:r>
      <w:r>
        <w:t>r</w:t>
      </w:r>
      <w:r>
        <w:t>schrift des Protokolls waren sie aber nicht zu bewegen […]. Sie müssen doch wohl schon mit Angehörigen der Mission durch ihre Unterschrift böse Erfa</w:t>
      </w:r>
      <w:r>
        <w:t>h</w:t>
      </w:r>
      <w:r>
        <w:t>rungen gemacht haben. Lesen und schreiben können die Männer hier meist nicht und müssen deshalb auf Treu und Glauben zeichnen.“ (359)</w:t>
      </w:r>
    </w:p>
    <w:p w:rsidR="00FE3CDD" w:rsidRDefault="00CF6655" w:rsidP="00CF6655">
      <w:pPr>
        <w:pStyle w:val="Text"/>
      </w:pPr>
      <w:r>
        <w:t>Wie verhängnisvoll es für die Stämme sein konnte, auf Treu und Glauben zu unterzeichnen, zeigt exemplarisch der Verkauf der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rsidR="00FE3CDD">
        <w:t>. Timm schreibt darüber:</w:t>
      </w:r>
      <w:r w:rsidR="00D069F9">
        <w:rPr>
          <w:rStyle w:val="Funotenzeichen"/>
        </w:rPr>
        <w:footnoteReference w:id="138"/>
      </w:r>
    </w:p>
    <w:p w:rsidR="00CF6655" w:rsidRDefault="00CF6655" w:rsidP="00FE3CDD">
      <w:pPr>
        <w:pStyle w:val="Zitat"/>
      </w:pPr>
      <w:r>
        <w:t>Bei einem dieser Landkäufe wurden die Namas in Südwestafrika von dem eh</w:t>
      </w:r>
      <w:r>
        <w:t>r</w:t>
      </w:r>
      <w:r>
        <w:t>baren Bremer Kaufmann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xml:space="preserve">, der als Gründer Deutsch-Südwestafrikas gilt, unter der Mitwirkung eines Missionars kräftig übers Ohr gehauen. Er kaufte im Sommer 1883 dem Häuptling der Bethanier, Joseph </w:t>
      </w:r>
      <w:r w:rsidR="002C229D">
        <w:t>Frederiks</w:t>
      </w:r>
      <w:r w:rsidR="00363C1C">
        <w:fldChar w:fldCharType="begin"/>
      </w:r>
      <w:r w:rsidR="00FE3CDD">
        <w:instrText xml:space="preserve"> XE "</w:instrText>
      </w:r>
      <w:r w:rsidR="002C229D">
        <w:instrText>Frederiks</w:instrText>
      </w:r>
      <w:r w:rsidR="00FE3CDD" w:rsidRPr="00B31D03">
        <w:instrText>, Joseph</w:instrText>
      </w:r>
      <w:r w:rsidR="00FE3CDD">
        <w:instrText xml:space="preserve">" </w:instrText>
      </w:r>
      <w:r w:rsidR="00363C1C">
        <w:fldChar w:fldCharType="end"/>
      </w:r>
      <w:r>
        <w:t>, die Küste vom Oranjefluß bis zum 26. Breitengrad ab. Wobei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xml:space="preserve"> die Namas im Glauben ließ, daß dieser Vereinbarung die ihnen bekannte englische Meile zugrunde läge, er aber im Vertrag – den nur der Missionar lesen konnte – die geographische Meile festschrieb. So hatten die Namas ein Gebiet verkauft, das fast </w:t>
      </w:r>
      <w:proofErr w:type="gramStart"/>
      <w:r>
        <w:t>fünf mal</w:t>
      </w:r>
      <w:proofErr w:type="gramEnd"/>
      <w:r>
        <w:t xml:space="preserve"> so groß war, als sie annahmen.</w:t>
      </w:r>
    </w:p>
    <w:p w:rsidR="00CF6655" w:rsidRDefault="00CF6655" w:rsidP="00FE3CDD">
      <w:pPr>
        <w:pStyle w:val="Text"/>
        <w:ind w:firstLine="0"/>
      </w:pPr>
      <w:r>
        <w:t>23 Jahre später rekonstruiert Spiecker die Geschichte von Bethanien</w:t>
      </w:r>
      <w:r w:rsidR="00363C1C">
        <w:fldChar w:fldCharType="begin"/>
      </w:r>
      <w:r w:rsidR="001F21DF">
        <w:instrText xml:space="preserve"> XE "</w:instrText>
      </w:r>
      <w:r w:rsidR="001F21DF" w:rsidRPr="001F21DF">
        <w:instrText>Bethanien</w:instrText>
      </w:r>
      <w:r w:rsidR="001F21DF">
        <w:instrText xml:space="preserve">" </w:instrText>
      </w:r>
      <w:r w:rsidR="00363C1C">
        <w:fldChar w:fldCharType="end"/>
      </w:r>
      <w:r>
        <w:t>, das bereits 1814 als eine der ersten Stationen im Namaland von dem Missionar Schmelen gegründet wurde (1766). Der bei Timm erwähnte Missionar müsste demzufolge Johannes Bam</w:t>
      </w:r>
      <w:r w:rsidR="00363C1C">
        <w:fldChar w:fldCharType="begin"/>
      </w:r>
      <w:r w:rsidR="00FE3CDD">
        <w:instrText xml:space="preserve"> XE "</w:instrText>
      </w:r>
      <w:r w:rsidR="00FE3CDD" w:rsidRPr="00D46241">
        <w:instrText>Bam, Johannes</w:instrText>
      </w:r>
      <w:r w:rsidR="00FE3CDD">
        <w:instrText xml:space="preserve">" </w:instrText>
      </w:r>
      <w:r w:rsidR="00363C1C">
        <w:fldChar w:fldCharType="end"/>
      </w:r>
      <w:r>
        <w:t xml:space="preserve"> gewesen sein,</w:t>
      </w:r>
      <w:r>
        <w:rPr>
          <w:rStyle w:val="Funotenzeichen"/>
        </w:rPr>
        <w:footnoteReference w:id="139"/>
      </w:r>
      <w:r>
        <w:t xml:space="preserve"> der 1879</w:t>
      </w:r>
      <w:r w:rsidR="00081453">
        <w:t xml:space="preserve"> – </w:t>
      </w:r>
      <w:r>
        <w:t>1891 in Bethanien war, der Vorgänger des 1905 noch dort tätigen Br. Heinrich</w:t>
      </w:r>
      <w:r w:rsidR="008F3A4E">
        <w:t>s</w:t>
      </w:r>
      <w:r w:rsidR="00363C1C">
        <w:fldChar w:fldCharType="begin"/>
      </w:r>
      <w:r w:rsidR="001F21DF">
        <w:instrText xml:space="preserve"> XE "</w:instrText>
      </w:r>
      <w:r w:rsidR="001F21DF" w:rsidRPr="00294A51">
        <w:instrText>Heinrich</w:instrText>
      </w:r>
      <w:r w:rsidR="008F3A4E">
        <w:instrText>s</w:instrText>
      </w:r>
      <w:r w:rsidR="001F21DF" w:rsidRPr="00294A51">
        <w:instrText>, Br.</w:instrText>
      </w:r>
      <w:r w:rsidR="001F21DF">
        <w:instrText xml:space="preserve">" </w:instrText>
      </w:r>
      <w:r w:rsidR="00363C1C">
        <w:fldChar w:fldCharType="end"/>
      </w:r>
      <w:r>
        <w:t>. Spiecker vergisst in seiner Darstellung auch den jüdischen Unterhändler nicht: „1884 [sic] erhandelte ein gewisser V</w:t>
      </w:r>
      <w:r>
        <w:t>o</w:t>
      </w:r>
      <w:r>
        <w:t>gelsang für Herrn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xml:space="preserve"> die nach diesem genannte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und den a</w:t>
      </w:r>
      <w:r>
        <w:t>n</w:t>
      </w:r>
      <w:r>
        <w:t>schließenden Dünengürtel von Joseph Frederiks</w:t>
      </w:r>
      <w:r w:rsidR="00363C1C">
        <w:fldChar w:fldCharType="begin"/>
      </w:r>
      <w:r w:rsidR="00D4534C">
        <w:instrText xml:space="preserve"> XE "</w:instrText>
      </w:r>
      <w:r w:rsidR="002C229D">
        <w:instrText>Frederiks</w:instrText>
      </w:r>
      <w:r w:rsidR="00D4534C" w:rsidRPr="00EE36FF">
        <w:instrText>, Joseph</w:instrText>
      </w:r>
      <w:r w:rsidR="00D4534C">
        <w:instrText xml:space="preserve">" </w:instrText>
      </w:r>
      <w:r w:rsidR="00363C1C">
        <w:fldChar w:fldCharType="end"/>
      </w:r>
      <w:r>
        <w:t>,</w:t>
      </w:r>
      <w:r w:rsidR="00D4534C">
        <w:rPr>
          <w:rStyle w:val="Funotenzeichen"/>
        </w:rPr>
        <w:footnoteReference w:id="140"/>
      </w:r>
      <w:r>
        <w:t xml:space="preserve"> dem schwachen Nachfolger von David Chr</w:t>
      </w:r>
      <w:r w:rsidR="000C1FF7">
        <w:t>ist</w:t>
      </w:r>
      <w:r w:rsidR="007064C9">
        <w:t>.</w:t>
      </w:r>
      <w:r>
        <w:t xml:space="preserve"> Frederiks</w:t>
      </w:r>
      <w:r w:rsidR="00363C1C">
        <w:fldChar w:fldCharType="begin"/>
      </w:r>
      <w:r w:rsidR="00D4534C">
        <w:instrText xml:space="preserve"> XE "</w:instrText>
      </w:r>
      <w:r w:rsidR="002C229D">
        <w:instrText>Frederiks</w:instrText>
      </w:r>
      <w:r w:rsidR="00D4534C" w:rsidRPr="00875762">
        <w:instrText>, David Chr</w:instrText>
      </w:r>
      <w:r w:rsidR="002C229D">
        <w:instrText>istian</w:instrText>
      </w:r>
      <w:r w:rsidR="00D4534C">
        <w:instrText xml:space="preserve">" </w:instrText>
      </w:r>
      <w:r w:rsidR="00363C1C">
        <w:fldChar w:fldCharType="end"/>
      </w:r>
      <w:r>
        <w:t xml:space="preserve"> für 200 £ und 200 unbrauchbare Zündnadelgewe</w:t>
      </w:r>
      <w:r>
        <w:t>h</w:t>
      </w:r>
      <w:r>
        <w:t>re.“ (1776) Damit war die Kolonisierung des Namalands eingeläutet, die wä</w:t>
      </w:r>
      <w:r>
        <w:t>h</w:t>
      </w:r>
      <w:r>
        <w:t xml:space="preserve">rend des Aufstands in der Aberkennung des ganzen Landes gipfelte, wodurch auch die Einkünfte wegfielen, die zuvor von der Lüderitzbuchtgesellschaft für Schürfrechte auf dem verbliebenen Land der Bethanier gezahlt wurden (1769). Den </w:t>
      </w:r>
      <w:r w:rsidR="001F63AD">
        <w:t xml:space="preserve">entmachteten </w:t>
      </w:r>
      <w:r>
        <w:t xml:space="preserve">Häuptling Paul </w:t>
      </w:r>
      <w:r w:rsidR="002C229D">
        <w:t>Frederiks</w:t>
      </w:r>
      <w:r w:rsidR="00363C1C">
        <w:fldChar w:fldCharType="begin"/>
      </w:r>
      <w:r w:rsidR="00FE3CDD">
        <w:instrText xml:space="preserve"> XE "</w:instrText>
      </w:r>
      <w:r w:rsidR="002C229D">
        <w:instrText>Frederiks</w:instrText>
      </w:r>
      <w:r w:rsidR="00FE3CDD" w:rsidRPr="00B31D03">
        <w:instrText xml:space="preserve">, </w:instrText>
      </w:r>
      <w:r w:rsidR="00FE3CDD">
        <w:instrText xml:space="preserve">Paul" </w:instrText>
      </w:r>
      <w:r w:rsidR="00363C1C">
        <w:fldChar w:fldCharType="end"/>
      </w:r>
      <w:r>
        <w:t xml:space="preserve"> findet Spiecker in trauriger Lage vor: „Er lag sehr elend auf seinem Lager, richtete sich aber etwas auf, als wir mit </w:t>
      </w:r>
      <w:r>
        <w:lastRenderedPageBreak/>
        <w:t>ihm sprachen. Sein</w:t>
      </w:r>
      <w:r w:rsidR="004F470D">
        <w:t>e</w:t>
      </w:r>
      <w:r>
        <w:t xml:space="preserve"> Frau hockte sich neben ihn und deckte ihn immer wieder zu, war überhaupt sehr fürsorglich für ihn. Er sagte, er sei so elend von Hunger.“ (1789) Spiecker hatte sich bereits beim Distrikt</w:t>
      </w:r>
      <w:r w:rsidR="004F1F04">
        <w:t>s</w:t>
      </w:r>
      <w:r>
        <w:t>chef für ihn verwendet, doch ohne Erfolg (1768).</w:t>
      </w:r>
      <w:r w:rsidR="004F470D">
        <w:t xml:space="preserve"> Paul Frederiks starb am 21.12.1906, drei Wochen nach Spieckers Besuch.</w:t>
      </w:r>
    </w:p>
    <w:p w:rsidR="00CF6655" w:rsidRDefault="00CF6655" w:rsidP="00093B6E">
      <w:pPr>
        <w:pStyle w:val="Titel3"/>
      </w:pPr>
      <w:bookmarkStart w:id="219" w:name="_Toc122313639"/>
      <w:bookmarkStart w:id="220" w:name="_Toc122313727"/>
      <w:bookmarkStart w:id="221" w:name="_Toc130260712"/>
      <w:bookmarkStart w:id="222" w:name="_Toc327388012"/>
      <w:r>
        <w:t>Die Mission als Vertrauensinstanz</w:t>
      </w:r>
      <w:bookmarkEnd w:id="219"/>
      <w:bookmarkEnd w:id="220"/>
      <w:bookmarkEnd w:id="221"/>
      <w:bookmarkEnd w:id="222"/>
    </w:p>
    <w:p w:rsidR="00CF6655" w:rsidRDefault="00CF6655" w:rsidP="00093B6E">
      <w:pPr>
        <w:pStyle w:val="Text"/>
        <w:ind w:firstLine="0"/>
      </w:pPr>
      <w:r>
        <w:t>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in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xml:space="preserve"> erhält einen Brief von Samuel Maha</w:t>
      </w:r>
      <w:r w:rsidR="006F4997">
        <w:t>r</w:t>
      </w:r>
      <w:r>
        <w:t>ero</w:t>
      </w:r>
      <w:r w:rsidR="00363C1C">
        <w:fldChar w:fldCharType="begin"/>
      </w:r>
      <w:r w:rsidR="0016062E">
        <w:instrText xml:space="preserve"> XE "</w:instrText>
      </w:r>
      <w:r w:rsidR="0016062E" w:rsidRPr="003E458F">
        <w:instrText>Maha</w:instrText>
      </w:r>
      <w:r w:rsidR="006F4997">
        <w:instrText>r</w:instrText>
      </w:r>
      <w:r w:rsidR="0016062E" w:rsidRPr="003E458F">
        <w:instrText>ero, Samuel</w:instrText>
      </w:r>
      <w:r w:rsidR="0016062E">
        <w:instrText xml:space="preserve">" </w:instrText>
      </w:r>
      <w:r w:rsidR="00363C1C">
        <w:fldChar w:fldCharType="end"/>
      </w:r>
      <w:r>
        <w:t>, dem Führer des Hereroaufstands, aus dem Exil in Betschuanaland</w:t>
      </w:r>
      <w:r w:rsidR="00363C1C">
        <w:fldChar w:fldCharType="begin"/>
      </w:r>
      <w:r w:rsidR="0016062E">
        <w:instrText xml:space="preserve"> XE "</w:instrText>
      </w:r>
      <w:r w:rsidR="0016062E" w:rsidRPr="00FE0736">
        <w:instrText>Betschuanaland</w:instrText>
      </w:r>
      <w:r w:rsidR="0016062E">
        <w:instrText xml:space="preserve">" </w:instrText>
      </w:r>
      <w:r w:rsidR="00363C1C">
        <w:fldChar w:fldCharType="end"/>
      </w:r>
      <w:r>
        <w:t xml:space="preserve"> (934). Er fragt an, ob sich sein Stamm der dort tätigen Londoner Mission</w:t>
      </w:r>
      <w:r w:rsidR="00363C1C">
        <w:fldChar w:fldCharType="begin"/>
      </w:r>
      <w:r w:rsidR="00710612">
        <w:instrText xml:space="preserve"> XE "</w:instrText>
      </w:r>
      <w:r w:rsidR="00710612" w:rsidRPr="00334C08">
        <w:instrText>Londoner Mission</w:instrText>
      </w:r>
      <w:r w:rsidR="00710612">
        <w:instrText xml:space="preserve">" </w:instrText>
      </w:r>
      <w:r w:rsidR="00363C1C">
        <w:fldChar w:fldCharType="end"/>
      </w:r>
      <w:r>
        <w:t xml:space="preserve"> anschließen dürfe. Spiecker rät dazu, da man dort, im britischen Protektorat, nicht ohne weiteres eine Missionsstation eröffnen kann und wohl auch gar nicht die Leute dazu hätte. Aber auch hier muss man konspirativ vorgehen, um den Ruf der Mission nicht zu gefährden: „[Ich] bat 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durch Br.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in 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r>
        <w:t xml:space="preserve"> an den dortigen Londoner Missionar zu schreiben, er möge sich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annehmen und auch einen Brief an diese einzulegen mit der Aufforderung sich der Londoner Mission anz</w:t>
      </w:r>
      <w:r>
        <w:t>u</w:t>
      </w:r>
      <w:r>
        <w:t>schließen. Wenn wir direkt an Eingeborene nach Betschuanaland schreiben, wird der Brief hier geöffnet und gelesen und Chauvinisten möchten es uns als Mangel an Patriotismus auslegen, wenn wir zum Anschluß an die englische Mission r</w:t>
      </w:r>
      <w:r>
        <w:t>a</w:t>
      </w:r>
      <w:r>
        <w:t>ten, obwohl dieser Anschluß geboten ist.“ (934)</w:t>
      </w:r>
    </w:p>
    <w:p w:rsidR="00CF6655" w:rsidRDefault="00CF6655" w:rsidP="00CF6655">
      <w:pPr>
        <w:pStyle w:val="Text"/>
      </w:pPr>
      <w:r>
        <w:t>Auch Regierung und Militärs brauchen die Mission für Aufgaben, für die das Vertrauen der Eingeborenen erforderlich ist. So wird dringlich auf die Ei</w:t>
      </w:r>
      <w:r>
        <w:t>n</w:t>
      </w:r>
      <w:r>
        <w:t>richtung einer dritten Sammelstation für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neben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und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gedrängt (s. dazu: Abschnitt </w:t>
      </w:r>
      <w:r w:rsidR="00363C1C">
        <w:fldChar w:fldCharType="begin"/>
      </w:r>
      <w:r w:rsidR="00884F17">
        <w:instrText xml:space="preserve"> REF _Ref325355421 \r \h </w:instrText>
      </w:r>
      <w:r w:rsidR="00363C1C">
        <w:fldChar w:fldCharType="separate"/>
      </w:r>
      <w:r w:rsidR="00216538">
        <w:t>2.4.5</w:t>
      </w:r>
      <w:r w:rsidR="00363C1C">
        <w:fldChar w:fldCharType="end"/>
      </w:r>
      <w:r>
        <w:t xml:space="preserve"> „Die Pazifizierung der Herero durch die Mission“). Schließlich wird beschlossen, dass Bruder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xml:space="preserve"> zu diesem Zweck nach </w:t>
      </w:r>
      <w:r w:rsidR="006D1099">
        <w:t>Otjosongombe</w:t>
      </w:r>
      <w:r w:rsidR="00363C1C">
        <w:fldChar w:fldCharType="begin"/>
      </w:r>
      <w:r w:rsidR="00C221A5">
        <w:instrText xml:space="preserve"> XE "</w:instrText>
      </w:r>
      <w:r w:rsidR="006D1099">
        <w:instrText>Otjosongombe</w:instrText>
      </w:r>
      <w:r w:rsidR="00C221A5">
        <w:instrText xml:space="preserve">" </w:instrText>
      </w:r>
      <w:r w:rsidR="00363C1C">
        <w:fldChar w:fldCharType="end"/>
      </w:r>
      <w:r>
        <w:t xml:space="preserve"> gehen soll. (935)</w:t>
      </w:r>
    </w:p>
    <w:p w:rsidR="00CF6655" w:rsidRDefault="00CF6655" w:rsidP="00093B6E">
      <w:pPr>
        <w:pStyle w:val="Titel2"/>
      </w:pPr>
      <w:bookmarkStart w:id="223" w:name="_Toc130260713"/>
      <w:bookmarkStart w:id="224" w:name="_Ref325355916"/>
      <w:bookmarkStart w:id="225" w:name="_Toc327388013"/>
      <w:bookmarkStart w:id="226" w:name="_Toc122313641"/>
      <w:bookmarkStart w:id="227" w:name="_Toc122313729"/>
      <w:r>
        <w:t>Mission und Konflikt</w:t>
      </w:r>
      <w:bookmarkEnd w:id="223"/>
      <w:bookmarkEnd w:id="224"/>
      <w:bookmarkEnd w:id="225"/>
    </w:p>
    <w:p w:rsidR="00CF6655" w:rsidRDefault="00CF6655" w:rsidP="00093B6E">
      <w:pPr>
        <w:pStyle w:val="Titel3"/>
      </w:pPr>
      <w:bookmarkStart w:id="228" w:name="_Toc130260714"/>
      <w:bookmarkStart w:id="229" w:name="_Toc327388014"/>
      <w:bookmarkEnd w:id="226"/>
      <w:bookmarkEnd w:id="227"/>
      <w:r>
        <w:t>Vorüberlegung: Eine ‚Hierarchie der Abstoßung‘?</w:t>
      </w:r>
      <w:bookmarkEnd w:id="228"/>
      <w:bookmarkEnd w:id="229"/>
    </w:p>
    <w:p w:rsidR="00CF6655" w:rsidRDefault="00CF6655" w:rsidP="00093B6E">
      <w:pPr>
        <w:pStyle w:val="Text"/>
        <w:ind w:firstLine="0"/>
      </w:pPr>
      <w:r>
        <w:t>Wenn das Klischeebild eines Kolonialstaats diesen auf die Scheidung zwischen Kolonisatoren und Kolonisierte, Weiße und Farbige, Europäer und ‚andere‘ (Nicht-Europäer) beschränkt sieht, ist damit tatsächlich nur ein Teil der ko</w:t>
      </w:r>
      <w:r>
        <w:t>m</w:t>
      </w:r>
      <w:r>
        <w:t>plexen Konfliktlinien angesprochen, die in der Realität unter kolonialen Bedi</w:t>
      </w:r>
      <w:r>
        <w:t>n</w:t>
      </w:r>
      <w:r>
        <w:t>gungen anzutreffen sind. Konflikte zwischen kolonialisierenden Staaten wurden auch in den Kolonien ausgespielt, was sich in Spieckers Tagebuch an einer gewi</w:t>
      </w:r>
      <w:r>
        <w:t>s</w:t>
      </w:r>
      <w:r>
        <w:t>sen Gereiztheit mancher Kolonialbeamter gegen die Engländer zeigt; religiöse Trennungen sind hier genauso wirksam wie anderswo; die christlichen Konfess</w:t>
      </w:r>
      <w:r>
        <w:t>i</w:t>
      </w:r>
      <w:r>
        <w:t xml:space="preserve">onen, deren Missionen in direkter Konkurrenz stehen, geraten aneinander; und </w:t>
      </w:r>
      <w:r>
        <w:lastRenderedPageBreak/>
        <w:t>die Missionare stehen – bei enger Kooperation – in einem stetigen Spannung</w:t>
      </w:r>
      <w:r>
        <w:t>s</w:t>
      </w:r>
      <w:r>
        <w:t>verhältnis unterschiedlicher Interessen zur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w:t>
      </w:r>
    </w:p>
    <w:p w:rsidR="00CF6655" w:rsidRDefault="00CF6655" w:rsidP="007308C9">
      <w:pPr>
        <w:pStyle w:val="Titel4"/>
      </w:pPr>
      <w:bookmarkStart w:id="230" w:name="_Toc130260715"/>
      <w:bookmarkStart w:id="231" w:name="_Toc327388015"/>
      <w:r>
        <w:t>Grade der Distanz</w:t>
      </w:r>
      <w:bookmarkEnd w:id="230"/>
      <w:bookmarkEnd w:id="231"/>
    </w:p>
    <w:p w:rsidR="00CF6655" w:rsidRDefault="00CF6655" w:rsidP="008A205F">
      <w:pPr>
        <w:pStyle w:val="Text"/>
        <w:ind w:firstLine="0"/>
      </w:pPr>
      <w:r>
        <w:t>In Spieckers Tagebuch finden sich Spuren dieser Konflikte in Form von Gespr</w:t>
      </w:r>
      <w:r>
        <w:t>ä</w:t>
      </w:r>
      <w:r>
        <w:t>chen, Ereignissen, Wertungen. Besonders interessant ist, dass sich eine graduelle Abstufung der Konflikthaltigkeit der Beziehungen entsprechend ihrer religiösen Distanz feststellen lässt, wobei Nationalität nur in zweiter Linie zum Tragen kommt. Der Eindruck eines allgemeinen Misstrauens gegenüber (sozial, nati</w:t>
      </w:r>
      <w:r>
        <w:t>o</w:t>
      </w:r>
      <w:r>
        <w:t>nal, religiös, konfessionell) ‚anderen‘ entsteht, bei dem man nur denen voll ve</w:t>
      </w:r>
      <w:r>
        <w:t>r</w:t>
      </w:r>
      <w:r>
        <w:t>trauen kann, die in allen Kategorien der eigenen Gruppe angehören. Wobei diese sekundären Trennlinien nur wie ein Reflex, ein Echo der primären, alles en</w:t>
      </w:r>
      <w:r>
        <w:t>t</w:t>
      </w:r>
      <w:r>
        <w:t>scheidenden wirken: der zwischen den Hautfarben.</w:t>
      </w:r>
      <w:r>
        <w:rPr>
          <w:rStyle w:val="Funotenzeichen"/>
        </w:rPr>
        <w:footnoteReference w:id="141"/>
      </w:r>
    </w:p>
    <w:p w:rsidR="00CF6655" w:rsidRDefault="00CF6655" w:rsidP="00CF6655">
      <w:pPr>
        <w:pStyle w:val="Text"/>
      </w:pPr>
      <w:r>
        <w:t>Vielleicht stimmt es, dass die Kolonialisierung – als eine perverse Verdr</w:t>
      </w:r>
      <w:r>
        <w:t>e</w:t>
      </w:r>
      <w:r>
        <w:t>hung des menschlichen Soziallebens, eine (Anti-)Möglichkeit menschlichen Mi</w:t>
      </w:r>
      <w:r>
        <w:t>t</w:t>
      </w:r>
      <w:r>
        <w:t>einanders – soviel Misstrauen, Abscheu und Ablehnung säte, dass sich auf die Dauer niemand davor bewahren konnte, davon angesteckt zu werden? Natürlich wäre es vermessen, aus dem Tagebuch eines Menschen auf seinen Charakter schließen zu wollen, deshalb können wir uns nur auf die Gegensätze berufen, die im Tagebuch selbst aufbrechen zwischen einer offenen und mitfühlenden Pe</w:t>
      </w:r>
      <w:r>
        <w:t>r</w:t>
      </w:r>
      <w:r>
        <w:t>sönlichkeit und der automatischen Ablehnung, die Spiecker bestimmten Gru</w:t>
      </w:r>
      <w:r>
        <w:t>p</w:t>
      </w:r>
      <w:r>
        <w:t>pen von Menschen – wie den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und den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 entgegenbringt. Es entsteht der Eindruck einer Persönlichkeit, die in postmoderner Begrifflichkeit „objektivistisch“ denkt, für die Kategorien wie die Religion oder die Staatsang</w:t>
      </w:r>
      <w:r>
        <w:t>e</w:t>
      </w:r>
      <w:r>
        <w:t>hörigkeit etwas so Reales darstellen, dass der Mensch, das individuelle Gege</w:t>
      </w:r>
      <w:r>
        <w:t>n</w:t>
      </w:r>
      <w:r>
        <w:t>über dahinter zurücktritt. Und während Spiecker wahrscheinlich zustimmen würde, dass der Mensch selbst und seine Handlungsweise das Entscheidende sind, kommt er gar nicht auf den Gedanken, dass seine Wahrnehmung ganz a</w:t>
      </w:r>
      <w:r>
        <w:t>n</w:t>
      </w:r>
      <w:r>
        <w:t>ders funktioniert.</w:t>
      </w:r>
    </w:p>
    <w:p w:rsidR="00CF6655" w:rsidRDefault="00CF6655" w:rsidP="007308C9">
      <w:pPr>
        <w:pStyle w:val="Titel4"/>
      </w:pPr>
      <w:bookmarkStart w:id="232" w:name="_Toc130260716"/>
      <w:bookmarkStart w:id="233" w:name="_Ref325354606"/>
      <w:bookmarkStart w:id="234" w:name="_Toc327388016"/>
      <w:r>
        <w:t>Ein Fall von „</w:t>
      </w:r>
      <w:r w:rsidR="005A6F7F">
        <w:t>Othering</w:t>
      </w:r>
      <w:r>
        <w:t>“?</w:t>
      </w:r>
      <w:bookmarkEnd w:id="232"/>
      <w:bookmarkEnd w:id="233"/>
      <w:bookmarkEnd w:id="234"/>
    </w:p>
    <w:p w:rsidR="00CF6655" w:rsidRDefault="00CF6655" w:rsidP="00A53B13">
      <w:pPr>
        <w:pStyle w:val="Text"/>
        <w:ind w:firstLine="0"/>
      </w:pPr>
      <w:r>
        <w:t>Spieckers Katholikenfeindschaft ist in diesem Zusammenhang besonders auffa</w:t>
      </w:r>
      <w:r>
        <w:t>l</w:t>
      </w:r>
      <w:r>
        <w:t>lend. Lothar Engel weist darauf hin, dass sich Spiecker aus Furcht vor dem wac</w:t>
      </w:r>
      <w:r>
        <w:t>h</w:t>
      </w:r>
      <w:r>
        <w:t>senden Einfluss der „Römischen“ für die Gründung separater deutschsprachiger Gemeinden, für die Pfarrer aus Deutschland geschickt werden sollen, einsetzt.</w:t>
      </w:r>
      <w:r>
        <w:rPr>
          <w:rStyle w:val="Funotenzeichen"/>
        </w:rPr>
        <w:footnoteReference w:id="142"/>
      </w:r>
      <w:r>
        <w:t xml:space="preserve"> </w:t>
      </w:r>
      <w:r>
        <w:lastRenderedPageBreak/>
        <w:t>Damit leistet er indirekt – und wohl ohne es zu wollen – der säuberlichen Tre</w:t>
      </w:r>
      <w:r>
        <w:t>n</w:t>
      </w:r>
      <w:r>
        <w:t>nung der Rassen auch im kirchlichen Bereich Vorschub.</w:t>
      </w:r>
    </w:p>
    <w:p w:rsidR="00CF6655" w:rsidRDefault="00CF6655" w:rsidP="00CF6655">
      <w:pPr>
        <w:pStyle w:val="Text"/>
      </w:pPr>
      <w:r>
        <w:t>Die erbitterte Feindschaft gegenüber den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lässt sich vielleicht damit erklären, dass bei Spiecker die Religion, die sein ganzes Leben bestimmt, persönlichkeitskonstitutives Merkmal ist; sie ist so zentral für sein Selbstve</w:t>
      </w:r>
      <w:r>
        <w:t>r</w:t>
      </w:r>
      <w:r>
        <w:t>ständnis, dass er nicht anders kann als religiös ‚Andere‘ abzulehnen. Hier kommt nun ein Prozess ins Spiel, der von der postkolonialen Theorie als „</w:t>
      </w:r>
      <w:r w:rsidR="005A6F7F">
        <w:t>Othering</w:t>
      </w:r>
      <w:r>
        <w:t>“ b</w:t>
      </w:r>
      <w:r>
        <w:t>e</w:t>
      </w:r>
      <w:r>
        <w:t>zeichnet wird.</w:t>
      </w:r>
    </w:p>
    <w:p w:rsidR="00CF6655" w:rsidRDefault="00CF6655" w:rsidP="00CF6655">
      <w:pPr>
        <w:pStyle w:val="Text"/>
      </w:pPr>
      <w:r>
        <w:t>Der Begriff „</w:t>
      </w:r>
      <w:r w:rsidR="005A6F7F">
        <w:t>Othering</w:t>
      </w:r>
      <w:r>
        <w:t>“ wurde von Gayatri Spivak</w:t>
      </w:r>
      <w:r w:rsidR="00363C1C">
        <w:fldChar w:fldCharType="begin"/>
      </w:r>
      <w:r w:rsidR="00AA2655">
        <w:instrText xml:space="preserve"> XE "</w:instrText>
      </w:r>
      <w:r w:rsidR="00AA2655" w:rsidRPr="003F1DA0">
        <w:instrText>Spivak, Gayatri</w:instrText>
      </w:r>
      <w:r w:rsidR="00AA2655">
        <w:instrText xml:space="preserve">" </w:instrText>
      </w:r>
      <w:r w:rsidR="00363C1C">
        <w:fldChar w:fldCharType="end"/>
      </w:r>
      <w:r>
        <w:t xml:space="preserve"> eingeführt, um den Pr</w:t>
      </w:r>
      <w:r>
        <w:t>o</w:t>
      </w:r>
      <w:r>
        <w:t>zess der Konstruktion des kolonialen Subjekts theoretisch erfassen zu können:</w:t>
      </w:r>
    </w:p>
    <w:p w:rsidR="00CF6655" w:rsidRDefault="00CF6655" w:rsidP="00343257">
      <w:pPr>
        <w:pStyle w:val="ZitatAbsto"/>
        <w:rPr>
          <w:lang w:val="en-GB"/>
        </w:rPr>
      </w:pPr>
      <w:r>
        <w:rPr>
          <w:lang w:val="en-GB"/>
        </w:rPr>
        <w:t xml:space="preserve">Whereas the </w:t>
      </w:r>
      <w:proofErr w:type="gramStart"/>
      <w:r>
        <w:rPr>
          <w:lang w:val="en-GB"/>
        </w:rPr>
        <w:t>Other</w:t>
      </w:r>
      <w:proofErr w:type="gramEnd"/>
      <w:r>
        <w:rPr>
          <w:lang w:val="en-GB"/>
        </w:rPr>
        <w:t xml:space="preserve"> corresponds to the focus of desire or power […] in relation to which the subject is produced, the other is the excluded or ‘mastered’ su</w:t>
      </w:r>
      <w:r>
        <w:rPr>
          <w:lang w:val="en-GB"/>
        </w:rPr>
        <w:t>b</w:t>
      </w:r>
      <w:r>
        <w:rPr>
          <w:lang w:val="en-GB"/>
        </w:rPr>
        <w:t xml:space="preserve">ject created by the discourse of power. </w:t>
      </w:r>
      <w:r w:rsidR="005A6F7F">
        <w:rPr>
          <w:lang w:val="en-GB"/>
        </w:rPr>
        <w:t>Othering</w:t>
      </w:r>
      <w:r w:rsidR="00363C1C">
        <w:rPr>
          <w:lang w:val="en-GB"/>
        </w:rPr>
        <w:fldChar w:fldCharType="begin"/>
      </w:r>
      <w:r w:rsidR="00AA2655" w:rsidRPr="00AA2655">
        <w:rPr>
          <w:lang w:val="en-US"/>
        </w:rPr>
        <w:instrText xml:space="preserve"> XE "</w:instrText>
      </w:r>
      <w:r w:rsidR="005A6F7F">
        <w:rPr>
          <w:lang w:val="en-US"/>
        </w:rPr>
        <w:instrText>Othering</w:instrText>
      </w:r>
      <w:r w:rsidR="00AA2655" w:rsidRPr="00AA2655">
        <w:rPr>
          <w:lang w:val="en-US"/>
        </w:rPr>
        <w:instrText xml:space="preserve">" </w:instrText>
      </w:r>
      <w:r w:rsidR="00363C1C">
        <w:rPr>
          <w:lang w:val="en-GB"/>
        </w:rPr>
        <w:fldChar w:fldCharType="end"/>
      </w:r>
      <w:r>
        <w:rPr>
          <w:lang w:val="en-GB"/>
        </w:rPr>
        <w:t xml:space="preserve"> describes the various ways in which colonial discourse produces its subjects. In Spivak</w:t>
      </w:r>
      <w:r w:rsidR="00363C1C">
        <w:rPr>
          <w:lang w:val="en-GB"/>
        </w:rPr>
        <w:fldChar w:fldCharType="begin"/>
      </w:r>
      <w:r w:rsidR="00AA2655" w:rsidRPr="00AA2655">
        <w:rPr>
          <w:lang w:val="en-US"/>
        </w:rPr>
        <w:instrText xml:space="preserve"> XE "Spivak, Gayatri" </w:instrText>
      </w:r>
      <w:r w:rsidR="00363C1C">
        <w:rPr>
          <w:lang w:val="en-GB"/>
        </w:rPr>
        <w:fldChar w:fldCharType="end"/>
      </w:r>
      <w:r>
        <w:rPr>
          <w:lang w:val="en-GB"/>
        </w:rPr>
        <w:t xml:space="preserve">’s explanation, </w:t>
      </w:r>
      <w:r w:rsidR="005A6F7F">
        <w:rPr>
          <w:lang w:val="en-GB"/>
        </w:rPr>
        <w:t>Othe</w:t>
      </w:r>
      <w:r w:rsidR="005A6F7F">
        <w:rPr>
          <w:lang w:val="en-GB"/>
        </w:rPr>
        <w:t>r</w:t>
      </w:r>
      <w:r w:rsidR="005A6F7F">
        <w:rPr>
          <w:lang w:val="en-GB"/>
        </w:rPr>
        <w:t>ing</w:t>
      </w:r>
      <w:r>
        <w:rPr>
          <w:lang w:val="en-GB"/>
        </w:rPr>
        <w:t xml:space="preserve"> is a dialectical process because the colonizing </w:t>
      </w:r>
      <w:proofErr w:type="gramStart"/>
      <w:r>
        <w:rPr>
          <w:i/>
          <w:iCs/>
          <w:lang w:val="en-GB"/>
        </w:rPr>
        <w:t>Other</w:t>
      </w:r>
      <w:proofErr w:type="gramEnd"/>
      <w:r>
        <w:rPr>
          <w:i/>
          <w:iCs/>
          <w:lang w:val="en-GB"/>
        </w:rPr>
        <w:t xml:space="preserve"> </w:t>
      </w:r>
      <w:r>
        <w:rPr>
          <w:lang w:val="en-GB"/>
        </w:rPr>
        <w:t>is established at the same time as its colonized others are produced as subjects.</w:t>
      </w:r>
    </w:p>
    <w:p w:rsidR="00CF6655" w:rsidRDefault="00CF6655" w:rsidP="00343257">
      <w:pPr>
        <w:pStyle w:val="ZitatAbstu"/>
        <w:rPr>
          <w:lang w:val="en-GB"/>
        </w:rPr>
      </w:pPr>
      <w:r>
        <w:rPr>
          <w:lang w:val="en-GB"/>
        </w:rPr>
        <w:t>It is important to note that, while Spivak</w:t>
      </w:r>
      <w:r w:rsidR="00363C1C">
        <w:rPr>
          <w:lang w:val="en-GB"/>
        </w:rPr>
        <w:fldChar w:fldCharType="begin"/>
      </w:r>
      <w:r w:rsidR="00AA2655" w:rsidRPr="00AA2655">
        <w:rPr>
          <w:lang w:val="en-US"/>
        </w:rPr>
        <w:instrText xml:space="preserve"> XE "Spivak, Gayatri" </w:instrText>
      </w:r>
      <w:r w:rsidR="00363C1C">
        <w:rPr>
          <w:lang w:val="en-GB"/>
        </w:rPr>
        <w:fldChar w:fldCharType="end"/>
      </w:r>
      <w:r>
        <w:rPr>
          <w:lang w:val="en-GB"/>
        </w:rPr>
        <w:t xml:space="preserve"> adheres faithfully to the Lacanian distinction between ‘Other’ and ‘other’, many critics use the spellings inte</w:t>
      </w:r>
      <w:r>
        <w:rPr>
          <w:lang w:val="en-GB"/>
        </w:rPr>
        <w:t>r</w:t>
      </w:r>
      <w:r>
        <w:rPr>
          <w:lang w:val="en-GB"/>
        </w:rPr>
        <w:t>changeably […].</w:t>
      </w:r>
      <w:r>
        <w:rPr>
          <w:rStyle w:val="Funotenzeichen"/>
          <w:lang w:val="en-GB"/>
        </w:rPr>
        <w:footnoteReference w:id="143"/>
      </w:r>
    </w:p>
    <w:p w:rsidR="00CF6655" w:rsidRDefault="00CF6655" w:rsidP="00343257">
      <w:pPr>
        <w:pStyle w:val="Text"/>
        <w:ind w:firstLine="0"/>
      </w:pPr>
      <w:r>
        <w:t>Interessant und durchaus spannend ist die Überlegung, ob sich dieser Begriff auch auf den Katholikenhass Spieckers anwenden lässt. Tatsächlich erinnert die Verachtung und ‚Feind-Seligkeit‘, die Spiecker den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gegenüber zeigt und die schon in seiner Wortwahl deutlich zum Ausdruck kommt (vgl. A</w:t>
      </w:r>
      <w:r>
        <w:t>b</w:t>
      </w:r>
      <w:r>
        <w:t xml:space="preserve">schnitt </w:t>
      </w:r>
      <w:r w:rsidR="00363C1C">
        <w:fldChar w:fldCharType="begin"/>
      </w:r>
      <w:r w:rsidR="00884F17">
        <w:instrText xml:space="preserve"> REF _Ref325355443 \r \h </w:instrText>
      </w:r>
      <w:r w:rsidR="00363C1C">
        <w:fldChar w:fldCharType="separate"/>
      </w:r>
      <w:r w:rsidR="00216538">
        <w:t>2.3.5.1</w:t>
      </w:r>
      <w:r w:rsidR="00363C1C">
        <w:fldChar w:fldCharType="end"/>
      </w:r>
      <w:r>
        <w:t xml:space="preserve"> „Katholiken“), an den Willen der Kolonialisten und Rassisten, sich um jeden Preis ein möglichst schlechtes Bild von den nicht-europäischen ‚Anderen‘ zu machen. Dabei wird für jedes Ereignis, für jede berichtete Episode die für die ‚Zielgruppe‘ der Wut negativste Deutung gewählt, und auch gro</w:t>
      </w:r>
      <w:r>
        <w:t>b</w:t>
      </w:r>
      <w:r>
        <w:t>schlächtige Verzerrungen oder Vereinfachungen sind als Mittel recht.</w:t>
      </w:r>
    </w:p>
    <w:p w:rsidR="00CF6655" w:rsidRDefault="00CF6655" w:rsidP="00CF6655">
      <w:pPr>
        <w:pStyle w:val="Text"/>
      </w:pPr>
      <w:r>
        <w:lastRenderedPageBreak/>
        <w:t>Zwar ist dieser Vorgang, bezogen auf die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zunächst auf einen Bereich begrenzt, nämlich den der Religion. Während heute angestrebt wird, Unterschiede in einzelnen Bereichen für sich zu betrachten und nicht auf andere Bereiche zu übertragen, wodurch Rückschlüsse von bestimmten Gruppenzug</w:t>
      </w:r>
      <w:r>
        <w:t>e</w:t>
      </w:r>
      <w:r>
        <w:t>hörigkeiten beispielsweise auf Charaktermerkmale unmöglich werden, überträgt Spiecker unreflektiert die Feindseligkeit auf die moralische, soziale und chara</w:t>
      </w:r>
      <w:r>
        <w:t>k</w:t>
      </w:r>
      <w:r>
        <w:t>terliche Bewertung der verachteten Gruppe.</w:t>
      </w:r>
    </w:p>
    <w:p w:rsidR="00CF6655" w:rsidRDefault="00CF6655" w:rsidP="00CF6655">
      <w:pPr>
        <w:pStyle w:val="Text"/>
      </w:pPr>
      <w:r>
        <w:t>Auch die subjektkonstituierende Wirkung ist hier von Bedeutung, die Spivak</w:t>
      </w:r>
      <w:r w:rsidR="00363C1C">
        <w:fldChar w:fldCharType="begin"/>
      </w:r>
      <w:r w:rsidR="00AA2655">
        <w:instrText xml:space="preserve"> XE "</w:instrText>
      </w:r>
      <w:r w:rsidR="00AA2655" w:rsidRPr="003F1DA0">
        <w:instrText>Spivak, Gayatri</w:instrText>
      </w:r>
      <w:r w:rsidR="00AA2655">
        <w:instrText xml:space="preserve">" </w:instrText>
      </w:r>
      <w:r w:rsidR="00363C1C">
        <w:fldChar w:fldCharType="end"/>
      </w:r>
      <w:r>
        <w:t xml:space="preserve"> im Anschluss an Lacan</w:t>
      </w:r>
      <w:r w:rsidR="00363C1C">
        <w:fldChar w:fldCharType="begin"/>
      </w:r>
      <w:r w:rsidR="00AA2655">
        <w:instrText xml:space="preserve"> XE "</w:instrText>
      </w:r>
      <w:r w:rsidR="00AA2655" w:rsidRPr="00BE5403">
        <w:instrText>Lacan, Jacques</w:instrText>
      </w:r>
      <w:r w:rsidR="00AA2655">
        <w:instrText xml:space="preserve">" </w:instrText>
      </w:r>
      <w:r w:rsidR="00363C1C">
        <w:fldChar w:fldCharType="end"/>
      </w:r>
      <w:r>
        <w:t xml:space="preserve"> dem „</w:t>
      </w:r>
      <w:r w:rsidR="005A6F7F">
        <w:t>Othering</w:t>
      </w:r>
      <w:r>
        <w:t>“ zuschreibt; im Bereich des Kol</w:t>
      </w:r>
      <w:r>
        <w:t>o</w:t>
      </w:r>
      <w:r>
        <w:t>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ist für das Entstehen des positiven, idealen „Other“ (Europa; Kultur und Zivilisation; Überlegenheit) die Ablehnung des verachteten „other“ (Afrika; Barbarei und Unzivilisiertheit; Unterlegenheit) die notwendige Voraussetzung. Bei Spiecker als einem Menschen, für den die Religion das spirituelle Leben wie den Alltag bestimmt, Beruf und Lebenszweck zugleich ist, liegt es daher nahe, sie auch als entscheidenden Bereich der Subjektkonstitution zu postulieren.</w:t>
      </w:r>
    </w:p>
    <w:p w:rsidR="00CF6655" w:rsidRDefault="00CF6655" w:rsidP="00CF6655">
      <w:pPr>
        <w:pStyle w:val="Text"/>
      </w:pPr>
      <w:r>
        <w:t>Dass es bei diesem Prozess auf Glaubwürdigkeit des konstruierten Gege</w:t>
      </w:r>
      <w:r>
        <w:t>n</w:t>
      </w:r>
      <w:r>
        <w:t>stücks gar nicht ankommt, liegt daran, dass es um dieses, wie Syed M. Islam b</w:t>
      </w:r>
      <w:r>
        <w:t>e</w:t>
      </w:r>
      <w:r>
        <w:t>tont, tatsächlich gar nicht geht:</w:t>
      </w:r>
    </w:p>
    <w:p w:rsidR="00CF6655" w:rsidRDefault="00CF6655" w:rsidP="00CF6655">
      <w:pPr>
        <w:pStyle w:val="Zitat"/>
        <w:rPr>
          <w:lang w:val="en-GB"/>
        </w:rPr>
      </w:pPr>
      <w:r>
        <w:rPr>
          <w:lang w:val="en-GB"/>
        </w:rPr>
        <w:t xml:space="preserve">One cannot produce the other. […] Only the act of </w:t>
      </w:r>
      <w:r w:rsidR="005A6F7F">
        <w:rPr>
          <w:lang w:val="en-GB"/>
        </w:rPr>
        <w:t>Othering</w:t>
      </w:r>
      <w:r>
        <w:rPr>
          <w:lang w:val="en-GB"/>
        </w:rPr>
        <w:t xml:space="preserve"> produces a rel</w:t>
      </w:r>
      <w:r>
        <w:rPr>
          <w:lang w:val="en-GB"/>
        </w:rPr>
        <w:t>a</w:t>
      </w:r>
      <w:r>
        <w:rPr>
          <w:lang w:val="en-GB"/>
        </w:rPr>
        <w:t xml:space="preserve">tional point, a surface of reflection, </w:t>
      </w:r>
      <w:proofErr w:type="gramStart"/>
      <w:r>
        <w:rPr>
          <w:lang w:val="en-GB"/>
        </w:rPr>
        <w:t>an</w:t>
      </w:r>
      <w:proofErr w:type="gramEnd"/>
      <w:r>
        <w:rPr>
          <w:lang w:val="en-GB"/>
        </w:rPr>
        <w:t xml:space="preserve"> oppositional or negative pole in repr</w:t>
      </w:r>
      <w:r>
        <w:rPr>
          <w:lang w:val="en-GB"/>
        </w:rPr>
        <w:t>e</w:t>
      </w:r>
      <w:r>
        <w:rPr>
          <w:lang w:val="en-GB"/>
        </w:rPr>
        <w:t xml:space="preserve">sentation. It is by wrenching the other from the outside and turning it into an object of designation and predication that the </w:t>
      </w:r>
      <w:r w:rsidR="005A6F7F">
        <w:rPr>
          <w:lang w:val="en-GB"/>
        </w:rPr>
        <w:t>Othering</w:t>
      </w:r>
      <w:r>
        <w:rPr>
          <w:lang w:val="en-GB"/>
        </w:rPr>
        <w:t xml:space="preserve"> is accomplished.</w:t>
      </w:r>
      <w:r>
        <w:rPr>
          <w:rStyle w:val="Funotenzeichen"/>
          <w:lang w:val="en-GB"/>
        </w:rPr>
        <w:footnoteReference w:id="144"/>
      </w:r>
    </w:p>
    <w:p w:rsidR="00CF6655" w:rsidRDefault="005A6F7F" w:rsidP="00343257">
      <w:pPr>
        <w:pStyle w:val="Text"/>
        <w:ind w:firstLine="0"/>
      </w:pPr>
      <w:r>
        <w:t>Othering</w:t>
      </w:r>
      <w:r w:rsidR="00363C1C">
        <w:fldChar w:fldCharType="begin"/>
      </w:r>
      <w:r w:rsidR="00AA2655">
        <w:instrText xml:space="preserve"> XE "</w:instrText>
      </w:r>
      <w:r>
        <w:instrText>Othering</w:instrText>
      </w:r>
      <w:r w:rsidR="00AA2655">
        <w:instrText xml:space="preserve">" </w:instrText>
      </w:r>
      <w:r w:rsidR="00363C1C">
        <w:fldChar w:fldCharType="end"/>
      </w:r>
      <w:r w:rsidR="00CF6655">
        <w:t xml:space="preserve"> ist also gerade nicht die ‚Produktion des anderen‘ (irgendeiner gültigen Repräsentation eines Gegenübers), sondern findet statt, um für das Selbst ein Gegenstück – oder besser noch: ‚Nicht-Stück‘ – zu erzeugen, einen (schwarzen) Hintergrund, von dem man sich (weiß) abheben kann. Das Selbst, dem dies aus eigener Kraft, von innen heraus nicht gelingt, wird durch die Postulierung de</w:t>
      </w:r>
      <w:r w:rsidR="00CF6655">
        <w:t>s</w:t>
      </w:r>
      <w:r w:rsidR="00CF6655">
        <w:t>sen, was es nicht sein soll, scharf konturiert; ähnlich wie bei einem Künstler, der zur Herstellung eines Lichteffekts die Umgebung abdunkeln muss, dient die ‚Schwarzmalerei‘ der Erzeugung eines glänzenden Weiß.</w:t>
      </w:r>
    </w:p>
    <w:p w:rsidR="00CF6655" w:rsidRDefault="00CF6655" w:rsidP="00CF6655">
      <w:pPr>
        <w:pStyle w:val="Text"/>
      </w:pPr>
      <w:r>
        <w:t>Wenn man bereit ist, die Verwendung des Begriffs „</w:t>
      </w:r>
      <w:r w:rsidR="005A6F7F">
        <w:t>Othering</w:t>
      </w:r>
      <w:r>
        <w:t>“ auf die Au</w:t>
      </w:r>
      <w:r>
        <w:t>s</w:t>
      </w:r>
      <w:r>
        <w:t>grenzung der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anzuwenden, dann geschieht dies sicher nicht ganz o</w:t>
      </w:r>
      <w:r>
        <w:t>h</w:t>
      </w:r>
      <w:r>
        <w:t>ne Ironie, da er in der postkolonialen Theorie normalerweise nicht auf solche ‚Meinungsverschiedenheiten‘ zwischen Europäern angewandt wird. Doch die Konstruktion eines allgemeinen Begriffs, der dann aber nur auf eine spezifische Relation angewandt wird, erscheint problematisch. Wenn ein theoretisches Ko</w:t>
      </w:r>
      <w:r>
        <w:t>n</w:t>
      </w:r>
      <w:r>
        <w:t>strukt wie „</w:t>
      </w:r>
      <w:r w:rsidR="005A6F7F">
        <w:t>Othering</w:t>
      </w:r>
      <w:r>
        <w:t>“ etwas taugen soll, dann muss es sich auch außerhalb des üblicherweise gewählten Kontexts beweisen können. Der Widerspruch, die K</w:t>
      </w:r>
      <w:r>
        <w:t>a</w:t>
      </w:r>
      <w:r>
        <w:t>tholiken ‚seien doch in Wirklichkeit viel zu ähnlich‘, um den Prozess als „</w:t>
      </w:r>
      <w:r w:rsidR="005A6F7F">
        <w:t>Othering</w:t>
      </w:r>
      <w:r>
        <w:t>“ zu beschreiben, kann dabei keine Rolle spielen; ist doch für die Th</w:t>
      </w:r>
      <w:r>
        <w:t>e</w:t>
      </w:r>
      <w:r>
        <w:lastRenderedPageBreak/>
        <w:t>orie, der der Begriff entstammt, gerade eine solche ‚objektive Verschiedenheit‘ kein Kriterium. Vielmehr ist es die subjektive Bedeutung, die einem (objektiv kleinen oder großen) Unterschied beigemessen wird, die zählt; und für Spiecker scheinen alle Gemeinsamkeiten mit den Katholiken – Kultur, Hautfarbe, Sprache – nicht ins Gewicht zu fallen! – Übrigens handelt es sich natürlich nicht um eine bloße Eigenart Spieckers; die Rheinische Mission befand sich zum Zeitpunkt seiner Reise in einem eskalierenden Konflikt mit der katholischen Mission.</w:t>
      </w:r>
      <w:r>
        <w:rPr>
          <w:rStyle w:val="Funotenzeichen"/>
        </w:rPr>
        <w:footnoteReference w:id="145"/>
      </w:r>
      <w:r>
        <w:t xml:space="preserve"> Zudem war die rigide Ablehnung der Katholiken damals in weiten Kreisen des deutschen Protestantismus eine Selbstverständlichkeit; sie erscheint jedoch bei Spiecker besonders ausgeprägt.</w:t>
      </w:r>
      <w:r>
        <w:rPr>
          <w:rStyle w:val="Funotenzeichen"/>
        </w:rPr>
        <w:footnoteReference w:id="146"/>
      </w:r>
    </w:p>
    <w:p w:rsidR="00CF6655" w:rsidRDefault="00CF6655" w:rsidP="007308C9">
      <w:pPr>
        <w:pStyle w:val="Titel4"/>
      </w:pPr>
      <w:bookmarkStart w:id="235" w:name="_Toc130260717"/>
      <w:bookmarkStart w:id="236" w:name="_Toc327388017"/>
      <w:r>
        <w:t>Der selbstverständliche Feind</w:t>
      </w:r>
      <w:bookmarkEnd w:id="235"/>
      <w:bookmarkEnd w:id="236"/>
    </w:p>
    <w:p w:rsidR="00CF6655" w:rsidRDefault="00CF6655" w:rsidP="0005697F">
      <w:pPr>
        <w:pStyle w:val="Text"/>
        <w:ind w:firstLine="0"/>
      </w:pPr>
      <w:r>
        <w:t xml:space="preserve">Etwas anders </w:t>
      </w:r>
      <w:r w:rsidR="00CD55BA">
        <w:t xml:space="preserve">stellt sich </w:t>
      </w:r>
      <w:r>
        <w:t>die Lage bei der Judenfeindschaft</w:t>
      </w:r>
      <w:r w:rsidR="00CD55BA">
        <w:t xml:space="preserve"> dar</w:t>
      </w:r>
      <w:r>
        <w:t xml:space="preserve">. Diese wirkt nicht so, als sei sie Spiecker ein persönliches Anliegen; er </w:t>
      </w:r>
      <w:r w:rsidR="00C9171B">
        <w:t xml:space="preserve">gibt </w:t>
      </w:r>
      <w:r>
        <w:t>eher die gängigen Urte</w:t>
      </w:r>
      <w:r>
        <w:t>i</w:t>
      </w:r>
      <w:r>
        <w:t>le über die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und ihre „Treibereien“ (1859)</w:t>
      </w:r>
      <w:r w:rsidR="00C9171B">
        <w:t xml:space="preserve"> wieder</w:t>
      </w:r>
      <w:r>
        <w:t>.</w:t>
      </w:r>
      <w:r w:rsidR="0005697F">
        <w:rPr>
          <w:rStyle w:val="Funotenzeichen"/>
        </w:rPr>
        <w:footnoteReference w:id="147"/>
      </w:r>
      <w:r>
        <w:t xml:space="preserve"> Das Beispiel des Kaufmanns Meyer</w:t>
      </w:r>
      <w:r w:rsidR="00363C1C">
        <w:fldChar w:fldCharType="begin"/>
      </w:r>
      <w:r w:rsidR="00D20257">
        <w:instrText xml:space="preserve"> XE "</w:instrText>
      </w:r>
      <w:r w:rsidR="00D20257" w:rsidRPr="00D438D6">
        <w:instrText>Meyer, Br.</w:instrText>
      </w:r>
      <w:r w:rsidR="00D20257">
        <w:instrText xml:space="preserve">" </w:instrText>
      </w:r>
      <w:r w:rsidR="00363C1C">
        <w:fldChar w:fldCharType="end"/>
      </w:r>
      <w:r>
        <w:t>, der sich über die jüdischen Händler beschwert und dessen Vorwürfe Spiecker eins zu eins übernimmt, ohne auch nur für einen Moment die Konkurrenzsituation als mögliche Quelle der Vorwürfe in Betracht zu ziehen, zeigt die Ungleichbehandlung, die er den verschiedenen religiösen und Bevölk</w:t>
      </w:r>
      <w:r>
        <w:t>e</w:t>
      </w:r>
      <w:r>
        <w:t>rungsgruppen angedeihen lässt. Denn kritisches Nachfragen gehört bei Spiecker beispielsweise bei Vorwürfen gegen die Eingeborenen jederzeit zum Repertoire. Bei den Juden ist daher gerade die Selbstverständlichkeit, mit der sie dem Chri</w:t>
      </w:r>
      <w:r>
        <w:t>s</w:t>
      </w:r>
      <w:r>
        <w:t>ten Spiecker zum Feindbild geraten – eine Selbstverständlichkeit, die so groß ist, dass Spiecker vermutlich gar nichts mehr spürt, wenn er Juden verächtlich b</w:t>
      </w:r>
      <w:r>
        <w:t>e</w:t>
      </w:r>
      <w:r>
        <w:t>trachtet, während bei den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sein Ärger unzweifelhaft ist –, die diesen Vorgang so erschreckend macht.</w:t>
      </w:r>
    </w:p>
    <w:p w:rsidR="00CF6655" w:rsidRDefault="00CF6655" w:rsidP="00DF23A3">
      <w:pPr>
        <w:pStyle w:val="Titel3"/>
      </w:pPr>
      <w:bookmarkStart w:id="237" w:name="_Toc130260718"/>
      <w:bookmarkStart w:id="238" w:name="_Ref325355831"/>
      <w:bookmarkStart w:id="239" w:name="_Ref325357529"/>
      <w:bookmarkStart w:id="240" w:name="_Toc327388018"/>
      <w:r>
        <w:t>Zwei Reiche</w:t>
      </w:r>
      <w:bookmarkEnd w:id="237"/>
      <w:bookmarkEnd w:id="238"/>
      <w:bookmarkEnd w:id="239"/>
      <w:bookmarkEnd w:id="240"/>
    </w:p>
    <w:p w:rsidR="00CF6655" w:rsidRDefault="00CF6655" w:rsidP="00CD55BA">
      <w:pPr>
        <w:pStyle w:val="Text"/>
        <w:ind w:firstLine="0"/>
      </w:pPr>
      <w:r>
        <w:t>Um die weitgehend unkritische Haltung der Missionare zur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zu verstehen, ist es hilfreich, sich die „Lehre von den Zwei Reichen“ oder „Zwei-</w:t>
      </w:r>
      <w:r>
        <w:lastRenderedPageBreak/>
        <w:t>Reiche-Lehre</w:t>
      </w:r>
      <w:r w:rsidR="00363C1C">
        <w:fldChar w:fldCharType="begin"/>
      </w:r>
      <w:r w:rsidR="006A7F44">
        <w:instrText xml:space="preserve"> XE "</w:instrText>
      </w:r>
      <w:r w:rsidR="006A7F44" w:rsidRPr="004C66D4">
        <w:instrText>Zwei-Reiche-Lehre</w:instrText>
      </w:r>
      <w:r w:rsidR="006A7F44">
        <w:instrText xml:space="preserve">" </w:instrText>
      </w:r>
      <w:r w:rsidR="00363C1C">
        <w:fldChar w:fldCharType="end"/>
      </w:r>
      <w:r>
        <w:t>“ zu vergegenwärtigen. Dieser Begriff ist – allerdings erst im 20. Jahrhunderts – für eine Theorie üblich geworden, die sich auf ausgewählte Bibe</w:t>
      </w:r>
      <w:r>
        <w:t>l</w:t>
      </w:r>
      <w:r>
        <w:t>stellen und Aussagen Luthers</w:t>
      </w:r>
      <w:r w:rsidR="00363C1C">
        <w:fldChar w:fldCharType="begin"/>
      </w:r>
      <w:r w:rsidR="006A7F44">
        <w:instrText xml:space="preserve"> XE "</w:instrText>
      </w:r>
      <w:r w:rsidR="006A7F44" w:rsidRPr="00AF37B1">
        <w:instrText>Luther, Martin</w:instrText>
      </w:r>
      <w:r w:rsidR="006A7F44">
        <w:instrText xml:space="preserve">" </w:instrText>
      </w:r>
      <w:r w:rsidR="00363C1C">
        <w:fldChar w:fldCharType="end"/>
      </w:r>
      <w:r>
        <w:t xml:space="preserve"> gründet, aus denen eine zusammenhängende Th</w:t>
      </w:r>
      <w:r>
        <w:t>e</w:t>
      </w:r>
      <w:r>
        <w:t>orie über das Verhältnis des Christen zur weltlichen Macht konstruiert wurde.</w:t>
      </w:r>
      <w:r>
        <w:rPr>
          <w:rStyle w:val="Funotenzeichen"/>
        </w:rPr>
        <w:footnoteReference w:id="148"/>
      </w:r>
      <w:r>
        <w:t xml:space="preserve"> Diese Vorstellungen traten bei verschiedenen Theologen in verschiedener Form auf; der Name „Lehre von den zwei Reichen“ wurde erst im 20. Jahrhundert ei</w:t>
      </w:r>
      <w:r>
        <w:t>n</w:t>
      </w:r>
      <w:r>
        <w:t>geführt (ab 1920 in der „Dialektischen Theologie“ Karl Barths</w:t>
      </w:r>
      <w:r w:rsidR="00363C1C">
        <w:fldChar w:fldCharType="begin"/>
      </w:r>
      <w:r w:rsidR="0036732D">
        <w:instrText xml:space="preserve"> XE "</w:instrText>
      </w:r>
      <w:r w:rsidR="0036732D" w:rsidRPr="00EB0B98">
        <w:instrText>Barth, Karl</w:instrText>
      </w:r>
      <w:r w:rsidR="0036732D">
        <w:instrText xml:space="preserve">" </w:instrText>
      </w:r>
      <w:r w:rsidR="00363C1C">
        <w:fldChar w:fldCharType="end"/>
      </w:r>
      <w:r>
        <w:t>).</w:t>
      </w:r>
    </w:p>
    <w:p w:rsidR="00CF6655" w:rsidRDefault="00CF6655" w:rsidP="00CF6655">
      <w:pPr>
        <w:pStyle w:val="Text"/>
      </w:pPr>
      <w:r>
        <w:t>Die Zwei-Reiche-Lehre</w:t>
      </w:r>
      <w:r w:rsidR="00363C1C">
        <w:fldChar w:fldCharType="begin"/>
      </w:r>
      <w:r w:rsidR="006A7F44">
        <w:instrText xml:space="preserve"> XE "</w:instrText>
      </w:r>
      <w:r w:rsidR="006A7F44" w:rsidRPr="004C66D4">
        <w:instrText>Zwei-Reiche-Lehre</w:instrText>
      </w:r>
      <w:r w:rsidR="006A7F44">
        <w:instrText xml:space="preserve">" </w:instrText>
      </w:r>
      <w:r w:rsidR="00363C1C">
        <w:fldChar w:fldCharType="end"/>
      </w:r>
      <w:r>
        <w:t xml:space="preserve"> basiert auf der Unterscheidung zwischen dem Me</w:t>
      </w:r>
      <w:r>
        <w:t>n</w:t>
      </w:r>
      <w:r>
        <w:t>schen als „Naturwesen“ und „Vernunftwesen“. Naturwesen ist der Mensch als Teil der Schöpfung, Vernunftwesen durch die Teilhabe an der Gnade Gottes. Denn Gott hat den Menschen in seinem Bild („imago dei</w:t>
      </w:r>
      <w:r w:rsidR="00363C1C">
        <w:fldChar w:fldCharType="begin"/>
      </w:r>
      <w:r w:rsidR="0036732D">
        <w:instrText xml:space="preserve"> XE "</w:instrText>
      </w:r>
      <w:r w:rsidR="0036732D" w:rsidRPr="00E20485">
        <w:instrText>imago dei</w:instrText>
      </w:r>
      <w:r w:rsidR="0036732D">
        <w:instrText xml:space="preserve">" </w:instrText>
      </w:r>
      <w:r w:rsidR="00363C1C">
        <w:fldChar w:fldCharType="end"/>
      </w:r>
      <w:r>
        <w:t>“)</w:t>
      </w:r>
      <w:r>
        <w:rPr>
          <w:rStyle w:val="Funotenzeichen"/>
        </w:rPr>
        <w:footnoteReference w:id="149"/>
      </w:r>
      <w:r>
        <w:t xml:space="preserve"> und das heißt: ve</w:t>
      </w:r>
      <w:r>
        <w:t>r</w:t>
      </w:r>
      <w:r>
        <w:t>nünftig geschaffen. Durch diese Unterscheidung zwischen Schöpfung und Ne</w:t>
      </w:r>
      <w:r>
        <w:t>u</w:t>
      </w:r>
      <w:r>
        <w:t>schöpfung (im Bilde Gottes) wird es möglich, den Menschen als zwei verschi</w:t>
      </w:r>
      <w:r>
        <w:t>e</w:t>
      </w:r>
      <w:r>
        <w:t>denen Sphären zugehörig zu betrachten: als Naturwesen steht er in der Welt (coram mundo</w:t>
      </w:r>
      <w:r w:rsidR="00363C1C">
        <w:fldChar w:fldCharType="begin"/>
      </w:r>
      <w:r w:rsidR="0036732D">
        <w:instrText xml:space="preserve"> XE "</w:instrText>
      </w:r>
      <w:r w:rsidR="0036732D" w:rsidRPr="004D3098">
        <w:instrText>coram mundo</w:instrText>
      </w:r>
      <w:r w:rsidR="0036732D">
        <w:instrText xml:space="preserve">" </w:instrText>
      </w:r>
      <w:r w:rsidR="00363C1C">
        <w:fldChar w:fldCharType="end"/>
      </w:r>
      <w:r>
        <w:t>), als Vernunftwesen vor Gott (coram deo</w:t>
      </w:r>
      <w:r w:rsidR="00363C1C">
        <w:fldChar w:fldCharType="begin"/>
      </w:r>
      <w:r w:rsidR="0036732D">
        <w:instrText xml:space="preserve"> XE "</w:instrText>
      </w:r>
      <w:r w:rsidR="0036732D" w:rsidRPr="00FB42C8">
        <w:instrText>coram deo</w:instrText>
      </w:r>
      <w:r w:rsidR="0036732D">
        <w:instrText xml:space="preserve">" </w:instrText>
      </w:r>
      <w:r w:rsidR="00363C1C">
        <w:fldChar w:fldCharType="end"/>
      </w:r>
      <w:r>
        <w:t>).</w:t>
      </w:r>
      <w:r>
        <w:rPr>
          <w:rStyle w:val="Funotenzeichen"/>
        </w:rPr>
        <w:footnoteReference w:id="150"/>
      </w:r>
    </w:p>
    <w:p w:rsidR="00CF6655" w:rsidRDefault="00CF6655" w:rsidP="00CF6655">
      <w:pPr>
        <w:pStyle w:val="Text"/>
      </w:pPr>
      <w:r>
        <w:t>Doch als Naturwesen muss der Mensch erzogen werden; sonst fällt er in e</w:t>
      </w:r>
      <w:r>
        <w:t>i</w:t>
      </w:r>
      <w:r>
        <w:t>nem weltzugewandten Leben dem Teufel anheim (er lebt dann in einer „civitas diaboli</w:t>
      </w:r>
      <w:r w:rsidR="00363C1C">
        <w:fldChar w:fldCharType="begin"/>
      </w:r>
      <w:r w:rsidR="00441383">
        <w:instrText xml:space="preserve"> XE "</w:instrText>
      </w:r>
      <w:r w:rsidR="00441383" w:rsidRPr="00DA0985">
        <w:instrText>civitas diaboli</w:instrText>
      </w:r>
      <w:r w:rsidR="00441383">
        <w:instrText xml:space="preserve">" </w:instrText>
      </w:r>
      <w:r w:rsidR="00363C1C">
        <w:fldChar w:fldCharType="end"/>
      </w:r>
      <w:r>
        <w:t>“ statt in der wünschenswerten „civitas dei</w:t>
      </w:r>
      <w:r w:rsidR="00363C1C">
        <w:fldChar w:fldCharType="begin"/>
      </w:r>
      <w:r w:rsidR="00441383">
        <w:instrText xml:space="preserve"> XE "</w:instrText>
      </w:r>
      <w:r w:rsidR="00441383" w:rsidRPr="008F7C16">
        <w:instrText>civitas dei</w:instrText>
      </w:r>
      <w:r w:rsidR="00441383">
        <w:instrText xml:space="preserve">" </w:instrText>
      </w:r>
      <w:r w:rsidR="00363C1C">
        <w:fldChar w:fldCharType="end"/>
      </w:r>
      <w:r>
        <w:t>“).</w:t>
      </w:r>
      <w:r>
        <w:rPr>
          <w:rStyle w:val="Funotenzeichen"/>
        </w:rPr>
        <w:footnoteReference w:id="151"/>
      </w:r>
      <w:r>
        <w:t xml:space="preserve"> So kommt es, </w:t>
      </w:r>
      <w:proofErr w:type="gramStart"/>
      <w:r>
        <w:t>dass</w:t>
      </w:r>
      <w:proofErr w:type="gramEnd"/>
      <w:r>
        <w:t xml:space="preserve"> Gott auch die weltliche Kontrolle des Menschen nicht gleichgültig sein kann, wie sich im Römerbrief eindeutig ausdrückt.</w:t>
      </w:r>
      <w:r>
        <w:rPr>
          <w:rStyle w:val="Funotenzeichen"/>
        </w:rPr>
        <w:footnoteReference w:id="152"/>
      </w:r>
      <w:r>
        <w:t xml:space="preserve"> Ebenfalls wichtig für die Zwei-Reiche-Lehre</w:t>
      </w:r>
      <w:r w:rsidR="00363C1C">
        <w:fldChar w:fldCharType="begin"/>
      </w:r>
      <w:r w:rsidR="006A7F44">
        <w:instrText xml:space="preserve"> XE "</w:instrText>
      </w:r>
      <w:r w:rsidR="006A7F44" w:rsidRPr="004C66D4">
        <w:instrText>Zwei-Reiche-Lehre</w:instrText>
      </w:r>
      <w:r w:rsidR="006A7F44">
        <w:instrText xml:space="preserve">" </w:instrText>
      </w:r>
      <w:r w:rsidR="00363C1C">
        <w:fldChar w:fldCharType="end"/>
      </w:r>
      <w:r>
        <w:t xml:space="preserve"> ist Martin Luthers</w:t>
      </w:r>
      <w:r w:rsidR="00363C1C">
        <w:fldChar w:fldCharType="begin"/>
      </w:r>
      <w:r w:rsidR="006A7F44">
        <w:instrText xml:space="preserve"> XE "</w:instrText>
      </w:r>
      <w:r w:rsidR="006A7F44" w:rsidRPr="00F553E3">
        <w:instrText>Luther, Martin</w:instrText>
      </w:r>
      <w:r w:rsidR="006A7F44">
        <w:instrText xml:space="preserve">" </w:instrText>
      </w:r>
      <w:r w:rsidR="00363C1C">
        <w:fldChar w:fldCharType="end"/>
      </w:r>
      <w:r>
        <w:t xml:space="preserve"> Text „Von weltlicher Obrigkeit“;</w:t>
      </w:r>
      <w:r>
        <w:rPr>
          <w:rStyle w:val="Funotenzeichen"/>
        </w:rPr>
        <w:footnoteReference w:id="153"/>
      </w:r>
      <w:r>
        <w:t xml:space="preserve"> für Luther</w:t>
      </w:r>
      <w:r w:rsidR="00363C1C">
        <w:fldChar w:fldCharType="begin"/>
      </w:r>
      <w:r w:rsidR="00FD674B">
        <w:instrText xml:space="preserve"> XE "</w:instrText>
      </w:r>
      <w:r w:rsidR="00FD674B" w:rsidRPr="00AF37B1">
        <w:instrText>Luther, Martin</w:instrText>
      </w:r>
      <w:r w:rsidR="00FD674B">
        <w:instrText xml:space="preserve">" </w:instrText>
      </w:r>
      <w:r w:rsidR="00363C1C">
        <w:fldChar w:fldCharType="end"/>
      </w:r>
      <w:r>
        <w:t xml:space="preserve"> ist der Mensch gleichermaßen Fleisch und Geist.</w:t>
      </w:r>
      <w:r>
        <w:rPr>
          <w:rStyle w:val="Funotenzeichen"/>
        </w:rPr>
        <w:footnoteReference w:id="154"/>
      </w:r>
    </w:p>
    <w:p w:rsidR="00CF6655" w:rsidRDefault="00CF6655" w:rsidP="00CF6655">
      <w:pPr>
        <w:pStyle w:val="Text"/>
      </w:pPr>
      <w:r>
        <w:lastRenderedPageBreak/>
        <w:t>Mit der Lehre von den zwei Reichen setzte sich die protestantische Theol</w:t>
      </w:r>
      <w:r>
        <w:t>o</w:t>
      </w:r>
      <w:r>
        <w:t>gie das Ziel, weltliche und geistliche Angelegenheiten zu trennen. Doch gerade in der Mission erwies sich dies als undurchführbar, was auch die Missionare selbst schon früh erkannten. Kurt Panzergrau zitiert dazu eine aufschlussreiche Stelle aus den Berichten der Rheinischen Missionsgesellschaft:</w:t>
      </w:r>
      <w:r>
        <w:rPr>
          <w:rStyle w:val="Funotenzeichen"/>
        </w:rPr>
        <w:footnoteReference w:id="155"/>
      </w:r>
    </w:p>
    <w:p w:rsidR="00CF6655" w:rsidRDefault="00CF6655" w:rsidP="00CF6655">
      <w:pPr>
        <w:pStyle w:val="Zitat"/>
      </w:pPr>
      <w:r>
        <w:t>[…], die Stationen sind wie ein Asyl, zu welchem man flieht. Daraus entstehen aber Uebelstände, welche die Lage des dortigen Missionars besonders schwer machen. Man sieht ihn für den Häuptling des Platzes an, zu dem man flieht, unter dessen Schutz man sich begibt; und will der Missionar sich die unruhigen und wüsten Elemente, welche sich bei ihm niederlassen, nicht über dem Kopf zusammenschlagen lassen, so muß er schon so etwas wie Schulze oder Bürge</w:t>
      </w:r>
      <w:r>
        <w:t>r</w:t>
      </w:r>
      <w:r>
        <w:t>meister oder Häuptling sein […]. Das ist eine sehr bedenkliche Lage und uns</w:t>
      </w:r>
      <w:r>
        <w:t>e</w:t>
      </w:r>
      <w:r>
        <w:t>re Missionare lernen gründlich einsehen, was für eine große Wohltat die O</w:t>
      </w:r>
      <w:r>
        <w:t>b</w:t>
      </w:r>
      <w:r>
        <w:t>rigkeit, wenn auch nur in der Person eines heidnischen Häuptlings ist […]</w:t>
      </w:r>
      <w:r w:rsidR="00CE5950">
        <w:t>.</w:t>
      </w:r>
    </w:p>
    <w:p w:rsidR="00CF6655" w:rsidRDefault="00CF6655" w:rsidP="00DF23A3">
      <w:pPr>
        <w:pStyle w:val="Text"/>
        <w:ind w:firstLine="0"/>
      </w:pPr>
      <w:r>
        <w:t>Dieser Punkt ist wichtig und sollte auch bei einer Beurteilung des Handelns der Missionare nicht außer Acht gelassen werden: Diese wollten selber nicht unb</w:t>
      </w:r>
      <w:r>
        <w:t>e</w:t>
      </w:r>
      <w:r>
        <w:t xml:space="preserve">dingt </w:t>
      </w:r>
      <w:r w:rsidR="00067116">
        <w:t xml:space="preserve">die weltliche </w:t>
      </w:r>
      <w:r>
        <w:t>Autorität ausüben, kamen aber – zumindest in der Anfang</w:t>
      </w:r>
      <w:r>
        <w:t>s</w:t>
      </w:r>
      <w:r>
        <w:t>zeit – praktisch kaum darum herum, weil sich weltliche und geistliche Belange nicht trennen ließen. Die „Lehre von den Zwei Reichen“ erwies sich in der Praxis als unhaltbar.</w:t>
      </w:r>
    </w:p>
    <w:p w:rsidR="00CF6655" w:rsidRDefault="00CF6655" w:rsidP="00CF6655">
      <w:pPr>
        <w:pStyle w:val="Text"/>
      </w:pPr>
      <w:r>
        <w:t>Wie kritisch wir auch die unterstützende Rolle der Mission bei der Kolon</w:t>
      </w:r>
      <w:r>
        <w:t>i</w:t>
      </w:r>
      <w:r>
        <w:t>sierung beurteilen mögen, das Verhältnis zu den Siedlern (Deutschen wie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ist insgesamt schlechter als das zu den Schwarzen. „Von Feindschaft gegen die Mission merke ich auf meiner Reise nicht viel. Sie ist aber vorhanden, wie es ja auch nicht anders sein kann bei dem schändlichen gottwidrigen Leben, das viele unserer Landsleute hier führen.“ (852)</w:t>
      </w:r>
    </w:p>
    <w:p w:rsidR="00CF6655" w:rsidRDefault="00CF6655" w:rsidP="00CF6655">
      <w:pPr>
        <w:pStyle w:val="Text"/>
      </w:pPr>
      <w:r>
        <w:t>Eine gängige Kritik an der Mission fasst der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der sich Spiecker gegenüber offen äußert, in Worte:</w:t>
      </w:r>
    </w:p>
    <w:p w:rsidR="00CF6655" w:rsidRDefault="00CF6655" w:rsidP="00CF6655">
      <w:pPr>
        <w:pStyle w:val="Zitat"/>
      </w:pPr>
      <w:r>
        <w:t>Er bekannte sich darauf mehr oder weniger als prinzipieller Gegner der Miss</w:t>
      </w:r>
      <w:r>
        <w:t>i</w:t>
      </w:r>
      <w:r>
        <w:t>on. In Südwestafrika kommen wir nach seiner Ansicht zu früh mit der Mission. Zuerst müßten die Leute dort civilisiert werden. Auf meine Frage, wie er sich das Civilisationswerk ohne Mission denke, blieb er die Antwort schuldig. Dann sprach er sich eingehend über und gegen die Mission in China und Japan aus. Die orientalischen Völker hätten eine so hohe Civilisation und Moral, daß es Torheit sei ihnen mit dem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zu kommen. (28)</w:t>
      </w:r>
    </w:p>
    <w:p w:rsidR="00CF6655" w:rsidRDefault="00CF6655" w:rsidP="00DF23A3">
      <w:pPr>
        <w:pStyle w:val="Text"/>
        <w:ind w:firstLine="0"/>
      </w:pPr>
      <w:r>
        <w:t>Im Vergleich damit empfinden die Schwarzen, und zwar auch die Nicht-Gemeindeglieder, die Mission überwiegend als freundlich gesinnte Institution.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zeigt sich das beispielsweise, wenn die Gemeinde anbietet, dass alle, Christen und Heiden, tatkräftig beim Kirchenbau mithelfen wollen, für die sie ihr das Baugrundstück geschenkt haben (844) und die sie auch selbst finanzieren </w:t>
      </w:r>
      <w:r>
        <w:lastRenderedPageBreak/>
        <w:t>wollen. Dass die ‚Heiden‘ sich hier doch nicht gänzlich selbstlos verhalten (ein Verhalten, das ja auch den Christen besser anstünde, die es ihrer Doktrin nach für sich beanspruchen), kann man annehmen: Schließlich unterhält die Mission auch die Schule, die bislang in der Kirche stattfindet. (844) Vielleicht nehmen auch die Nichtchristen des Ortes die beiden Institutionen als zusammengehörig wahr oder sind sich zumindest nicht im Klaren darüber, dass eine neue Schule ihnen vielleicht mehr Nutzen bringen würde.</w:t>
      </w:r>
    </w:p>
    <w:p w:rsidR="00CF6655" w:rsidRDefault="00CF6655" w:rsidP="00DF23A3">
      <w:pPr>
        <w:pStyle w:val="Titel3"/>
      </w:pPr>
      <w:bookmarkStart w:id="241" w:name="_Toc122313643"/>
      <w:bookmarkStart w:id="242" w:name="_Toc122313731"/>
      <w:bookmarkStart w:id="243" w:name="_Toc130260719"/>
      <w:bookmarkStart w:id="244" w:name="_Toc327388019"/>
      <w:r>
        <w:t>Regierung und Siedler</w:t>
      </w:r>
      <w:bookmarkEnd w:id="241"/>
      <w:bookmarkEnd w:id="242"/>
      <w:bookmarkEnd w:id="243"/>
      <w:bookmarkEnd w:id="244"/>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p>
    <w:p w:rsidR="00CF6655" w:rsidRDefault="00CF6655" w:rsidP="007308C9">
      <w:pPr>
        <w:pStyle w:val="Titel4"/>
      </w:pPr>
      <w:bookmarkStart w:id="245" w:name="_Toc130260720"/>
      <w:bookmarkStart w:id="246" w:name="_Toc327388020"/>
      <w:r>
        <w:t>Presse, Bücher und die Öffentlichkeit</w:t>
      </w:r>
      <w:bookmarkEnd w:id="245"/>
      <w:bookmarkEnd w:id="246"/>
    </w:p>
    <w:p w:rsidR="00CF6655" w:rsidRDefault="00CF6655" w:rsidP="00DF23A3">
      <w:pPr>
        <w:pStyle w:val="Text"/>
        <w:ind w:firstLine="0"/>
      </w:pPr>
      <w:r>
        <w:t>In den Windhuker Nachrichten</w:t>
      </w:r>
      <w:r w:rsidR="00363C1C">
        <w:fldChar w:fldCharType="begin"/>
      </w:r>
      <w:r w:rsidR="00FF529F">
        <w:instrText xml:space="preserve"> XE "</w:instrText>
      </w:r>
      <w:r w:rsidR="00FF529F" w:rsidRPr="00C14A69">
        <w:instrText>Windhuker Nachrichten</w:instrText>
      </w:r>
      <w:r w:rsidR="00FF529F">
        <w:instrText xml:space="preserve">" </w:instrText>
      </w:r>
      <w:r w:rsidR="00363C1C">
        <w:fldChar w:fldCharType="end"/>
      </w:r>
      <w:r>
        <w:t xml:space="preserve"> kommt es zu einer Auseinandersetzung um die Mission:</w:t>
      </w:r>
    </w:p>
    <w:p w:rsidR="00CF6655" w:rsidRDefault="00CF6655" w:rsidP="00CF6655">
      <w:pPr>
        <w:pStyle w:val="Zitat"/>
      </w:pPr>
      <w:r>
        <w:t>Am Abend besuchte mich ein Landmesser Thomas</w:t>
      </w:r>
      <w:r w:rsidR="00363C1C">
        <w:fldChar w:fldCharType="begin"/>
      </w:r>
      <w:r w:rsidR="00FF529F">
        <w:instrText xml:space="preserve"> XE "</w:instrText>
      </w:r>
      <w:r w:rsidR="00FF529F" w:rsidRPr="004C24E1">
        <w:instrText>Thomas, Landmesser</w:instrText>
      </w:r>
      <w:r w:rsidR="00FF529F">
        <w:instrText xml:space="preserve">" </w:instrText>
      </w:r>
      <w:r w:rsidR="00363C1C">
        <w:fldChar w:fldCharType="end"/>
      </w:r>
      <w:r>
        <w:t>, der einen sehr mission</w:t>
      </w:r>
      <w:r>
        <w:t>s</w:t>
      </w:r>
      <w:r>
        <w:t>freundlichen Artikel in die Windhuker Nachrichten</w:t>
      </w:r>
      <w:r w:rsidR="00363C1C">
        <w:fldChar w:fldCharType="begin"/>
      </w:r>
      <w:r w:rsidR="00FF529F">
        <w:instrText xml:space="preserve"> XE "</w:instrText>
      </w:r>
      <w:r w:rsidR="00FF529F" w:rsidRPr="00C14A69">
        <w:instrText>Windhuker Nachrichten</w:instrText>
      </w:r>
      <w:r w:rsidR="00FF529F">
        <w:instrText xml:space="preserve">" </w:instrText>
      </w:r>
      <w:r w:rsidR="00363C1C">
        <w:fldChar w:fldCharType="end"/>
      </w:r>
      <w:r>
        <w:t xml:space="preserve"> gebracht hatte. Der He</w:t>
      </w:r>
      <w:r>
        <w:t>r</w:t>
      </w:r>
      <w:r>
        <w:t>ausgeber der Windhuker Nachrichten, der bekannte Feind unserer Mission, Conrad Rust</w:t>
      </w:r>
      <w:r w:rsidR="00363C1C">
        <w:fldChar w:fldCharType="begin"/>
      </w:r>
      <w:r w:rsidR="00FF529F">
        <w:instrText xml:space="preserve"> XE "</w:instrText>
      </w:r>
      <w:r w:rsidR="00FF529F" w:rsidRPr="0020537D">
        <w:instrText>Rust, Conrad</w:instrText>
      </w:r>
      <w:r w:rsidR="00FF529F">
        <w:instrText xml:space="preserve">" </w:instrText>
      </w:r>
      <w:r w:rsidR="00363C1C">
        <w:fldChar w:fldCharType="end"/>
      </w:r>
      <w:r>
        <w:t>, hatte eine hämische Bemerkung hinzugefügt. Herr Thomas bat nun um Material zu einer Erwiderung. Das gab ich ihm gerne, bat ihn aber eine Zeitungsfehde, in die der Gouverneur hineingezogen werde, zu vermeiden</w:t>
      </w:r>
      <w:r w:rsidR="00D77D4F">
        <w:t>.</w:t>
      </w:r>
      <w:r>
        <w:t xml:space="preserve"> Er will mir seinen Artikel zur Durchsicht zusenden. Wir haben doch auch hier noch Freunde. (927f)</w:t>
      </w:r>
    </w:p>
    <w:p w:rsidR="00CF6655" w:rsidRDefault="00CF6655" w:rsidP="00126401">
      <w:pPr>
        <w:pStyle w:val="Text"/>
        <w:ind w:firstLine="0"/>
      </w:pPr>
      <w:r>
        <w:t>Spiecker lässt sich Rusts missionsfeindliches Buch „Krieg und Frieden im Hererolande“</w:t>
      </w:r>
      <w:r>
        <w:rPr>
          <w:rStyle w:val="Funotenzeichen"/>
        </w:rPr>
        <w:footnoteReference w:id="156"/>
      </w:r>
      <w:r>
        <w:t xml:space="preserve"> geben (730), um sich über die Vorwürfe zu informieren:</w:t>
      </w:r>
    </w:p>
    <w:p w:rsidR="00CF6655" w:rsidRDefault="00CF6655" w:rsidP="00CF6655">
      <w:pPr>
        <w:pStyle w:val="Zitat"/>
      </w:pPr>
      <w:r>
        <w:t>Bruder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bekam heute durch mich das Rustsche Buch: </w:t>
      </w:r>
      <w:r w:rsidR="00994770">
        <w:t>„</w:t>
      </w:r>
      <w:r>
        <w:t>Krieg und Frieden</w:t>
      </w:r>
      <w:r w:rsidR="00994770">
        <w:t>“</w:t>
      </w:r>
      <w:r>
        <w:t xml:space="preserve"> zu Gesicht und war sehr erregt über das, was er las. Der sonst so ruhige Mann kann sich auch wohl einmal sehr aufregen und schießt dann wohl übers Ziel. Übrigens halte ich auch das Buch für ein ganz schmähliches Machwerk voll L</w:t>
      </w:r>
      <w:r>
        <w:t>ü</w:t>
      </w:r>
      <w:r>
        <w:t>ge, Verdrehung und Heuchelei, ja ich kann nicht leugnen, daß mir eine satan</w:t>
      </w:r>
      <w:r>
        <w:t>i</w:t>
      </w:r>
      <w:r>
        <w:t>sche Bosheit darin entgegentritt. (780)</w:t>
      </w:r>
    </w:p>
    <w:p w:rsidR="00CF6655" w:rsidRDefault="00CF6655" w:rsidP="00126401">
      <w:pPr>
        <w:pStyle w:val="Text"/>
        <w:ind w:firstLine="0"/>
      </w:pPr>
      <w:r>
        <w:t>Da Rust</w:t>
      </w:r>
      <w:r w:rsidR="00363C1C">
        <w:fldChar w:fldCharType="begin"/>
      </w:r>
      <w:r w:rsidR="00FF529F">
        <w:instrText xml:space="preserve"> XE "</w:instrText>
      </w:r>
      <w:r w:rsidR="00FF529F" w:rsidRPr="0020537D">
        <w:instrText>Rust, Conrad</w:instrText>
      </w:r>
      <w:r w:rsidR="00FF529F">
        <w:instrText xml:space="preserve">" </w:instrText>
      </w:r>
      <w:r w:rsidR="00363C1C">
        <w:fldChar w:fldCharType="end"/>
      </w:r>
      <w:r>
        <w:t xml:space="preserve"> auch ein Pamphlet gegen einen Missionar veröffentlicht hat, sucht ihn Spiecker am 31. März, gleich nach seinem Antrittsbesuch beim Gouverneur auf:</w:t>
      </w:r>
    </w:p>
    <w:p w:rsidR="00CF6655" w:rsidRDefault="00CF6655" w:rsidP="00CF6655">
      <w:pPr>
        <w:pStyle w:val="Zitat"/>
      </w:pPr>
      <w:r>
        <w:t xml:space="preserve">Da noch anderer Besuch dort war, mußten wir wieder sehr lange warten. Ich fragte ihn dann sofort was er zu tun gedenke, um </w:t>
      </w:r>
      <w:proofErr w:type="gramStart"/>
      <w:r>
        <w:t>dem</w:t>
      </w:r>
      <w:proofErr w:type="gramEnd"/>
      <w:r>
        <w:t xml:space="preserve"> Miss. Lang</w:t>
      </w:r>
      <w:r w:rsidR="00363C1C">
        <w:fldChar w:fldCharType="begin"/>
      </w:r>
      <w:r w:rsidR="00D77D4F">
        <w:instrText xml:space="preserve"> XE "</w:instrText>
      </w:r>
      <w:r w:rsidR="00D77D4F" w:rsidRPr="00D53314">
        <w:instrText>Lang, Miss.</w:instrText>
      </w:r>
      <w:r w:rsidR="00D77D4F">
        <w:instrText xml:space="preserve">" </w:instrText>
      </w:r>
      <w:r w:rsidR="00363C1C">
        <w:fldChar w:fldCharType="end"/>
      </w:r>
      <w:r>
        <w:t xml:space="preserve"> Genugtuung widerfahren zu lassen. Er antwortete: Nichts, denn ich habe gegen Herrn Lang nichts ausgesagt, sondern mich zur zum Sprecher der Leute gemacht, die es für nicht richtig hielten, Lang nach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zu setzen. Ich antwortete ihm, dann sind Sie als Verbreiter der Verläumdungen ebenso schuldig, wie die </w:t>
      </w:r>
      <w:r>
        <w:lastRenderedPageBreak/>
        <w:t xml:space="preserve">Verläumder selbst. Sehr ernst habe ich dann noch mit ihm geredet, auch wegen seines Buches: </w:t>
      </w:r>
      <w:r w:rsidR="00F3472E">
        <w:t>„</w:t>
      </w:r>
      <w:r>
        <w:t>Krieg und Frieden</w:t>
      </w:r>
      <w:r w:rsidR="00F3472E">
        <w:t>“</w:t>
      </w:r>
      <w:r>
        <w:t xml:space="preserve"> (798).</w:t>
      </w:r>
    </w:p>
    <w:p w:rsidR="00CF6655" w:rsidRDefault="00CF6655" w:rsidP="00126401">
      <w:pPr>
        <w:pStyle w:val="Text"/>
        <w:ind w:firstLine="0"/>
      </w:pPr>
      <w:r>
        <w:t>Zwar kann er Rust</w:t>
      </w:r>
      <w:r w:rsidR="00363C1C">
        <w:fldChar w:fldCharType="begin"/>
      </w:r>
      <w:r w:rsidR="00FF529F">
        <w:instrText xml:space="preserve"> XE "</w:instrText>
      </w:r>
      <w:r w:rsidR="00FF529F" w:rsidRPr="0020537D">
        <w:instrText>Rust, Conrad</w:instrText>
      </w:r>
      <w:r w:rsidR="00FF529F">
        <w:instrText xml:space="preserve">" </w:instrText>
      </w:r>
      <w:r w:rsidR="00363C1C">
        <w:fldChar w:fldCharType="end"/>
      </w:r>
      <w:r>
        <w:t xml:space="preserve"> das Versprechen einiger Verbesserungen in der 2. Auflage a</w:t>
      </w:r>
      <w:r>
        <w:t>b</w:t>
      </w:r>
      <w:r>
        <w:t>ringen, weiß aber auch, dass weitere Maßnahmen kontraproduktiv wären: „Der aalglatte Mann wird sich lange besinnen und wird voraussichtlich nichts tun. Und auch wir lassen die Sache am besten auf sich beruhen, da sie nur Staub au</w:t>
      </w:r>
      <w:r>
        <w:t>f</w:t>
      </w:r>
      <w:r>
        <w:t>wirbelt, den die Gegner auf uns werfen“ (799)</w:t>
      </w:r>
      <w:r w:rsidR="00D77D4F">
        <w:t>.</w:t>
      </w:r>
      <w:r>
        <w:t xml:space="preserve"> Mit dieser Metapher hat er eines der Grundgesetze der damals beginnenden Zeit der Medienöffentlichkeit präzise umrissen: Je mehr man sich wehrt, desto mehr Verbreitung erfahren die Vorwü</w:t>
      </w:r>
      <w:r>
        <w:t>r</w:t>
      </w:r>
      <w:r>
        <w:t>fe. Rust</w:t>
      </w:r>
      <w:r w:rsidR="00363C1C">
        <w:fldChar w:fldCharType="begin"/>
      </w:r>
      <w:r w:rsidR="00FF529F">
        <w:instrText xml:space="preserve"> XE "</w:instrText>
      </w:r>
      <w:r w:rsidR="00FF529F" w:rsidRPr="0020537D">
        <w:instrText>Rust, Conrad</w:instrText>
      </w:r>
      <w:r w:rsidR="00FF529F">
        <w:instrText xml:space="preserve">" </w:instrText>
      </w:r>
      <w:r w:rsidR="00363C1C">
        <w:fldChar w:fldCharType="end"/>
      </w:r>
      <w:r>
        <w:t xml:space="preserve"> vertritt in seinem Buch einen „sehr einseitigen Eingeborenen- und Mi</w:t>
      </w:r>
      <w:r>
        <w:t>s</w:t>
      </w:r>
      <w:r>
        <w:t xml:space="preserve">sionsfeindlichen Standpunkt“ (953). </w:t>
      </w:r>
      <w:r w:rsidR="00C616EA">
        <w:t xml:space="preserve">Dabei </w:t>
      </w:r>
      <w:r>
        <w:t>wiederholt er auch die bekannten Vorwürfe, die Mission sei mit ihrer „Verhätschelung“ (849) der Eingeborenen für den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mitverantwortlich.</w:t>
      </w:r>
    </w:p>
    <w:p w:rsidR="00CF6655" w:rsidRDefault="00CF6655" w:rsidP="007308C9">
      <w:pPr>
        <w:pStyle w:val="Titel4"/>
      </w:pPr>
      <w:bookmarkStart w:id="247" w:name="_Toc130260721"/>
      <w:bookmarkStart w:id="248" w:name="_Ref325356632"/>
      <w:bookmarkStart w:id="249" w:name="_Toc327388021"/>
      <w:r>
        <w:t>Der Streit ums Land: die Missionsfarmen</w:t>
      </w:r>
      <w:bookmarkEnd w:id="247"/>
      <w:bookmarkEnd w:id="248"/>
      <w:bookmarkEnd w:id="249"/>
    </w:p>
    <w:p w:rsidR="00CF6655" w:rsidRDefault="00CF6655" w:rsidP="00126401">
      <w:pPr>
        <w:pStyle w:val="Text"/>
        <w:ind w:firstLine="0"/>
      </w:pPr>
      <w:r>
        <w:t>Schon vor Beginn des Aufstands wurde das Land der Stämme faktisch als Regi</w:t>
      </w:r>
      <w:r>
        <w:t>e</w:t>
      </w:r>
      <w:r>
        <w:t>rungsland betrachtet. Nicht einmal der vergleichsweise ‚eingeborenenfreundl</w:t>
      </w:r>
      <w:r>
        <w:t>i</w:t>
      </w:r>
      <w:r>
        <w:t>che‘ Gouverneur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der 1904 durch 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xml:space="preserve"> ersetzt wurde, wollte ein Recht der Eingeborenen als „ursprüngliche Besitzer“ des Landes gelten lassen. 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stellte sich daher von vornherein auf die Seite der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ohne dies allerdings der Mission gegenüber offen zuzugeben. In der Landfrage war tatsächlich nur die Mission auf der Seite der Eingeborenen. Im Gegensatz zu anderen Fragen, insbesondere bezüglich der rechtlichen und sozialen Situation ihrer Gemeindemitglieder gegenüber der deutschen Obrigkeit, kann hier kein Zweifel daran bestehen, dass sich die Mission für die Eingeborenen einsetzte. Dies hing damit zusammen, dass man – aus ideologischen Gründen; vgl. A</w:t>
      </w:r>
      <w:r>
        <w:t>b</w:t>
      </w:r>
      <w:r>
        <w:t xml:space="preserve">schnitt </w:t>
      </w:r>
      <w:r w:rsidR="00363C1C">
        <w:fldChar w:fldCharType="begin"/>
      </w:r>
      <w:r w:rsidR="00803C78">
        <w:instrText xml:space="preserve"> REF _Ref325355628 \r \h </w:instrText>
      </w:r>
      <w:r w:rsidR="00363C1C">
        <w:fldChar w:fldCharType="separate"/>
      </w:r>
      <w:r w:rsidR="00216538">
        <w:t>2.2.4.1</w:t>
      </w:r>
      <w:r w:rsidR="00363C1C">
        <w:fldChar w:fldCharType="end"/>
      </w:r>
      <w:r w:rsidR="00D11472">
        <w:t xml:space="preserve"> „Die </w:t>
      </w:r>
      <w:r>
        <w:t>Religion der Sesshaften“ – Landbesitz als notwendige V</w:t>
      </w:r>
      <w:r>
        <w:t>o</w:t>
      </w:r>
      <w:r>
        <w:t>raussetzung für eine stabile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ansah.</w:t>
      </w:r>
    </w:p>
    <w:p w:rsidR="00CF6655" w:rsidRDefault="00CF6655" w:rsidP="00CF6655">
      <w:pPr>
        <w:pStyle w:val="Text"/>
      </w:pPr>
      <w:r>
        <w:t xml:space="preserve">Dennoch dachte man auch in der Mission </w:t>
      </w:r>
      <w:proofErr w:type="gramStart"/>
      <w:r>
        <w:t>zur Zeit</w:t>
      </w:r>
      <w:proofErr w:type="gramEnd"/>
      <w:r>
        <w:t xml:space="preserve"> von Spieckers Besuch längst nicht mehr ernsthaft darüber nach, den Eingeborenen das ganze Land z</w:t>
      </w:r>
      <w:r>
        <w:t>u</w:t>
      </w:r>
      <w:r>
        <w:t>zugestehen, obwohl sie dieses mit den Schutzverträgen ja keineswegs preisgeg</w:t>
      </w:r>
      <w:r>
        <w:t>e</w:t>
      </w:r>
      <w:r>
        <w:t>ben hatten. Stattdessen zog man die Einrichtung von Reservaten in Erwägung; Spiecker setzt sich wiederholt für diese ein. Doch 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will von der Mission kontrollierte Reservate verhindern. Sie fürchtet, die Kontrolle über die Eingeborenen zu verlieren; ebenso wie viele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xml:space="preserve"> sieht sie den großen Ei</w:t>
      </w:r>
      <w:r>
        <w:t>n</w:t>
      </w:r>
      <w:r>
        <w:t>fluss der seit Jahrzehnten präsenten Mission auf die Schwarzen als kritisch an. Sie versucht deshalb auch mit allen Mitteln, Schenkungen von Land der Stämme an die Mission zu verhindern, die sonst längst der größte Grundbesitzer Sü</w:t>
      </w:r>
      <w:r>
        <w:t>d</w:t>
      </w:r>
      <w:r>
        <w:t>westafrikas wäre. Wenn überhaupt, zog man Reservate unter formaler Kontrolle der Stämme vor; in der Kolonialabteilung des Auswärtigen Amts sprach man o</w:t>
      </w:r>
      <w:r>
        <w:t>f</w:t>
      </w:r>
      <w:r>
        <w:lastRenderedPageBreak/>
        <w:t>fen von „papierenen Reservaten“. Unter diesen Umständen mussten Spieckers Anliegen auf taube Ohren stoßen.</w:t>
      </w:r>
      <w:r>
        <w:rPr>
          <w:rStyle w:val="Funotenzeichen"/>
        </w:rPr>
        <w:footnoteReference w:id="157"/>
      </w:r>
    </w:p>
    <w:p w:rsidR="00CF6655" w:rsidRDefault="00CF6655" w:rsidP="00CF6655">
      <w:pPr>
        <w:pStyle w:val="Text"/>
      </w:pPr>
      <w:r>
        <w:t>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xml:space="preserve"> stellt Spiecker denn auch fest:</w:t>
      </w:r>
    </w:p>
    <w:p w:rsidR="00CF6655" w:rsidRDefault="00CF6655" w:rsidP="00CF6655">
      <w:pPr>
        <w:pStyle w:val="Zitat"/>
      </w:pPr>
      <w:r>
        <w:t>Wir besitzen hier ein Areal von über 20000 Hektar. […] Das Gebiet ist jetzt abgemessen, was große Unkosten verursachte. Wir müßten hier über 30000 Hektar besitzen. Aber zunächst hat die Regierung (damals wohl Assessor von Lindequist) einen Irrtum oder Versäumnis des damaligen Stationsmissionar Meyer, der unseren Besitz nicht rechtzeitig angemeldet hatte, benutzt, um uns zunächst den ganzen Besitz abzusprechen und nachher so ungefähr auf dem Gnadenwege ¾ des Besitzes uns wieder zuzugestehen und ¼ für sich zu ne</w:t>
      </w:r>
      <w:r>
        <w:t>h</w:t>
      </w:r>
      <w:r>
        <w:t>men. Später hat uns dann die Kolonialgesellschaft durch ihren Vertreter Dr. Rohde</w:t>
      </w:r>
      <w:r w:rsidR="00363C1C">
        <w:fldChar w:fldCharType="begin"/>
      </w:r>
      <w:r w:rsidR="00870B1C">
        <w:instrText xml:space="preserve"> XE "</w:instrText>
      </w:r>
      <w:r w:rsidR="00870B1C" w:rsidRPr="00980991">
        <w:instrText>Rohde, Dr.</w:instrText>
      </w:r>
      <w:r w:rsidR="00870B1C">
        <w:instrText xml:space="preserve">" </w:instrText>
      </w:r>
      <w:r w:rsidR="00363C1C">
        <w:fldChar w:fldCharType="end"/>
      </w:r>
      <w:r>
        <w:t xml:space="preserve"> um etwa 12000 Hektar des uns gehörigen Besitzes gebracht und dabei uns noch mit Klage gedroht, als wir uns zu wehren suchten. (720f)</w:t>
      </w:r>
    </w:p>
    <w:p w:rsidR="00CF6655" w:rsidRDefault="00CF6655" w:rsidP="009758D3">
      <w:pPr>
        <w:pStyle w:val="Text"/>
        <w:ind w:firstLine="0"/>
      </w:pPr>
      <w:r>
        <w:t>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kümmert er sich lieber selbst um die Sache: „Ich machte Br.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darauf aufmerksam, daß es gelte das Eigentumsrecht der Gemeinde oder der Missionsgesellschaft auf den Kirchhof zu wahren und festzulegen. Die R</w:t>
      </w:r>
      <w:r>
        <w:t>e</w:t>
      </w:r>
      <w:r>
        <w:t>gierung legt gern auf alles ihre feste Hand.“ (859)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denkt sich Hauptmann </w:t>
      </w:r>
      <w:r w:rsidR="00B5745B">
        <w:t>von Schönau-Wehr</w:t>
      </w:r>
      <w:r w:rsidR="00363C1C">
        <w:fldChar w:fldCharType="begin"/>
      </w:r>
      <w:r w:rsidR="00B5745B">
        <w:instrText xml:space="preserve"> XE "</w:instrText>
      </w:r>
      <w:r w:rsidR="00B5745B" w:rsidRPr="006222CF">
        <w:instrText>Schönau-Wehr, Hauptmann von</w:instrText>
      </w:r>
      <w:r w:rsidR="00B5745B">
        <w:instrText xml:space="preserve">" </w:instrText>
      </w:r>
      <w:r w:rsidR="00363C1C">
        <w:fldChar w:fldCharType="end"/>
      </w:r>
      <w:r w:rsidR="00B5745B">
        <w:t xml:space="preserve"> </w:t>
      </w:r>
      <w:r>
        <w:t>dafür nicht einmal einen Vorwand aus:</w:t>
      </w:r>
    </w:p>
    <w:p w:rsidR="00CF6655" w:rsidRDefault="00CF6655" w:rsidP="00CF6655">
      <w:pPr>
        <w:pStyle w:val="Zitat"/>
      </w:pPr>
      <w:r>
        <w:t>Es handelte sich um eine Farm Ongan-Gagi (?), die vom Gouvernement</w:t>
      </w:r>
      <w:r w:rsidR="00363C1C">
        <w:fldChar w:fldCharType="begin"/>
      </w:r>
      <w:r w:rsidR="00C221A5">
        <w:instrText xml:space="preserve"> XE "</w:instrText>
      </w:r>
      <w:r w:rsidR="00C221A5" w:rsidRPr="00592176">
        <w:instrText>Gouvernement</w:instrText>
      </w:r>
      <w:r w:rsidR="00C221A5">
        <w:instrText xml:space="preserve">" </w:instrText>
      </w:r>
      <w:r w:rsidR="00363C1C">
        <w:fldChar w:fldCharType="end"/>
      </w:r>
      <w:r>
        <w:t xml:space="preserve"> 1903 im November der Mission als Eigentum zugesprochen wurde als Ersatz für das ihr vom Häuptling Manasse</w:t>
      </w:r>
      <w:r w:rsidR="00363C1C">
        <w:fldChar w:fldCharType="begin"/>
      </w:r>
      <w:r w:rsidR="00B5745B">
        <w:instrText xml:space="preserve"> XE "</w:instrText>
      </w:r>
      <w:r w:rsidR="00B5745B" w:rsidRPr="00D770AD">
        <w:instrText>Manasse, Häuptling</w:instrText>
      </w:r>
      <w:r w:rsidR="00B5745B">
        <w:instrText xml:space="preserve">" </w:instrText>
      </w:r>
      <w:r w:rsidR="00363C1C">
        <w:fldChar w:fldCharType="end"/>
      </w:r>
      <w:r>
        <w:t xml:space="preserve"> zuerkannte Weiderecht. Jetzt verfügt das Gouve</w:t>
      </w:r>
      <w:r>
        <w:t>r</w:t>
      </w:r>
      <w:r>
        <w:t>nement einfach, daß die Farm der Mission nicht gehöre. Ich frage den Haup</w:t>
      </w:r>
      <w:r>
        <w:t>t</w:t>
      </w:r>
      <w:r>
        <w:t>mann ob er das für recht halte. Er antwortete: Das Gouvernement hat die Macht und wird sie brauchen. Darauf sagte ich, dann werden wir uns erinnern, daß in Preußen Recht vor Macht gilt. Ebenso verlief die Sache als ich unser vom Gouvernement verbrieftes Recht auf die verlassenen Stationen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und Ameib</w:t>
      </w:r>
      <w:r w:rsidR="00363C1C">
        <w:fldChar w:fldCharType="begin"/>
      </w:r>
      <w:r w:rsidR="00B5745B">
        <w:instrText xml:space="preserve"> XE "</w:instrText>
      </w:r>
      <w:r w:rsidR="00B5745B" w:rsidRPr="003F18FB">
        <w:instrText>Ameib</w:instrText>
      </w:r>
      <w:r w:rsidR="00B5745B">
        <w:instrText xml:space="preserve">" </w:instrText>
      </w:r>
      <w:r w:rsidR="00363C1C">
        <w:fldChar w:fldCharType="end"/>
      </w:r>
      <w:r>
        <w:t xml:space="preserve"> geltend machte. (601f)</w:t>
      </w:r>
    </w:p>
    <w:p w:rsidR="00CF6655" w:rsidRDefault="00CF6655" w:rsidP="009758D3">
      <w:pPr>
        <w:pStyle w:val="Text"/>
        <w:ind w:firstLine="0"/>
      </w:pPr>
      <w:r>
        <w:t>Dass schon 1905 von „Schutzgebieten“ nicht mehr die Rede sein kann, zeigt sich am deutlichsten am Umgang mit dem Land der Schwarzen: Dieses wird bereits de facto als Eigentum der deutschen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behandelt.</w:t>
      </w:r>
      <w:r>
        <w:rPr>
          <w:rStyle w:val="Funotenzeichen"/>
        </w:rPr>
        <w:footnoteReference w:id="158"/>
      </w:r>
      <w:r>
        <w:t xml:space="preserve"> Für die Mission hat das böse Folgen, denn sie hat an vielen Stellen unbestätigten Lan</w:t>
      </w:r>
      <w:r>
        <w:t>d</w:t>
      </w:r>
      <w:r>
        <w:t>besitz: „Alsdann sprach ich eingehend mit dem Gouverneur über die verschied</w:t>
      </w:r>
      <w:r>
        <w:t>e</w:t>
      </w:r>
      <w:r>
        <w:t xml:space="preserve">nen Plätze, wo wir in der Landfrage Schwierigkeiten oder Wünsche haben […]. </w:t>
      </w:r>
      <w:r>
        <w:lastRenderedPageBreak/>
        <w:t>Er versprach mir Entgegenkommen, betonte aber auch, daß nicht bestätigte Schenkungsurkunden von Häuptlingen gesetzlich ungültig seien.“ (1473)</w:t>
      </w:r>
    </w:p>
    <w:p w:rsidR="00CF6655" w:rsidRDefault="00CF6655" w:rsidP="00CF6655">
      <w:pPr>
        <w:pStyle w:val="Text"/>
      </w:pPr>
      <w:r>
        <w:t xml:space="preserve">Bei einer ausführlichen Besprechung mit Gouverneur </w:t>
      </w:r>
      <w:r w:rsidR="00B5745B">
        <w:t xml:space="preserve">von Lindequist </w:t>
      </w:r>
      <w:r>
        <w:t>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(790ff) geht es immer wieder um Grundstücksfragen. Offensichtlich ist in manchen Fällen Land von der Mission bebaut worden, für das – mögl</w:t>
      </w:r>
      <w:r>
        <w:t>i</w:t>
      </w:r>
      <w:r>
        <w:t>cherweise aufgrund des Fehlens lokaler Regierungen und Grundbücher zur Zeit der Stationsgründungen – keine Urkunden vorhanden sind oder weil, wie bei e</w:t>
      </w:r>
      <w:r>
        <w:t>i</w:t>
      </w:r>
      <w:r>
        <w:t>ner Farm in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Urkunden des Distriktschefs vom Gouverneur nicht anerkannt werden. „Da wurde ich mit Absicht lebhaft […]. Die Mission leiste der Regierung so große Dienste und erspare ihr Millionen.“ Der Gouverneur verspricht daraufhin Entgegenkommen. (793f)</w:t>
      </w:r>
    </w:p>
    <w:p w:rsidR="00CF6655" w:rsidRDefault="00CF6655" w:rsidP="00CF6655">
      <w:pPr>
        <w:pStyle w:val="Text"/>
      </w:pPr>
      <w:r>
        <w:t>Es geht auch um Landrechte für die Eingeborenen, soweit sie sich (vor a</w:t>
      </w:r>
      <w:r>
        <w:t>l</w:t>
      </w:r>
      <w:r>
        <w:t>lem die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und ‚Bastard‘gemeinden) nicht am Krieg beteiligt haben, und Entschädigung für diejenigen, die zum Kriegsdienst herangezogen wurden, s</w:t>
      </w:r>
      <w:r>
        <w:t>o</w:t>
      </w:r>
      <w:r>
        <w:t>weit sie materielle Verluste (Vieh) durch diesen Einsatz hatten. Spiecker glaubt, in vielen Punkten Teilerfolge erzielt zu haben; es handelt sich um vage Zusagen, die noch genauer zu präzisieren sind.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und Br.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die ihn begleiten, scheinen ziemlich eingeschüchtert</w:t>
      </w:r>
      <w:r w:rsidR="00AC6127">
        <w:rPr>
          <w:rStyle w:val="Funotenzeichen"/>
        </w:rPr>
        <w:footnoteReference w:id="159"/>
      </w:r>
      <w:r>
        <w:t xml:space="preserve"> und sind froh, dass Spiecker als höherg</w:t>
      </w:r>
      <w:r>
        <w:t>e</w:t>
      </w:r>
      <w:r>
        <w:t>stellte Person so entschieden eingreift („es ist doch gut, daß die Herren merken daß wir nicht allein stehen, sondern eine feste Vertretung in Deutschland h</w:t>
      </w:r>
      <w:r>
        <w:t>a</w:t>
      </w:r>
      <w:r>
        <w:t>ben“; 791).</w:t>
      </w:r>
    </w:p>
    <w:p w:rsidR="00CF6655" w:rsidRDefault="00CF6655" w:rsidP="007308C9">
      <w:pPr>
        <w:pStyle w:val="Titel4"/>
      </w:pPr>
      <w:bookmarkStart w:id="250" w:name="_Toc130260722"/>
      <w:bookmarkStart w:id="251" w:name="_Toc327388022"/>
      <w:r>
        <w:t>Die Frage der Tierhaltung</w:t>
      </w:r>
      <w:bookmarkEnd w:id="250"/>
      <w:bookmarkEnd w:id="251"/>
    </w:p>
    <w:p w:rsidR="00CF6655" w:rsidRDefault="00CF6655" w:rsidP="009758D3">
      <w:pPr>
        <w:pStyle w:val="Text"/>
        <w:ind w:firstLine="0"/>
      </w:pPr>
      <w:r>
        <w:t>Von vielen Weißen wird die Tierhaltung durch Missionare nicht gern gesehen; sie unterstellen, die Missionare trieben Viehhandel. Es ist eines der häufigsten Vorurteile gegen die Mission, das nicht nur bei den Händlern verbreitet ist, die die Missionare mit ihren Sonderrechten (</w:t>
      </w:r>
      <w:r w:rsidR="00A27C71">
        <w:t>etwa</w:t>
      </w:r>
      <w:r>
        <w:t xml:space="preserve"> Bahnfahren für den halben Preis; Schenkung von Landrechten durch die Regierung etc.) und ihrer Finanzierung aus Deutschland als subventionierte Konkurrenz ansehen. Schon zu Beginn der Schiffsreise von London</w:t>
      </w:r>
      <w:r w:rsidR="00363C1C">
        <w:fldChar w:fldCharType="begin"/>
      </w:r>
      <w:r w:rsidR="00710612">
        <w:instrText xml:space="preserve"> XE "</w:instrText>
      </w:r>
      <w:r w:rsidR="00710612" w:rsidRPr="00710612">
        <w:instrText>London</w:instrText>
      </w:r>
      <w:r w:rsidR="00710612">
        <w:instrText xml:space="preserve">" </w:instrText>
      </w:r>
      <w:r w:rsidR="00363C1C">
        <w:fldChar w:fldCharType="end"/>
      </w:r>
      <w:r>
        <w:t xml:space="preserve"> nach 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r>
        <w:t xml:space="preserve"> wird Spiecker durch den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mit diesem Vorwurf konfrontiert (26). Auf abgelegenen Stationen wie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xml:space="preserve"> ist das Halten von Vieh in gewissem Umfang jedoch eine No</w:t>
      </w:r>
      <w:r>
        <w:t>t</w:t>
      </w:r>
      <w:r>
        <w:t>wendigkeit, und auch in den besser zugänglichen Gebieten ermöglicht es dem Missionar eine weitgehende Subsistenz. (747)</w:t>
      </w:r>
    </w:p>
    <w:p w:rsidR="00CF6655" w:rsidRDefault="00CF6655" w:rsidP="009758D3">
      <w:pPr>
        <w:pStyle w:val="Titel3"/>
      </w:pPr>
      <w:bookmarkStart w:id="252" w:name="_Toc122313644"/>
      <w:bookmarkStart w:id="253" w:name="_Toc122313732"/>
      <w:bookmarkStart w:id="254" w:name="_Toc130260723"/>
      <w:bookmarkStart w:id="255" w:name="_Toc327388023"/>
      <w:r>
        <w:lastRenderedPageBreak/>
        <w:t>Evangelische Kirche und andere evangelische Missionen</w:t>
      </w:r>
      <w:bookmarkEnd w:id="252"/>
      <w:bookmarkEnd w:id="253"/>
      <w:bookmarkEnd w:id="254"/>
      <w:bookmarkEnd w:id="255"/>
    </w:p>
    <w:p w:rsidR="00CF6655" w:rsidRDefault="00CF6655" w:rsidP="009758D3">
      <w:pPr>
        <w:pStyle w:val="Text"/>
        <w:ind w:firstLine="0"/>
      </w:pPr>
      <w:r>
        <w:t>Dass die Mission nicht einmal zur eigenen evangelischen Kirche immer ein ganz ungetrübtes Verhältnis hat, zeigt sich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Dort heißt es über den Pastor Auz</w:t>
      </w:r>
      <w:r w:rsidR="00363C1C">
        <w:fldChar w:fldCharType="begin"/>
      </w:r>
      <w:r w:rsidR="00ED7631">
        <w:instrText xml:space="preserve"> XE "</w:instrText>
      </w:r>
      <w:r w:rsidR="00ED7631" w:rsidRPr="005E4C10">
        <w:instrText>Auz (Pastor in Windhuk)</w:instrText>
      </w:r>
      <w:r w:rsidR="00ED7631">
        <w:instrText xml:space="preserve">" </w:instrText>
      </w:r>
      <w:r w:rsidR="00363C1C">
        <w:fldChar w:fldCharType="end"/>
      </w:r>
      <w:r>
        <w:t>:</w:t>
      </w:r>
    </w:p>
    <w:p w:rsidR="00CF6655" w:rsidRDefault="00CF6655" w:rsidP="00CF6655">
      <w:pPr>
        <w:pStyle w:val="Zitat"/>
      </w:pPr>
      <w:r>
        <w:t>Ich freue mich, daß ein so gutes Verhältnis zwischen ihm und den Geschwi</w:t>
      </w:r>
      <w:r>
        <w:t>s</w:t>
      </w:r>
      <w:r>
        <w:t>tern hier besteht, aber herzlich wird dasselbe wohl nie werden. Dazu gehen doch die Ansichten zu weit aus einander. Ich glaube immer noch, daß es b</w:t>
      </w:r>
      <w:r>
        <w:t>e</w:t>
      </w:r>
      <w:r>
        <w:t>dauerlich ist, daß das Band zwischen der evangel. Gemeinde hier und der Mi</w:t>
      </w:r>
      <w:r>
        <w:t>s</w:t>
      </w:r>
      <w:r>
        <w:t>sion insofern zerschnitten wurde, als der Pastor nicht mehr von der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sondern vom Oberkirchenrat ausgesandt wird, der bei der Aussendung von ganz anderen Gesichtspunkten ausgeht. (789)</w:t>
      </w:r>
    </w:p>
    <w:p w:rsidR="00CF6655" w:rsidRDefault="00CF6655" w:rsidP="007308C9">
      <w:pPr>
        <w:pStyle w:val="Titel4"/>
      </w:pPr>
      <w:bookmarkStart w:id="256" w:name="_Toc130260724"/>
      <w:r>
        <w:t xml:space="preserve"> </w:t>
      </w:r>
      <w:bookmarkStart w:id="257" w:name="_Toc327388024"/>
      <w:r>
        <w:t>Liberale Pastoren</w:t>
      </w:r>
      <w:r w:rsidR="006B4409">
        <w:t xml:space="preserve"> oder:</w:t>
      </w:r>
      <w:r>
        <w:t xml:space="preserve"> Der Teufel ist noch im Spiel</w:t>
      </w:r>
      <w:bookmarkEnd w:id="256"/>
      <w:bookmarkEnd w:id="257"/>
    </w:p>
    <w:p w:rsidR="00CF6655" w:rsidRDefault="00CF6655" w:rsidP="009758D3">
      <w:pPr>
        <w:pStyle w:val="Text"/>
        <w:ind w:firstLine="0"/>
      </w:pPr>
      <w:r>
        <w:t>Vor der Konferenz in Omupanda</w:t>
      </w:r>
      <w:r w:rsidR="00363C1C">
        <w:fldChar w:fldCharType="begin"/>
      </w:r>
      <w:r w:rsidR="00C05598">
        <w:instrText xml:space="preserve"> XE "</w:instrText>
      </w:r>
      <w:r w:rsidR="00C05598" w:rsidRPr="00FA4932">
        <w:instrText>Omupanda</w:instrText>
      </w:r>
      <w:r w:rsidR="00C05598">
        <w:instrText xml:space="preserve">" </w:instrText>
      </w:r>
      <w:r w:rsidR="00363C1C">
        <w:fldChar w:fldCharType="end"/>
      </w:r>
      <w:r>
        <w:t xml:space="preserve"> kommt es zu einem Gespräch über neue the</w:t>
      </w:r>
      <w:r>
        <w:t>o</w:t>
      </w:r>
      <w:r>
        <w:t>logische Entwicklungen in Deutschland:</w:t>
      </w:r>
    </w:p>
    <w:p w:rsidR="00CF6655" w:rsidRDefault="00CF6655" w:rsidP="00CF6655">
      <w:pPr>
        <w:pStyle w:val="Zitat"/>
      </w:pPr>
      <w:r>
        <w:t>Abends nach Tisch hatten wir noch eine sehr lebhafte Unterhaltung über die Stellung der Kirchenbehörde zu den modernen Theologen. Die Brüder wü</w:t>
      </w:r>
      <w:r>
        <w:t>n</w:t>
      </w:r>
      <w:r>
        <w:t>schen alle ein möglichst scharfes Vorgehen gegen liberale Pastoren, während ich darauf aufmerksam mache, daß derartige Erscheinungen in der Kirche durch die Macht des in ihr waltenden Geistes Gottes überwunden werden mü</w:t>
      </w:r>
      <w:r>
        <w:t>s</w:t>
      </w:r>
      <w:r>
        <w:t>sen. Fehlt es an diesem Geist, dann helfen alle Maßregelungen nichts. Aufgabe der gläubigen Prediger und Missionare ist positive Arbeit […], nicht aber Ve</w:t>
      </w:r>
      <w:r>
        <w:t>r</w:t>
      </w:r>
      <w:r>
        <w:t>ketzerung der Andersdenkenden. (1178)</w:t>
      </w:r>
    </w:p>
    <w:p w:rsidR="00CF6655" w:rsidRDefault="00CF6655" w:rsidP="00AD112A">
      <w:pPr>
        <w:pStyle w:val="Text"/>
        <w:ind w:firstLine="0"/>
      </w:pPr>
      <w:r>
        <w:t xml:space="preserve">Spiecker nimmt </w:t>
      </w:r>
      <w:r w:rsidR="005A2341">
        <w:t>in dieser Auseinandersetzung um Vertreter der Liberalen The</w:t>
      </w:r>
      <w:r w:rsidR="005A2341">
        <w:t>o</w:t>
      </w:r>
      <w:r w:rsidR="005A2341">
        <w:t>logie</w:t>
      </w:r>
      <w:r w:rsidR="00363C1C">
        <w:fldChar w:fldCharType="begin"/>
      </w:r>
      <w:r w:rsidR="005A2341">
        <w:instrText xml:space="preserve"> XE "</w:instrText>
      </w:r>
      <w:r w:rsidR="005A2341" w:rsidRPr="009F571F">
        <w:instrText>Liberale Theologie</w:instrText>
      </w:r>
      <w:r w:rsidR="005A2341">
        <w:instrText xml:space="preserve">" </w:instrText>
      </w:r>
      <w:r w:rsidR="00363C1C">
        <w:fldChar w:fldCharType="end"/>
      </w:r>
      <w:r w:rsidR="005A2341">
        <w:t xml:space="preserve"> </w:t>
      </w:r>
      <w:r>
        <w:t>eine vermittelnde Position ein</w:t>
      </w:r>
      <w:r w:rsidR="005A2341">
        <w:t>. E</w:t>
      </w:r>
      <w:r>
        <w:t xml:space="preserve">r möchte die „Andersdenkenden“ vor übertriebenen Angriffen schützen, ohne den Eindruck zu erwecken, etwas mit ihnen gemeinsam zu haben. Ein ähnliches Verhalten zeigt sich auch an anderer Stelle, </w:t>
      </w:r>
      <w:r w:rsidR="00A27C71">
        <w:t>etwa</w:t>
      </w:r>
      <w:r>
        <w:t xml:space="preserve"> im Bereich der Kirchenzucht</w:t>
      </w:r>
      <w:r w:rsidR="00363C1C">
        <w:fldChar w:fldCharType="begin"/>
      </w:r>
      <w:r w:rsidR="003264BA">
        <w:instrText xml:space="preserve"> XE "</w:instrText>
      </w:r>
      <w:r w:rsidR="003264BA" w:rsidRPr="000946E9">
        <w:instrText>Kirchenzucht</w:instrText>
      </w:r>
      <w:r w:rsidR="003264BA">
        <w:instrText xml:space="preserve">" </w:instrText>
      </w:r>
      <w:r w:rsidR="00363C1C">
        <w:fldChar w:fldCharType="end"/>
      </w:r>
      <w:r>
        <w:t>. Spiecker macht in diesen Fragen den Eindrucks eines ‚Liberalen wider Willen‘, wobei es sich um keine religiöse Lib</w:t>
      </w:r>
      <w:r>
        <w:t>e</w:t>
      </w:r>
      <w:r>
        <w:t>ralität handelt – diese lehnt er, wie wir gesehen haben, ab –, sondern um eine l</w:t>
      </w:r>
      <w:r>
        <w:t>i</w:t>
      </w:r>
      <w:r>
        <w:t>beral-konservative Geisteshaltung, die statt auf Repression auf die Macht des g</w:t>
      </w:r>
      <w:r>
        <w:t>u</w:t>
      </w:r>
      <w:r>
        <w:t>ten Beispiels setzt. Bei aller Strenge in religiösen und vor allem „sittlichen“ Fr</w:t>
      </w:r>
      <w:r>
        <w:t>a</w:t>
      </w:r>
      <w:r>
        <w:t>gen scheint Spiecker das Ideal des menschlichen Miteinander-Umgehens über Prinzipien, staatliche Gewalt und kirchliche Dogmen zu stellen, wobei er alle</w:t>
      </w:r>
      <w:r>
        <w:t>r</w:t>
      </w:r>
      <w:r>
        <w:t>dings nie soweit geht, die letzteren prinzipiell in Frage zu stellen. Dennoch m</w:t>
      </w:r>
      <w:r>
        <w:t>o</w:t>
      </w:r>
      <w:r>
        <w:t>tiviert ihn diese Haltung, immer wieder gegen staatliche und gelegentlich auch gegen Auswüchse religiöser Repression zu protestieren.</w:t>
      </w:r>
    </w:p>
    <w:p w:rsidR="00CF6655" w:rsidRDefault="00CF6655" w:rsidP="00CF6655">
      <w:pPr>
        <w:pStyle w:val="Text"/>
      </w:pPr>
      <w:r>
        <w:t>Dass ihn dabei mit den Positionen der Neuerer nicht viel verbindet, zeigt sich an einigen Stellen in seinen theologischen Ausführungen:</w:t>
      </w:r>
    </w:p>
    <w:p w:rsidR="00CF6655" w:rsidRDefault="00CF6655" w:rsidP="00CF6655">
      <w:pPr>
        <w:pStyle w:val="Zitat"/>
      </w:pPr>
      <w:r>
        <w:lastRenderedPageBreak/>
        <w:t>Nachher las ich das Büchlein von Seeberg über die Grundfragen des christl</w:t>
      </w:r>
      <w:r>
        <w:t>i</w:t>
      </w:r>
      <w:r>
        <w:t>chen Lebens zu Ende.</w:t>
      </w:r>
      <w:r>
        <w:rPr>
          <w:rStyle w:val="Funotenzeichen"/>
        </w:rPr>
        <w:footnoteReference w:id="160"/>
      </w:r>
      <w:r>
        <w:t xml:space="preserve"> Besonders den Abschnitt über die Entwicklung des christl. Lebens und dessen Hindernisse. Manches sehr gut. Aber den Teufel mit all seiner List &amp; Tücke sieht das Völkchen nie. Ich wurde an den alten Prakticus Nommensen erinnert. Der rechnet mit dem Teufel &amp; hält es für e</w:t>
      </w:r>
      <w:r>
        <w:t>i</w:t>
      </w:r>
      <w:r>
        <w:t>nen großen Fehler, wenn man ihn bei der Rechnung aus dem Spiel läßt. (1241)</w:t>
      </w:r>
    </w:p>
    <w:p w:rsidR="00CF6655" w:rsidRDefault="00CF6655" w:rsidP="00AD112A">
      <w:pPr>
        <w:pStyle w:val="Text"/>
        <w:ind w:firstLine="0"/>
      </w:pPr>
      <w:r>
        <w:t>Schon auf der Schiffsreise nach Afrika hatte Spiecker Thomas King</w:t>
      </w:r>
      <w:r w:rsidR="00363C1C">
        <w:fldChar w:fldCharType="begin"/>
      </w:r>
      <w:r w:rsidR="00FF529F">
        <w:instrText xml:space="preserve"> XE "</w:instrText>
      </w:r>
      <w:r w:rsidR="00FF529F" w:rsidRPr="00EC6EC6">
        <w:instrText>King, Thomas</w:instrText>
      </w:r>
      <w:r w:rsidR="00FF529F">
        <w:instrText xml:space="preserve">" </w:instrText>
      </w:r>
      <w:r w:rsidR="00363C1C">
        <w:fldChar w:fldCharType="end"/>
      </w:r>
      <w:r>
        <w:t>, einen sy</w:t>
      </w:r>
      <w:r>
        <w:t>m</w:t>
      </w:r>
      <w:r>
        <w:t>pathischen Missionar der amerikanischen „Congregationalisten“ getroffen. „Auffallenderweise scheint er von der deutschen liberalen Theologie</w:t>
      </w:r>
      <w:r w:rsidR="00363C1C">
        <w:fldChar w:fldCharType="begin"/>
      </w:r>
      <w:r w:rsidR="005A2341">
        <w:instrText xml:space="preserve"> XE "</w:instrText>
      </w:r>
      <w:r w:rsidR="005A2341" w:rsidRPr="009B1DAB">
        <w:instrText>Liberale Theologie</w:instrText>
      </w:r>
      <w:r w:rsidR="005A2341">
        <w:instrText xml:space="preserve">" </w:instrText>
      </w:r>
      <w:r w:rsidR="00363C1C">
        <w:fldChar w:fldCharType="end"/>
      </w:r>
      <w:r>
        <w:t xml:space="preserve"> etwas b</w:t>
      </w:r>
      <w:r>
        <w:t>e</w:t>
      </w:r>
      <w:r>
        <w:t>einflußt zu sein.“ (16) Seinen Vorstellungen kann er sich nicht anschließen: „Er raucht und trinkt nicht und möchte gerne, daß alle Christen ebenso handelten. Ich versuche ihn von diesen Einseitigkeiten ein wenig zu befreien. […] Er ist ü</w:t>
      </w:r>
      <w:r>
        <w:t>b</w:t>
      </w:r>
      <w:r>
        <w:t>rigens ein ernster und tief denkender Mensch, doch in seiner Stellung zur Schrift ein liberaler Theologe.“ (25) Beides – die puritanisch anmutende Enthaltsamkeit und die Liberalität – sind ernsthafte Mängel, die jedoch nicht das Entstehen einer wirklichen Freundschaft auf der langen Reise verhindern können, so dass man am Ende „sehr wehmütig“ voneinander Abschied nimmt (82).</w:t>
      </w:r>
    </w:p>
    <w:p w:rsidR="00CF6655" w:rsidRDefault="00CF6655" w:rsidP="007308C9">
      <w:pPr>
        <w:pStyle w:val="Titel4"/>
      </w:pPr>
      <w:bookmarkStart w:id="258" w:name="_Toc130260725"/>
      <w:bookmarkStart w:id="259" w:name="_Toc327388025"/>
      <w:r>
        <w:t>Die anderen evangelischen Missionsgesellschaften</w:t>
      </w:r>
      <w:bookmarkEnd w:id="258"/>
      <w:bookmarkEnd w:id="259"/>
    </w:p>
    <w:p w:rsidR="00CF6655" w:rsidRDefault="00CF6655" w:rsidP="007308C9">
      <w:pPr>
        <w:pStyle w:val="Titel5"/>
      </w:pPr>
      <w:bookmarkStart w:id="260" w:name="_Toc130260726"/>
      <w:bookmarkStart w:id="261" w:name="_Toc327388026"/>
      <w:r w:rsidRPr="00EF4757">
        <w:t>Die</w:t>
      </w:r>
      <w:r>
        <w:t xml:space="preserve"> </w:t>
      </w:r>
      <w:r w:rsidRPr="00EF4757">
        <w:t>deutschen</w:t>
      </w:r>
      <w:r>
        <w:t xml:space="preserve"> evangelischen Missionsgesellschaften</w:t>
      </w:r>
      <w:bookmarkEnd w:id="260"/>
      <w:bookmarkEnd w:id="261"/>
    </w:p>
    <w:p w:rsidR="00CF6655" w:rsidRDefault="00CF6655" w:rsidP="00EF4757">
      <w:pPr>
        <w:pStyle w:val="Text"/>
        <w:ind w:firstLine="0"/>
      </w:pPr>
      <w:r>
        <w:t>Dem Leser bleibt – ebenso wie zuvor dem Afrikareisenden – unklar, warum ke</w:t>
      </w:r>
      <w:r>
        <w:t>i</w:t>
      </w:r>
      <w:r>
        <w:t>ne engere Zusammenarbeit mit den anderen evangelischen Missionsgesellscha</w:t>
      </w:r>
      <w:r>
        <w:t>f</w:t>
      </w:r>
      <w:r>
        <w:t>ten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w:t>
      </w:r>
      <w:r w:rsidR="001B0CF3">
        <w:t>Brüdergemeine</w:t>
      </w:r>
      <w:r w:rsidR="00363C1C">
        <w:fldChar w:fldCharType="begin"/>
      </w:r>
      <w:r w:rsidR="0078232E">
        <w:instrText xml:space="preserve"> XE "</w:instrText>
      </w:r>
      <w:r w:rsidR="001B0CF3">
        <w:instrText>Brüdergemeine</w:instrText>
      </w:r>
      <w:r w:rsidR="0078232E" w:rsidRPr="001C5CB5">
        <w:instrText xml:space="preserve"> (Herrnhuter Mission)</w:instrText>
      </w:r>
      <w:r w:rsidR="0078232E">
        <w:instrText xml:space="preserve">" </w:instrText>
      </w:r>
      <w:r w:rsidR="00363C1C">
        <w:fldChar w:fldCharType="end"/>
      </w:r>
      <w:r>
        <w:t xml:space="preserve"> und Berlin I) möglich ist. Bei der Konf</w:t>
      </w:r>
      <w:r>
        <w:t>e</w:t>
      </w:r>
      <w:r>
        <w:t>renz in Wupperthal</w:t>
      </w:r>
      <w:r w:rsidR="00363C1C">
        <w:fldChar w:fldCharType="begin"/>
      </w:r>
      <w:r w:rsidR="00E01EA7">
        <w:instrText xml:space="preserve"> XE "</w:instrText>
      </w:r>
      <w:r w:rsidR="00E01EA7" w:rsidRPr="00C24B28">
        <w:instrText>Wupperthal</w:instrText>
      </w:r>
      <w:r w:rsidR="00E01EA7">
        <w:instrText xml:space="preserve">" </w:instrText>
      </w:r>
      <w:r w:rsidR="00363C1C">
        <w:fldChar w:fldCharType="end"/>
      </w:r>
      <w:r>
        <w:t xml:space="preserve"> versucht </w:t>
      </w:r>
      <w:r w:rsidR="00210927">
        <w:t xml:space="preserve">Spiecker </w:t>
      </w:r>
      <w:r>
        <w:t>es immerhin:</w:t>
      </w:r>
    </w:p>
    <w:p w:rsidR="00CF6655" w:rsidRDefault="00CF6655" w:rsidP="00CF6655">
      <w:pPr>
        <w:pStyle w:val="Zitat"/>
      </w:pPr>
      <w:r>
        <w:t>Ich fragte: in welchen Punkten können wir Arbeitsgemeinschaft vorschlagen? erhielt aber keine Antwort. Man glaubte, persönlicher Verkehr und gelegentl</w:t>
      </w:r>
      <w:r>
        <w:t>i</w:t>
      </w:r>
      <w:r>
        <w:t>che Vertretung in Predigt etc werde am ehesten eine Annäherung zuwege bri</w:t>
      </w:r>
      <w:r>
        <w:t>n</w:t>
      </w:r>
      <w:r>
        <w:t xml:space="preserve">gen. Im </w:t>
      </w:r>
      <w:proofErr w:type="gramStart"/>
      <w:r>
        <w:t>übrigen</w:t>
      </w:r>
      <w:proofErr w:type="gramEnd"/>
      <w:r>
        <w:t xml:space="preserve"> sind die Unterschiede sehr groß. Herrnhut hat seine Eige</w:t>
      </w:r>
      <w:r>
        <w:t>n</w:t>
      </w:r>
      <w:r>
        <w:t>tümlichkeiten, von denen es nie etwas ablassen wird, die herzlichen Verkehr, aber schwerlich Arbeitsgemeinschaft ermöglichen und die Berliner Brüder sind zu konfessionell lutherisch</w:t>
      </w:r>
      <w:r w:rsidR="00363C1C">
        <w:fldChar w:fldCharType="begin"/>
      </w:r>
      <w:r w:rsidR="006A7F44">
        <w:instrText xml:space="preserve"> XE "</w:instrText>
      </w:r>
      <w:r w:rsidR="006A7F44" w:rsidRPr="009129CE">
        <w:instrText>lutherisch (Evangelisch-lutherische Kirchen)</w:instrText>
      </w:r>
      <w:r w:rsidR="006A7F44">
        <w:instrText xml:space="preserve">" </w:instrText>
      </w:r>
      <w:r w:rsidR="00363C1C">
        <w:fldChar w:fldCharType="end"/>
      </w:r>
      <w:r>
        <w:t>. So konnte auf der an sich schönen Konferenz in Bloomfontein kein Abendmahl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xml:space="preserve"> gemeinsam gefeiert werden. Die Berliner waren dagegen. (2065)</w:t>
      </w:r>
    </w:p>
    <w:p w:rsidR="00CF6655" w:rsidRDefault="00CF6655" w:rsidP="00EF4757">
      <w:pPr>
        <w:pStyle w:val="Text"/>
        <w:ind w:firstLine="0"/>
      </w:pPr>
      <w:r>
        <w:t>Die Rheinische Missionsgesellschaft</w:t>
      </w:r>
      <w:r w:rsidR="00363C1C">
        <w:fldChar w:fldCharType="begin"/>
      </w:r>
      <w:r w:rsidR="0078232E">
        <w:instrText xml:space="preserve"> XE "</w:instrText>
      </w:r>
      <w:r w:rsidR="0078232E" w:rsidRPr="00100860">
        <w:instrText>Rheinische Missionsgesellschaft (RMG)</w:instrText>
      </w:r>
      <w:r w:rsidR="0078232E">
        <w:instrText xml:space="preserve">" </w:instrText>
      </w:r>
      <w:r w:rsidR="00363C1C">
        <w:fldChar w:fldCharType="end"/>
      </w:r>
      <w:r>
        <w:t xml:space="preserve"> ist selbst lutherisch</w:t>
      </w:r>
      <w:r w:rsidR="00363C1C">
        <w:fldChar w:fldCharType="begin"/>
      </w:r>
      <w:r w:rsidR="006A7F44">
        <w:instrText xml:space="preserve"> XE "</w:instrText>
      </w:r>
      <w:r w:rsidR="006A7F44" w:rsidRPr="009129CE">
        <w:instrText>lutherisch (Evangelisch-lutherische Kirchen)</w:instrText>
      </w:r>
      <w:r w:rsidR="006A7F44">
        <w:instrText xml:space="preserve">" </w:instrText>
      </w:r>
      <w:r w:rsidR="00363C1C">
        <w:fldChar w:fldCharType="end"/>
      </w:r>
      <w:r>
        <w:t xml:space="preserve"> geprägt.</w:t>
      </w:r>
      <w:r>
        <w:rPr>
          <w:rStyle w:val="Funotenzeichen"/>
        </w:rPr>
        <w:footnoteReference w:id="161"/>
      </w:r>
      <w:r>
        <w:t xml:space="preserve"> – Angesichts der für die Mission durchaus schwierigen Situation wirkt die Aufblähung der Unterschiede eher lächerlich. Spiecker sieht es ähnlich: „Ich bat die Brüder dri</w:t>
      </w:r>
      <w:r>
        <w:t>n</w:t>
      </w:r>
      <w:r>
        <w:t xml:space="preserve">gend jede Gelegenheit zur Annäherung treu zu benutzen.“ (2065f) Seine Idee, </w:t>
      </w:r>
      <w:r>
        <w:lastRenderedPageBreak/>
        <w:t>gemeinsame Industrieschulen zur Ausbildung von Handwerkern zu gründen, wodurch der Wohlstand der Gemeinden gehoben werden könnte, wird von den Brüdern nicht aufgenommen (2066).</w:t>
      </w:r>
    </w:p>
    <w:p w:rsidR="00CF6655" w:rsidRDefault="00CF6655" w:rsidP="00781A66">
      <w:pPr>
        <w:pStyle w:val="Text"/>
      </w:pPr>
      <w:r>
        <w:t>Bei der letzten Konferenz war die Herausgabe eines gemeinsamen Gesan</w:t>
      </w:r>
      <w:r>
        <w:t>g</w:t>
      </w:r>
      <w:r>
        <w:t>buchs überlegt und sogar eine Kommission gebildet worden, die eine Liste der aufzunehmenden Lieder ausgearbeitet hat. Leider hat niemand daran gedacht, mit den beiden anderen Missionsgesellschaften offiziell zu verhandeln! Spiecker berichtet ausführlich über Kompetenzstreitigkeiten, unklare Zuständigkeit und bornierte Superintendenten und fasst bissig zusammen: „Ich habe mich übe</w:t>
      </w:r>
      <w:r>
        <w:t>r</w:t>
      </w:r>
      <w:r>
        <w:t>zeugt, daß die Herausgabe eines gemeinsamen Gesangbuches zur Zeit unmöglich ist. Die Verschiedenheiten sind zu groß und wohl auch die Köpfe zu dick.“ (2053)</w:t>
      </w:r>
    </w:p>
    <w:p w:rsidR="00781A66" w:rsidRDefault="00224E49" w:rsidP="00781A66">
      <w:pPr>
        <w:pStyle w:val="Text"/>
        <w:ind w:firstLine="0"/>
      </w:pPr>
      <w:r>
        <w:rPr>
          <w:noProof/>
        </w:rPr>
        <w:drawing>
          <wp:inline distT="0" distB="0" distL="0" distR="0">
            <wp:extent cx="4320540" cy="3384530"/>
            <wp:effectExtent l="19050" t="0" r="3810" b="0"/>
            <wp:docPr id="15" name="Abb7.jpg" descr="C:\Users\Martin\Docs\Publikationen\Sprache, Glaube und Macht\Johannes Spiecker in Deutsch-Südwestafrika\A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7.jpg"/>
                    <pic:cNvPicPr/>
                  </pic:nvPicPr>
                  <pic:blipFill>
                    <a:blip r:embed="rId21" cstate="print">
                      <a:lum bright="2000" contrast="2000"/>
                    </a:blip>
                    <a:stretch>
                      <a:fillRect/>
                    </a:stretch>
                  </pic:blipFill>
                  <pic:spPr>
                    <a:xfrm>
                      <a:off x="0" y="0"/>
                      <a:ext cx="4320540" cy="3384530"/>
                    </a:xfrm>
                    <a:prstGeom prst="rect">
                      <a:avLst/>
                    </a:prstGeom>
                  </pic:spPr>
                </pic:pic>
              </a:graphicData>
            </a:graphic>
          </wp:inline>
        </w:drawing>
      </w:r>
    </w:p>
    <w:p w:rsidR="00781A66" w:rsidRDefault="00781A66" w:rsidP="00781A66">
      <w:pPr>
        <w:pStyle w:val="Beschriftung"/>
      </w:pPr>
      <w:bookmarkStart w:id="262" w:name="_Toc327393039"/>
      <w:r w:rsidRPr="004C3839">
        <w:rPr>
          <w:b/>
        </w:rPr>
        <w:t xml:space="preserve">Abb. </w:t>
      </w:r>
      <w:r>
        <w:rPr>
          <w:b/>
        </w:rPr>
        <w:t>7</w:t>
      </w:r>
      <w:r>
        <w:tab/>
        <w:t>Missionar Pe</w:t>
      </w:r>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r>
        <w:t>ttinen in seiner Werkstatt in Ondangua</w:t>
      </w:r>
      <w:bookmarkEnd w:id="262"/>
      <w:r w:rsidR="00363C1C">
        <w:fldChar w:fldCharType="begin"/>
      </w:r>
      <w:r>
        <w:instrText xml:space="preserve"> XE "</w:instrText>
      </w:r>
      <w:r w:rsidRPr="00833546">
        <w:rPr>
          <w:lang w:val="it-IT"/>
        </w:rPr>
        <w:instrText>Ondangua</w:instrText>
      </w:r>
      <w:r>
        <w:instrText xml:space="preserve">" </w:instrText>
      </w:r>
      <w:r w:rsidR="00363C1C">
        <w:fldChar w:fldCharType="end"/>
      </w:r>
    </w:p>
    <w:p w:rsidR="00781A66" w:rsidRDefault="00781A66" w:rsidP="00781A66">
      <w:pPr>
        <w:pStyle w:val="Titel5"/>
      </w:pPr>
      <w:bookmarkStart w:id="263" w:name="_Toc130260727"/>
      <w:bookmarkStart w:id="264" w:name="_Ref325355291"/>
      <w:bookmarkStart w:id="265" w:name="_Toc327388027"/>
      <w:r>
        <w:t>Die Finnischen Brüder</w:t>
      </w:r>
      <w:r w:rsidR="00363C1C">
        <w:fldChar w:fldCharType="begin"/>
      </w:r>
      <w:r>
        <w:instrText xml:space="preserve"> XE "</w:instrText>
      </w:r>
      <w:r w:rsidRPr="000B62BE">
        <w:instrText>Finnische Brüder (Ovambo</w:instrText>
      </w:r>
      <w:r>
        <w:instrText>m</w:instrText>
      </w:r>
      <w:r w:rsidRPr="000B62BE">
        <w:instrText>ission)</w:instrText>
      </w:r>
      <w:r>
        <w:instrText xml:space="preserve">" </w:instrText>
      </w:r>
      <w:r w:rsidR="00363C1C">
        <w:fldChar w:fldCharType="end"/>
      </w:r>
      <w:r>
        <w:t xml:space="preserve"> im Amboland</w:t>
      </w:r>
      <w:bookmarkEnd w:id="263"/>
      <w:bookmarkEnd w:id="264"/>
      <w:bookmarkEnd w:id="265"/>
    </w:p>
    <w:p w:rsidR="00781A66" w:rsidRDefault="00781A66" w:rsidP="00781A66">
      <w:pPr>
        <w:pStyle w:val="Text"/>
        <w:ind w:firstLine="0"/>
      </w:pPr>
      <w:r>
        <w:t>Spiecker ist beeindruckt von den Erfolgen der relativ neuen Missionsarbeit im Amboland und bedauert, dass nicht mehr Brüder hingeschickt werden können (1195). Neben einigen Missionaren der Rheinischen Mission sind hier die Finn</w:t>
      </w:r>
      <w:r>
        <w:t>i</w:t>
      </w:r>
      <w:r>
        <w:t>schen Brüder</w:t>
      </w:r>
      <w:r w:rsidR="00363C1C">
        <w:fldChar w:fldCharType="begin"/>
      </w:r>
      <w:r>
        <w:instrText xml:space="preserve"> XE "</w:instrText>
      </w:r>
      <w:r w:rsidRPr="000B62BE">
        <w:instrText>Finnische Brüder (Ovambo</w:instrText>
      </w:r>
      <w:r>
        <w:instrText>m</w:instrText>
      </w:r>
      <w:r w:rsidRPr="000B62BE">
        <w:instrText>ission)</w:instrText>
      </w:r>
      <w:r>
        <w:instrText xml:space="preserve">" </w:instrText>
      </w:r>
      <w:r w:rsidR="00363C1C">
        <w:fldChar w:fldCharType="end"/>
      </w:r>
      <w:r>
        <w:t xml:space="preserve"> tätig: Sie haben vier Missionsstationen: Olukonda</w:t>
      </w:r>
      <w:r w:rsidR="00363C1C">
        <w:fldChar w:fldCharType="begin"/>
      </w:r>
      <w:r>
        <w:instrText xml:space="preserve"> XE "</w:instrText>
      </w:r>
      <w:r w:rsidRPr="00285499">
        <w:instrText>Olukonda</w:instrText>
      </w:r>
      <w:r>
        <w:instrText xml:space="preserve">" </w:instrText>
      </w:r>
      <w:r w:rsidR="00363C1C">
        <w:fldChar w:fldCharType="end"/>
      </w:r>
      <w:r>
        <w:t xml:space="preserve"> (Br. </w:t>
      </w:r>
      <w:r>
        <w:rPr>
          <w:lang w:val="fr-FR"/>
        </w:rPr>
        <w:t>Rantauen</w:t>
      </w:r>
      <w:r w:rsidR="00363C1C">
        <w:rPr>
          <w:lang w:val="fr-FR"/>
        </w:rPr>
        <w:fldChar w:fldCharType="begin"/>
      </w:r>
      <w:r>
        <w:instrText xml:space="preserve"> XE "</w:instrText>
      </w:r>
      <w:r w:rsidRPr="001C6C3D">
        <w:instrText>Rantauen, Br.</w:instrText>
      </w:r>
      <w:r>
        <w:instrText xml:space="preserve">" </w:instrText>
      </w:r>
      <w:r w:rsidR="00363C1C">
        <w:rPr>
          <w:lang w:val="fr-FR"/>
        </w:rPr>
        <w:fldChar w:fldCharType="end"/>
      </w:r>
      <w:r>
        <w:rPr>
          <w:lang w:val="fr-FR"/>
        </w:rPr>
        <w:t>), Ondangua</w:t>
      </w:r>
      <w:r w:rsidR="00363C1C">
        <w:rPr>
          <w:lang w:val="fr-FR"/>
        </w:rPr>
        <w:fldChar w:fldCharType="begin"/>
      </w:r>
      <w:r>
        <w:instrText xml:space="preserve"> XE "</w:instrText>
      </w:r>
      <w:r w:rsidRPr="00833546">
        <w:rPr>
          <w:lang w:val="it-IT"/>
        </w:rPr>
        <w:instrText>Ondangua</w:instrText>
      </w:r>
      <w:r>
        <w:instrText xml:space="preserve">" </w:instrText>
      </w:r>
      <w:r w:rsidR="00363C1C">
        <w:rPr>
          <w:lang w:val="fr-FR"/>
        </w:rPr>
        <w:fldChar w:fldCharType="end"/>
      </w:r>
      <w:r>
        <w:rPr>
          <w:lang w:val="fr-FR"/>
        </w:rPr>
        <w:t xml:space="preserve"> (Geschw. </w:t>
      </w:r>
      <w:r>
        <w:rPr>
          <w:lang w:val="it-IT"/>
        </w:rPr>
        <w:t>Pettinen</w:t>
      </w:r>
      <w:r w:rsidR="00363C1C">
        <w:rPr>
          <w:lang w:val="it-IT"/>
        </w:rPr>
        <w:fldChar w:fldCharType="begin"/>
      </w:r>
      <w:r>
        <w:instrText xml:space="preserve"> XE "</w:instrText>
      </w:r>
      <w:r w:rsidRPr="003318A3">
        <w:instrText>Pettinen, Geschw.</w:instrText>
      </w:r>
      <w:r>
        <w:instrText xml:space="preserve">" </w:instrText>
      </w:r>
      <w:r w:rsidR="00363C1C">
        <w:rPr>
          <w:lang w:val="it-IT"/>
        </w:rPr>
        <w:fldChar w:fldCharType="end"/>
      </w:r>
      <w:r>
        <w:rPr>
          <w:lang w:val="it-IT"/>
        </w:rPr>
        <w:t>), Omipa</w:t>
      </w:r>
      <w:r w:rsidR="00363C1C">
        <w:rPr>
          <w:lang w:val="it-IT"/>
        </w:rPr>
        <w:fldChar w:fldCharType="begin"/>
      </w:r>
      <w:r>
        <w:instrText xml:space="preserve"> XE "</w:instrText>
      </w:r>
      <w:r w:rsidRPr="00C25D1B">
        <w:instrText>Omipa</w:instrText>
      </w:r>
      <w:r>
        <w:instrText xml:space="preserve">" </w:instrText>
      </w:r>
      <w:r w:rsidR="00363C1C">
        <w:rPr>
          <w:lang w:val="it-IT"/>
        </w:rPr>
        <w:fldChar w:fldCharType="end"/>
      </w:r>
      <w:r>
        <w:rPr>
          <w:lang w:val="it-IT"/>
        </w:rPr>
        <w:t xml:space="preserve"> (Br. </w:t>
      </w:r>
      <w:r>
        <w:t>Grönland</w:t>
      </w:r>
      <w:r w:rsidR="00363C1C">
        <w:fldChar w:fldCharType="begin"/>
      </w:r>
      <w:r>
        <w:instrText xml:space="preserve"> XE "</w:instrText>
      </w:r>
      <w:r w:rsidRPr="006A2554">
        <w:instrText>Grönland, Br.</w:instrText>
      </w:r>
      <w:r>
        <w:instrText xml:space="preserve">" </w:instrText>
      </w:r>
      <w:r w:rsidR="00363C1C">
        <w:fldChar w:fldCharType="end"/>
      </w:r>
      <w:r>
        <w:t>) und Namakunde</w:t>
      </w:r>
      <w:r w:rsidR="00363C1C">
        <w:fldChar w:fldCharType="begin"/>
      </w:r>
      <w:r>
        <w:instrText xml:space="preserve"> XE "</w:instrText>
      </w:r>
      <w:r w:rsidRPr="00C17333">
        <w:instrText>Namakunde</w:instrText>
      </w:r>
      <w:r>
        <w:instrText xml:space="preserve">" </w:instrText>
      </w:r>
      <w:r w:rsidR="00363C1C">
        <w:fldChar w:fldCharType="end"/>
      </w:r>
      <w:r>
        <w:t xml:space="preserve"> (Br. </w:t>
      </w:r>
      <w:r>
        <w:lastRenderedPageBreak/>
        <w:t>Toenjes</w:t>
      </w:r>
      <w:r w:rsidR="00363C1C">
        <w:fldChar w:fldCharType="begin"/>
      </w:r>
      <w:r>
        <w:instrText xml:space="preserve"> XE "</w:instrText>
      </w:r>
      <w:r w:rsidRPr="00C06A25">
        <w:instrText>Toenjes, Br.</w:instrText>
      </w:r>
      <w:r>
        <w:instrText xml:space="preserve">" </w:instrText>
      </w:r>
      <w:r w:rsidR="00363C1C">
        <w:fldChar w:fldCharType="end"/>
      </w:r>
      <w:r>
        <w:t>). „Es fällt mir auf, daß die finnischen Stationen groß und schön angelegt sind, aber nicht so in Stand gehalten werden wie unsere Stationen.“ (1205)</w:t>
      </w:r>
    </w:p>
    <w:p w:rsidR="00647642" w:rsidRDefault="00781A66" w:rsidP="00781A66">
      <w:pPr>
        <w:pStyle w:val="Text"/>
        <w:ind w:firstLine="0"/>
      </w:pPr>
      <w:r>
        <w:tab/>
      </w:r>
      <w:r w:rsidR="00CF6655">
        <w:t>Auch die Brüder selbst klagen, „ihr Direktor habe mehr Interesse für die neu begonnene chinesische Mission als für die hiesige alte.“ (1206) Besonders positiv bewertet Spiecker die Schulen dieser Stationen: „Auf die Schule legen die Finnen mit Recht einen sehr großen Wert.“ Meist sind sie sogar 3-klassig, im Gegensatz zu den gewöhnlich 1- oder 2-klassigen, die die Rheinische Mission gebaut hat. „Auch äußerlich ist die Schule viel besser eingerichtet, als unsere Schulen im Hereroland und für Bücher und Schulmaterial ist aufs beste gesorgt.“ (1080)</w:t>
      </w:r>
    </w:p>
    <w:p w:rsidR="00CF6655" w:rsidRDefault="00CF6655" w:rsidP="007308C9">
      <w:pPr>
        <w:pStyle w:val="Titel3"/>
      </w:pPr>
      <w:bookmarkStart w:id="266" w:name="_Toc122313645"/>
      <w:bookmarkStart w:id="267" w:name="_Toc122313733"/>
      <w:bookmarkStart w:id="268" w:name="_Toc130260728"/>
      <w:bookmarkStart w:id="269" w:name="_Toc327388028"/>
      <w:r>
        <w:t>Andere Konfessionen und Religionen</w:t>
      </w:r>
      <w:bookmarkEnd w:id="266"/>
      <w:bookmarkEnd w:id="267"/>
      <w:bookmarkEnd w:id="268"/>
      <w:bookmarkEnd w:id="269"/>
    </w:p>
    <w:p w:rsidR="00CF6655" w:rsidRDefault="00CF6655" w:rsidP="00896116">
      <w:pPr>
        <w:pStyle w:val="Text"/>
        <w:ind w:firstLine="0"/>
      </w:pPr>
      <w:r>
        <w:t>Eine graduelle Vergrößerung der Distanz und Verhärtung des Feindbildes geht mit dem inhaltlichen Abstand zu anderen Religionsgemeinschaften einher. Ist schon mit der streng lutherischen Berliner Mission</w:t>
      </w:r>
      <w:r w:rsidR="00363C1C">
        <w:fldChar w:fldCharType="begin"/>
      </w:r>
      <w:r w:rsidR="00AA2655">
        <w:instrText xml:space="preserve"> XE "</w:instrText>
      </w:r>
      <w:r w:rsidR="00AA2655" w:rsidRPr="00245475">
        <w:instrText>Berliner Mission</w:instrText>
      </w:r>
      <w:r w:rsidR="00AA2655">
        <w:instrText xml:space="preserve">" </w:instrText>
      </w:r>
      <w:r w:rsidR="00363C1C">
        <w:fldChar w:fldCharType="end"/>
      </w:r>
      <w:r>
        <w:t xml:space="preserve"> kein gemeinsames Aben</w:t>
      </w:r>
      <w:r>
        <w:t>d</w:t>
      </w:r>
      <w:r>
        <w:t>mahl</w:t>
      </w:r>
      <w:r w:rsidR="00363C1C">
        <w:fldChar w:fldCharType="begin"/>
      </w:r>
      <w:r w:rsidR="0017421E">
        <w:instrText xml:space="preserve"> XE "</w:instrText>
      </w:r>
      <w:r w:rsidR="0017421E" w:rsidRPr="00415222">
        <w:instrText>Abendmahl</w:instrText>
      </w:r>
      <w:r w:rsidR="0017421E">
        <w:instrText xml:space="preserve">" </w:instrText>
      </w:r>
      <w:r w:rsidR="00363C1C">
        <w:fldChar w:fldCharType="end"/>
      </w:r>
      <w:r>
        <w:t xml:space="preserve"> möglich (2065), dann wundert es nicht, dass zu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und den „Erbfeind der Christenheit“,</w:t>
      </w:r>
      <w:r>
        <w:rPr>
          <w:rStyle w:val="Funotenzeichen"/>
        </w:rPr>
        <w:footnoteReference w:id="162"/>
      </w:r>
      <w:r>
        <w:t xml:space="preserve"> dem Islam</w:t>
      </w:r>
      <w:r w:rsidR="00363C1C">
        <w:fldChar w:fldCharType="begin"/>
      </w:r>
      <w:r w:rsidR="00307A36">
        <w:instrText xml:space="preserve"> XE "</w:instrText>
      </w:r>
      <w:r w:rsidR="00307A36" w:rsidRPr="007640CA">
        <w:instrText>Islam</w:instrText>
      </w:r>
      <w:r w:rsidR="00307A36">
        <w:instrText xml:space="preserve">" </w:instrText>
      </w:r>
      <w:r w:rsidR="00363C1C">
        <w:fldChar w:fldCharType="end"/>
      </w:r>
      <w:r>
        <w:t>, in wachsendem Maß Ablehnung und Feindschaft herrschen.</w:t>
      </w:r>
    </w:p>
    <w:p w:rsidR="00CF6655" w:rsidRDefault="00CF6655" w:rsidP="007308C9">
      <w:pPr>
        <w:pStyle w:val="Titel4"/>
      </w:pPr>
      <w:bookmarkStart w:id="270" w:name="_Toc130260729"/>
      <w:bookmarkStart w:id="271" w:name="_Ref325354735"/>
      <w:bookmarkStart w:id="272" w:name="_Ref325355443"/>
      <w:bookmarkStart w:id="273" w:name="_Toc327388029"/>
      <w:r>
        <w:t>Katholiken</w:t>
      </w:r>
      <w:bookmarkEnd w:id="270"/>
      <w:bookmarkEnd w:id="271"/>
      <w:bookmarkEnd w:id="272"/>
      <w:bookmarkEnd w:id="273"/>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p>
    <w:p w:rsidR="00CF6655" w:rsidRDefault="00CF6655" w:rsidP="00896116">
      <w:pPr>
        <w:pStyle w:val="Text"/>
        <w:ind w:firstLine="0"/>
      </w:pPr>
      <w:r>
        <w:t>Die Zulassung aller Missionsgesellschaften in den deutschen Schutzgebieten e</w:t>
      </w:r>
      <w:r>
        <w:t>r</w:t>
      </w:r>
      <w:r>
        <w:t>folgte 1889/90 durch eine Zusage des Staatssekretärs des Auswärtigen, Herbert von Bismarck</w:t>
      </w:r>
      <w:r w:rsidR="00363C1C">
        <w:fldChar w:fldCharType="begin"/>
      </w:r>
      <w:r w:rsidR="00177921">
        <w:instrText xml:space="preserve"> XE "</w:instrText>
      </w:r>
      <w:r w:rsidR="00177921" w:rsidRPr="00333F8A">
        <w:instrText>Bismarck, Herbert von</w:instrText>
      </w:r>
      <w:r w:rsidR="00177921">
        <w:instrText xml:space="preserve">" </w:instrText>
      </w:r>
      <w:r w:rsidR="00363C1C">
        <w:fldChar w:fldCharType="end"/>
      </w:r>
      <w:r>
        <w:t>; im Jahr 1900 wurde dann im „Schutzgebietsgesetz“ der Grundsatz der freien Missionstätigkeit aller im Deutschen Reich anerkannten Religionsg</w:t>
      </w:r>
      <w:r>
        <w:t>e</w:t>
      </w:r>
      <w:r>
        <w:t>meinschaften in den Kolonien festgelegt. Formal konnten die Missionsgesel</w:t>
      </w:r>
      <w:r>
        <w:t>l</w:t>
      </w:r>
      <w:r>
        <w:t>schaften daraufhin ihre Tätigkeit in den Kolonien frei entfalten; in der Praxis z</w:t>
      </w:r>
      <w:r>
        <w:t>o</w:t>
      </w:r>
      <w:r>
        <w:t>gen sie es aufgrund vielfältiger Abhängigkeiten jedoch vor, mit der Kolonialr</w:t>
      </w:r>
      <w:r>
        <w:t>e</w:t>
      </w:r>
      <w:r>
        <w:t>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zusammenzuarbeiten und diese beispielsweise über Pläne für neue Mi</w:t>
      </w:r>
      <w:r>
        <w:t>s</w:t>
      </w:r>
      <w:r>
        <w:t>sionsstationen zu informieren.</w:t>
      </w:r>
      <w:r>
        <w:rPr>
          <w:rStyle w:val="Funotenzeichen"/>
        </w:rPr>
        <w:footnoteReference w:id="163"/>
      </w:r>
    </w:p>
    <w:p w:rsidR="00CF6655" w:rsidRDefault="00CF6655" w:rsidP="00CF6655">
      <w:pPr>
        <w:pStyle w:val="Text"/>
      </w:pPr>
      <w:r>
        <w:t>1884 gab es in Deutschland keine katholischen Missionsgesellschaften; au</w:t>
      </w:r>
      <w:r>
        <w:t>f</w:t>
      </w:r>
      <w:r>
        <w:t>grund der damals noch gültigen Kulturkampfgesetze wäre es den katholischen Orden auch unmöglich gewesen, neue Niederlassungen in Übersee zu gründen. In der Folgezeit wurden jedoch verschiedene ausländische katholische Mission</w:t>
      </w:r>
      <w:r>
        <w:t>s</w:t>
      </w:r>
      <w:r>
        <w:lastRenderedPageBreak/>
        <w:t>gesellschaften in Deutschland zugelassen; dies war die Voraussetzung für die T</w:t>
      </w:r>
      <w:r>
        <w:t>ä</w:t>
      </w:r>
      <w:r>
        <w:t>tigkeit in den Schutzgebieten.</w:t>
      </w:r>
      <w:r>
        <w:rPr>
          <w:rStyle w:val="Funotenzeichen"/>
        </w:rPr>
        <w:footnoteReference w:id="164"/>
      </w:r>
    </w:p>
    <w:p w:rsidR="00CF6655" w:rsidRDefault="00CF6655" w:rsidP="00CF6655">
      <w:pPr>
        <w:pStyle w:val="Text"/>
      </w:pPr>
      <w:r>
        <w:t>Doch für die katholischen Missionare kam diese politische Wendung zu spät, um den evangelischen Missionen in den deutschen Schutzgebieten noch den Rang ablaufen zu können; dies galt insbesondere für Deutsch-Südwestafrika, wo zum Zeitpunkt von Spieckers Besuch die Rheinische Mission noch domini</w:t>
      </w:r>
      <w:r>
        <w:t>e</w:t>
      </w:r>
      <w:r>
        <w:t>rend ist, jedoch die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als zunehmende Bedrohung und Konkurrenz empfunden werden. Hier spielte wohl auch die Verunsicherung eine Rolle, dass einem die protestantisch geprägte Reichsregierung in einem so wichtigen Punkt in den Rücken gefallen war, was man politischem Kalkül zuschrieb – wohl nicht zu Unrecht, denn die Regierung brauchte die Zustimmung der zunächst zögerl</w:t>
      </w:r>
      <w:r>
        <w:t>i</w:t>
      </w:r>
      <w:r>
        <w:t>chen Katholiken zu ihrer Kolonialpolitik</w:t>
      </w:r>
      <w:r w:rsidR="00363C1C">
        <w:fldChar w:fldCharType="begin"/>
      </w:r>
      <w:r w:rsidR="00C85A35">
        <w:instrText xml:space="preserve"> XE "</w:instrText>
      </w:r>
      <w:r w:rsidR="00C85A35" w:rsidRPr="00346DC5">
        <w:instrText>Kolonialpolitik</w:instrText>
      </w:r>
      <w:r w:rsidR="00C85A35">
        <w:instrText xml:space="preserve">" </w:instrText>
      </w:r>
      <w:r w:rsidR="00363C1C">
        <w:fldChar w:fldCharType="end"/>
      </w:r>
      <w:r>
        <w:t>: Gründer betont: „Die Einstellung der Reichsregierung zur katholischen Missionstätigkeit in den neuen deutschen K</w:t>
      </w:r>
      <w:r>
        <w:t>o</w:t>
      </w:r>
      <w:r>
        <w:t>lonien musste deshalb mit darüber entscheiden, ob und wieweit sie auf die Mi</w:t>
      </w:r>
      <w:r>
        <w:t>t</w:t>
      </w:r>
      <w:r>
        <w:t>arbeit des Zentrums an der Kolonialpolitik zählen konnte.“</w:t>
      </w:r>
      <w:r>
        <w:rPr>
          <w:rStyle w:val="Funotenzeichen"/>
        </w:rPr>
        <w:footnoteReference w:id="165"/>
      </w:r>
    </w:p>
    <w:p w:rsidR="00CF6655" w:rsidRDefault="00CF6655" w:rsidP="00CF6655">
      <w:pPr>
        <w:pStyle w:val="Text"/>
      </w:pPr>
      <w:r>
        <w:t>Für Südwestafrika hatte sich die Rheinische Mission die Monopolstellung offiziell gesichert, indem sie einen Vertrag mit der Firma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xml:space="preserve"> abschloss; sie konnte sich dabei auf eine aktive Politik der Unterstützung durch die protesta</w:t>
      </w:r>
      <w:r>
        <w:t>n</w:t>
      </w:r>
      <w:r>
        <w:t>tisch geprägte Reichsregierung verlassen, die Anfragen der Zentrumspartei zur Zulassung katholischer Missionen wiederholt ablehnte. Doch in einem langwi</w:t>
      </w:r>
      <w:r>
        <w:t>e</w:t>
      </w:r>
      <w:r>
        <w:t>rigen Prozess konnten die katholischen Missionare allmählich die Akzeptanz i</w:t>
      </w:r>
      <w:r>
        <w:t>h</w:t>
      </w:r>
      <w:r>
        <w:t>rer Tätigkeit erreichen.</w:t>
      </w:r>
      <w:r>
        <w:rPr>
          <w:rStyle w:val="Funotenzeichen"/>
        </w:rPr>
        <w:footnoteReference w:id="166"/>
      </w:r>
      <w:r>
        <w:t xml:space="preserve"> Zum Wendepunkt in Südwestafrika wurde der Au</w:t>
      </w:r>
      <w:r>
        <w:t>f</w:t>
      </w:r>
      <w:r>
        <w:t>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der beiden Stämme, für den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xml:space="preserve"> und konservative Kräfte in der Kolonie und in Deutschland die evangelische Mission mitverantwortlich machen</w:t>
      </w:r>
      <w:r w:rsidR="00F76863">
        <w:t xml:space="preserve">, </w:t>
      </w:r>
      <w:r>
        <w:t>wobei das Argument immer das der angeblichen „Verhätschelung“ (849) der Eingeb</w:t>
      </w:r>
      <w:r>
        <w:t>o</w:t>
      </w:r>
      <w:r>
        <w:t>renen ist. „Zwar erreichte die Rheinische Mission, daß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xml:space="preserve"> ihr noch ei</w:t>
      </w:r>
      <w:r>
        <w:t>n</w:t>
      </w:r>
      <w:r>
        <w:t>mal das Missionsmonopol für Südwestafrika bestätigte, aber diese Verfügung vom 15. März 1905 war angesichts der außerordentlichen Schwere und Tragweite des Aufstandes innenpolitisch nicht mehr vertretbar und deshalb von Reich</w:t>
      </w:r>
      <w:r>
        <w:t>s</w:t>
      </w:r>
      <w:r>
        <w:t>kanzler Bülow</w:t>
      </w:r>
      <w:r w:rsidR="00363C1C">
        <w:fldChar w:fldCharType="begin"/>
      </w:r>
      <w:r w:rsidR="00A4238C">
        <w:instrText xml:space="preserve"> XE "</w:instrText>
      </w:r>
      <w:r w:rsidR="00A4238C" w:rsidRPr="00917B09">
        <w:instrText>Bülow, Bernhard von</w:instrText>
      </w:r>
      <w:r w:rsidR="00A4238C">
        <w:instrText xml:space="preserve">" </w:instrText>
      </w:r>
      <w:r w:rsidR="00363C1C">
        <w:fldChar w:fldCharType="end"/>
      </w:r>
      <w:r>
        <w:t xml:space="preserve"> wieder aufgehoben worden.“</w:t>
      </w:r>
      <w:r>
        <w:rPr>
          <w:rStyle w:val="Funotenzeichen"/>
        </w:rPr>
        <w:footnoteReference w:id="167"/>
      </w:r>
    </w:p>
    <w:p w:rsidR="00CF6655" w:rsidRDefault="00CF6655" w:rsidP="00CF6655">
      <w:pPr>
        <w:pStyle w:val="Text"/>
      </w:pPr>
      <w:r>
        <w:t>Vor diesem Hintergrund wird das extreme Misstrauen gegenüber den K</w:t>
      </w:r>
      <w:r>
        <w:t>a</w:t>
      </w:r>
      <w:r>
        <w:t>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das noch deutlicher als in der Heimat ausgeprägt zu sein scheint, ps</w:t>
      </w:r>
      <w:r>
        <w:t>y</w:t>
      </w:r>
      <w:r>
        <w:t>chologisch etwas besser verständlich. Zu den „Römischen“ besteht so gut wie kein Kontakt; sie werden immer nur in negativen Kontexten erwähnt. Einige Beispiele mögen das verdeutlichen:</w:t>
      </w:r>
    </w:p>
    <w:p w:rsidR="00CF6655" w:rsidRDefault="00CF6655" w:rsidP="00CF6655">
      <w:pPr>
        <w:pStyle w:val="Text"/>
      </w:pPr>
      <w:r>
        <w:lastRenderedPageBreak/>
        <w:t>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erfährt Spiecker vom „Antrittsbesuch, den der kathol. Präfekt Nachtwey nach 6 1/2 jährigem Aufenthalt hier dem Bruder Wandres</w:t>
      </w:r>
      <w:r w:rsidR="00363C1C">
        <w:fldChar w:fldCharType="begin"/>
      </w:r>
      <w:r w:rsidR="00D20257">
        <w:instrText xml:space="preserve"> XE "</w:instrText>
      </w:r>
      <w:r w:rsidR="00D20257" w:rsidRPr="0034069E">
        <w:instrText>Wandres, Br.</w:instrText>
      </w:r>
      <w:r w:rsidR="00D20257">
        <w:instrText xml:space="preserve">" </w:instrText>
      </w:r>
      <w:r w:rsidR="00363C1C">
        <w:fldChar w:fldCharType="end"/>
      </w:r>
      <w:r>
        <w:t xml:space="preserve"> machte.“ (784f) Die Beziehungen sind offenbar kühl bis frostig.</w:t>
      </w:r>
      <w:r>
        <w:rPr>
          <w:rStyle w:val="Funotenzeichen"/>
        </w:rPr>
        <w:footnoteReference w:id="168"/>
      </w:r>
    </w:p>
    <w:p w:rsidR="00CF6655" w:rsidRDefault="00CF6655" w:rsidP="00CF6655">
      <w:pPr>
        <w:pStyle w:val="Text"/>
      </w:pPr>
      <w:r>
        <w:t>Auf der Farm Ondekaremba</w:t>
      </w:r>
      <w:r w:rsidR="00363C1C">
        <w:fldChar w:fldCharType="begin"/>
      </w:r>
      <w:r w:rsidR="006F4997">
        <w:instrText xml:space="preserve"> XE "</w:instrText>
      </w:r>
      <w:r w:rsidR="006F4997" w:rsidRPr="00F74413">
        <w:instrText>Ondekaremba (Farm)</w:instrText>
      </w:r>
      <w:r w:rsidR="006F4997">
        <w:instrText xml:space="preserve">" </w:instrText>
      </w:r>
      <w:r w:rsidR="00363C1C">
        <w:fldChar w:fldCharType="end"/>
      </w:r>
      <w:r>
        <w:t xml:space="preserve"> (zwischen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und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die dem Ehepaar Rust</w:t>
      </w:r>
      <w:r w:rsidR="00363C1C">
        <w:fldChar w:fldCharType="begin"/>
      </w:r>
      <w:r w:rsidR="006F4997">
        <w:instrText xml:space="preserve"> XE "</w:instrText>
      </w:r>
      <w:r w:rsidR="006F4997" w:rsidRPr="00DA75B5">
        <w:instrText>Rust, Ehepaar (Ondekaremba)</w:instrText>
      </w:r>
      <w:r w:rsidR="006F4997">
        <w:instrText xml:space="preserve">" </w:instrText>
      </w:r>
      <w:r w:rsidR="00363C1C">
        <w:fldChar w:fldCharType="end"/>
      </w:r>
      <w:r>
        <w:t xml:space="preserve"> gehört, begegnen sie einem katholischen Pater, der dem Kl</w:t>
      </w:r>
      <w:r>
        <w:t>i</w:t>
      </w:r>
      <w:r>
        <w:t>schee der lockeren, lebenslustigen Patres zu entsprechen scheint und von Spi</w:t>
      </w:r>
      <w:r>
        <w:t>e</w:t>
      </w:r>
      <w:r>
        <w:t>cker mit leichter Missbilligung ignoriert wird:</w:t>
      </w:r>
    </w:p>
    <w:p w:rsidR="00CF6655" w:rsidRDefault="00CF6655" w:rsidP="00CF6655">
      <w:pPr>
        <w:pStyle w:val="Zitat"/>
      </w:pPr>
      <w:r>
        <w:t>In seinem Hause wohnen einige Soldaten zum Schutz der Farm. Wir kamen durch deren Zimmer ins Haus. Da lag auch der kathol. Pater Ziegenfuß</w:t>
      </w:r>
      <w:r w:rsidR="00363C1C">
        <w:fldChar w:fldCharType="begin"/>
      </w:r>
      <w:r w:rsidR="00362BAB">
        <w:instrText xml:space="preserve"> XE "</w:instrText>
      </w:r>
      <w:r w:rsidR="00362BAB" w:rsidRPr="00725C2D">
        <w:instrText>Ziegenfuß, Pater</w:instrText>
      </w:r>
      <w:r w:rsidR="00362BAB">
        <w:instrText xml:space="preserve">" </w:instrText>
      </w:r>
      <w:r w:rsidR="00363C1C">
        <w:fldChar w:fldCharType="end"/>
      </w:r>
      <w:r>
        <w:t xml:space="preserve"> ganz vergnügt auf einem Bett. Er scheint mit den Soldaten sehr zu fraternisieren. Herr Rust bot mir an ihn zu rufen und mir vorzustellen, aber ich verzichtete wegen Müdigkeit auf die Bekanntschaft. (911f)</w:t>
      </w:r>
      <w:r>
        <w:rPr>
          <w:rStyle w:val="Funotenzeichen"/>
        </w:rPr>
        <w:footnoteReference w:id="169"/>
      </w:r>
    </w:p>
    <w:p w:rsidR="00CF6655" w:rsidRDefault="00CF6655" w:rsidP="00867359">
      <w:pPr>
        <w:pStyle w:val="Text"/>
        <w:ind w:firstLine="0"/>
      </w:pPr>
      <w:r>
        <w:t>Tatsächlich können ganze Stationen verloren gehen wie in Klein-Windhuk</w:t>
      </w:r>
      <w:r w:rsidR="00363C1C">
        <w:fldChar w:fldCharType="begin"/>
      </w:r>
      <w:r w:rsidR="00D20257">
        <w:instrText xml:space="preserve"> XE "</w:instrText>
      </w:r>
      <w:r w:rsidR="00C50434">
        <w:instrText>Klein-</w:instrText>
      </w:r>
      <w:r w:rsidR="00D20257" w:rsidRPr="001870D2">
        <w:instrText>Windhuk</w:instrText>
      </w:r>
      <w:r w:rsidR="00D20257">
        <w:instrText xml:space="preserve">" </w:instrText>
      </w:r>
      <w:r w:rsidR="00363C1C">
        <w:fldChar w:fldCharType="end"/>
      </w:r>
      <w:r>
        <w:t>, ve</w:t>
      </w:r>
      <w:r>
        <w:t>r</w:t>
      </w:r>
      <w:r>
        <w:t>mutlich wenn kein Personal da ist, um sie wiederzubesetzen:</w:t>
      </w:r>
    </w:p>
    <w:p w:rsidR="00CF6655" w:rsidRDefault="00CF6655" w:rsidP="00CF6655">
      <w:pPr>
        <w:pStyle w:val="Zitat"/>
      </w:pPr>
      <w:r>
        <w:t>Wir […] sahen auch mit Wehmut hinüber nach der früheren Rheinischen Mi</w:t>
      </w:r>
      <w:r>
        <w:t>s</w:t>
      </w:r>
      <w:r>
        <w:t>sionsstation, die jetzt die Römischen innehaben. (923)</w:t>
      </w:r>
    </w:p>
    <w:p w:rsidR="00CF6655" w:rsidRDefault="00CF6655" w:rsidP="00867359">
      <w:pPr>
        <w:pStyle w:val="Text"/>
        <w:ind w:firstLine="0"/>
      </w:pPr>
      <w:r>
        <w:t>An anderer Stelle wird er deutlich: „</w:t>
      </w:r>
      <w:r w:rsidR="009D3058">
        <w:t xml:space="preserve">[Militär-Oberarzt] </w:t>
      </w:r>
      <w:r>
        <w:t>Dr. Schroedter</w:t>
      </w:r>
      <w:r w:rsidR="00363C1C">
        <w:fldChar w:fldCharType="begin"/>
      </w:r>
      <w:r w:rsidR="009D3058">
        <w:instrText xml:space="preserve"> XE "</w:instrText>
      </w:r>
      <w:r w:rsidR="009D3058" w:rsidRPr="001B18D1">
        <w:instrText>Schroedter, Dr.</w:instrText>
      </w:r>
      <w:r w:rsidR="001B7121">
        <w:instrText xml:space="preserve"> (Militär-Oberarzt in Outjo)</w:instrText>
      </w:r>
      <w:r w:rsidR="009D3058">
        <w:instrText xml:space="preserve">" </w:instrText>
      </w:r>
      <w:r w:rsidR="00363C1C">
        <w:fldChar w:fldCharType="end"/>
      </w:r>
      <w:r>
        <w:t xml:space="preserve"> […] ist ein besonderer Gegner der Römischen […] und sprach sich sehr scharf gegen dieselben aus. Ich freue mich immer, wenn man Leute trifft, die die römische Art durchschauen“, und fügt mit leichtem Schaudern hinzu: „Übrigens gibt es de</w:t>
      </w:r>
      <w:r>
        <w:t>r</w:t>
      </w:r>
      <w:r>
        <w:t>selben mehr im Land, wie man denkt.“ (1000) Aber es gibt auch ernstzune</w:t>
      </w:r>
      <w:r>
        <w:t>h</w:t>
      </w:r>
      <w:r>
        <w:t>mende Vorwürfe, die von Spiecker berichtet werden:</w:t>
      </w:r>
    </w:p>
    <w:p w:rsidR="00CF6655" w:rsidRDefault="00CF6655" w:rsidP="00CF6655">
      <w:pPr>
        <w:pStyle w:val="Text"/>
      </w:pPr>
      <w:r>
        <w:lastRenderedPageBreak/>
        <w:t>„Die Tochter des hiesigen Hererolehrers war den römischen Missionaren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in die Hände gefallen. Die wollten sie noch einmal taufen und drohten mit Schlägen, wenn sie sich nicht wolle taufen lassen. Sie aber widerstand und sagte: Omuhonge Dannert</w:t>
      </w:r>
      <w:r w:rsidR="00363C1C">
        <w:fldChar w:fldCharType="begin"/>
      </w:r>
      <w:r w:rsidR="00FD439D">
        <w:instrText xml:space="preserve"> XE "</w:instrText>
      </w:r>
      <w:r w:rsidR="00FD439D" w:rsidRPr="002D35B6">
        <w:instrText>Dannert, Geschw.</w:instrText>
      </w:r>
      <w:r w:rsidR="00FD439D">
        <w:instrText xml:space="preserve">" </w:instrText>
      </w:r>
      <w:r w:rsidR="00363C1C">
        <w:fldChar w:fldCharType="end"/>
      </w:r>
      <w:r>
        <w:t xml:space="preserve"> hat mich getauft und ich lasse mich von euch nicht taufen, wenn ihr mich auch schlagt. Gott gebe, daß alle so fest stehen.“ (589) Dass sich das Mädchen eine solche Geschichte ausgedacht hat – etwa, um sich bei den Missionaren wichtig zu machen oder aus eigenem Ressentiment gegen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 erscheint unwahrscheinlich, kann aber nicht gänzlich ausgeschlo</w:t>
      </w:r>
      <w:r>
        <w:t>s</w:t>
      </w:r>
      <w:r>
        <w:t>sen werden.</w:t>
      </w:r>
    </w:p>
    <w:p w:rsidR="00CF6655" w:rsidRDefault="00CF6655" w:rsidP="00CF6655">
      <w:pPr>
        <w:pStyle w:val="Text"/>
      </w:pPr>
      <w:r>
        <w:t>Um möglichst viele Seelen vor dem Katholizismus zu bewahren, werden strategische Entscheidungen getroffen, wie hier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w:t>
      </w:r>
    </w:p>
    <w:p w:rsidR="00CF6655" w:rsidRDefault="00CF6655" w:rsidP="00CF6655">
      <w:pPr>
        <w:pStyle w:val="Zitat"/>
      </w:pPr>
      <w:r>
        <w:t>Schon beim Frühstück fragte 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was er mit den etwa 60 Waisenkindern hier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machen solle. Wenn er sie nach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sendet, werden sie zur Hälfte der katholischen Mission übergeben. Nach langer Besprechung kamen wir zu dem Beschluß, daß die Kinder hier bleiben und bei christlichen Familien untergebracht werden sollen. (917f)</w:t>
      </w:r>
    </w:p>
    <w:p w:rsidR="00CF6655" w:rsidRDefault="00CF6655" w:rsidP="00867359">
      <w:pPr>
        <w:pStyle w:val="Text"/>
        <w:ind w:firstLine="0"/>
      </w:pPr>
      <w:r>
        <w:t>Und im Gefangenenkraal</w:t>
      </w:r>
      <w:r w:rsidR="00363C1C">
        <w:fldChar w:fldCharType="begin"/>
      </w:r>
      <w:r w:rsidR="00B12E9F">
        <w:instrText xml:space="preserve"> XE "</w:instrText>
      </w:r>
      <w:r w:rsidR="00B12E9F" w:rsidRPr="00212946">
        <w:instrText>Kraal</w:instrText>
      </w:r>
      <w:r w:rsidR="00B12E9F">
        <w:instrText xml:space="preserve">" </w:instrText>
      </w:r>
      <w:r w:rsidR="00363C1C">
        <w:fldChar w:fldCharType="end"/>
      </w:r>
      <w:r>
        <w:t xml:space="preserve"> in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balgt man sich um jede Seele: „Das Treiben der Römischen im Kraal</w:t>
      </w:r>
      <w:r w:rsidR="00363C1C">
        <w:fldChar w:fldCharType="begin"/>
      </w:r>
      <w:r w:rsidR="00B5745B">
        <w:instrText xml:space="preserve"> XE "</w:instrText>
      </w:r>
      <w:r w:rsidR="00B5745B" w:rsidRPr="009D6C22">
        <w:instrText>Kraal</w:instrText>
      </w:r>
      <w:r w:rsidR="00B5745B">
        <w:instrText xml:space="preserve">" </w:instrText>
      </w:r>
      <w:r w:rsidR="00363C1C">
        <w:fldChar w:fldCharType="end"/>
      </w:r>
      <w:r>
        <w:t xml:space="preserve"> muß toll gewesen sein. Es soll vorgekommen sein, daß sie </w:t>
      </w:r>
      <w:proofErr w:type="gramStart"/>
      <w:r>
        <w:t>Abends</w:t>
      </w:r>
      <w:proofErr w:type="gramEnd"/>
      <w:r>
        <w:t xml:space="preserve"> den Kraal nicht schließen konnten, weil der Römling noch darin war. Einen unserer Taufbewerber hat er ohne weiteres im Krankheitsfall schnell getauft. Als Br. Vedder</w:t>
      </w:r>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r>
        <w:t xml:space="preserve"> kam, erklärte er ihm: "Der gehört uns!" […] Jetzt hat man aus "Parität" den Kraal für beide Konfessionen gesperrt.“ (1325f)</w:t>
      </w:r>
      <w:r>
        <w:rPr>
          <w:rStyle w:val="Funotenzeichen"/>
        </w:rPr>
        <w:footnoteReference w:id="170"/>
      </w:r>
    </w:p>
    <w:p w:rsidR="00CF6655" w:rsidRDefault="00CF6655" w:rsidP="00CF6655">
      <w:pPr>
        <w:pStyle w:val="Text"/>
      </w:pPr>
      <w:r>
        <w:t>Und doch weiß man manchmal nicht genau, ob Spiecker in seinem Mis</w:t>
      </w:r>
      <w:r>
        <w:t>s</w:t>
      </w:r>
      <w:r>
        <w:t>trauen gegen die „Römischen“ nicht zu weit geht. So erhält er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vom Distriktschef Leutnant Hellmich</w:t>
      </w:r>
      <w:r w:rsidR="00363C1C">
        <w:fldChar w:fldCharType="begin"/>
      </w:r>
      <w:r w:rsidR="00997EE2">
        <w:instrText xml:space="preserve"> XE "</w:instrText>
      </w:r>
      <w:r w:rsidR="00997EE2" w:rsidRPr="00B8611A">
        <w:instrText>Hellmich, Leutnant</w:instrText>
      </w:r>
      <w:r w:rsidR="00997EE2">
        <w:instrText xml:space="preserve">" </w:instrText>
      </w:r>
      <w:r w:rsidR="00363C1C">
        <w:fldChar w:fldCharType="end"/>
      </w:r>
      <w:r>
        <w:t xml:space="preserve"> nur einen sehr schlechten, ungefederten Frachtwagen für den Abstecher nach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Nach der Rückkehr hat sich die Lage geändert:</w:t>
      </w:r>
    </w:p>
    <w:p w:rsidR="00CF6655" w:rsidRDefault="00CF6655" w:rsidP="00CF6655">
      <w:pPr>
        <w:pStyle w:val="Zitat"/>
      </w:pPr>
      <w:r>
        <w:t>Er [Hellmich</w:t>
      </w:r>
      <w:r w:rsidR="00363C1C">
        <w:fldChar w:fldCharType="begin"/>
      </w:r>
      <w:r w:rsidR="00997EE2">
        <w:instrText xml:space="preserve"> XE "</w:instrText>
      </w:r>
      <w:r w:rsidR="00997EE2" w:rsidRPr="00B8611A">
        <w:instrText>Hellmich, Leutnant</w:instrText>
      </w:r>
      <w:r w:rsidR="00997EE2">
        <w:instrText xml:space="preserve">" </w:instrText>
      </w:r>
      <w:r w:rsidR="00363C1C">
        <w:fldChar w:fldCharType="end"/>
      </w:r>
      <w:r>
        <w:t>] entschuldigte sich sehr, daß er ein so schlechtes Gefährt uns g</w:t>
      </w:r>
      <w:r>
        <w:t>e</w:t>
      </w:r>
      <w:r>
        <w:t xml:space="preserve">geben habe, ein besseres sei nicht zur Verfügung gewesen. </w:t>
      </w:r>
      <w:proofErr w:type="gramStart"/>
      <w:r>
        <w:t>Den</w:t>
      </w:r>
      <w:proofErr w:type="gramEnd"/>
      <w:r>
        <w:t xml:space="preserve"> Befehl vom Gouvernement</w:t>
      </w:r>
      <w:r w:rsidR="00363C1C">
        <w:fldChar w:fldCharType="begin"/>
      </w:r>
      <w:r w:rsidR="00C221A5">
        <w:instrText xml:space="preserve"> XE "</w:instrText>
      </w:r>
      <w:r w:rsidR="00C221A5" w:rsidRPr="00592176">
        <w:instrText>Gouvernement</w:instrText>
      </w:r>
      <w:r w:rsidR="00C221A5">
        <w:instrText xml:space="preserve">" </w:instrText>
      </w:r>
      <w:r w:rsidR="00363C1C">
        <w:fldChar w:fldCharType="end"/>
      </w:r>
      <w:r>
        <w:t xml:space="preserve"> ein Fahrzeug zu stellen, hatte er erst Freitag nach unserer A</w:t>
      </w:r>
      <w:r>
        <w:t>b</w:t>
      </w:r>
      <w:r>
        <w:t>fahrt nach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erhalten. Major Maerker</w:t>
      </w:r>
      <w:r w:rsidR="00363C1C">
        <w:fldChar w:fldCharType="begin"/>
      </w:r>
      <w:r w:rsidR="00E2128C">
        <w:instrText xml:space="preserve"> XE "</w:instrText>
      </w:r>
      <w:r w:rsidR="00E2128C" w:rsidRPr="00F56E20">
        <w:instrText>Märker, Major (Windhuk)</w:instrText>
      </w:r>
      <w:r w:rsidR="00E2128C">
        <w:instrText xml:space="preserve">" </w:instrText>
      </w:r>
      <w:r w:rsidR="00363C1C">
        <w:fldChar w:fldCharType="end"/>
      </w:r>
      <w:r>
        <w:t xml:space="preserve"> (katholisch) hatte geschrieben, statt nach der Anordnung des Gouverneurs zu telegraphieren. (943)</w:t>
      </w:r>
    </w:p>
    <w:p w:rsidR="00CF6655" w:rsidRDefault="00CF6655" w:rsidP="00867359">
      <w:pPr>
        <w:pStyle w:val="Text"/>
        <w:ind w:firstLine="0"/>
      </w:pPr>
      <w:r>
        <w:t>Nach der Rückkehr aus dem Amboland ist die Sammelstelle</w:t>
      </w:r>
      <w:r w:rsidR="00363C1C">
        <w:fldChar w:fldCharType="begin"/>
      </w:r>
      <w:r w:rsidR="00E01EA7">
        <w:instrText xml:space="preserve"> XE "</w:instrText>
      </w:r>
      <w:r w:rsidR="00E01EA7" w:rsidRPr="00152922">
        <w:instrText>Sammelstelle</w:instrText>
      </w:r>
      <w:r w:rsidR="00E01EA7">
        <w:instrText xml:space="preserve">" </w:instrText>
      </w:r>
      <w:r w:rsidR="00363C1C">
        <w:fldChar w:fldCharType="end"/>
      </w:r>
      <w:r>
        <w:t xml:space="preserve">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aufg</w:t>
      </w:r>
      <w:r>
        <w:t>e</w:t>
      </w:r>
      <w:r>
        <w:t>löst:</w:t>
      </w:r>
    </w:p>
    <w:p w:rsidR="00CF6655" w:rsidRDefault="00CF6655" w:rsidP="00CF6655">
      <w:pPr>
        <w:pStyle w:val="Zitat"/>
      </w:pPr>
      <w:r>
        <w:t>Der hiesige katholische Distriktchef Leutnant Hellmich</w:t>
      </w:r>
      <w:r w:rsidR="00363C1C">
        <w:fldChar w:fldCharType="begin"/>
      </w:r>
      <w:r w:rsidR="00997EE2">
        <w:instrText xml:space="preserve"> XE "</w:instrText>
      </w:r>
      <w:r w:rsidR="00997EE2" w:rsidRPr="00B8611A">
        <w:instrText>Hellmich, Leutnant</w:instrText>
      </w:r>
      <w:r w:rsidR="00997EE2">
        <w:instrText xml:space="preserve">" </w:instrText>
      </w:r>
      <w:r w:rsidR="00363C1C">
        <w:fldChar w:fldCharType="end"/>
      </w:r>
      <w:r>
        <w:t xml:space="preserve"> hat einen Auftrag des kathol. Major Maerker</w:t>
      </w:r>
      <w:r w:rsidR="00363C1C">
        <w:fldChar w:fldCharType="begin"/>
      </w:r>
      <w:r w:rsidR="00E2128C">
        <w:instrText xml:space="preserve"> XE "</w:instrText>
      </w:r>
      <w:r w:rsidR="00E2128C" w:rsidRPr="00F56E20">
        <w:instrText>Märker, Major (Windhuk)</w:instrText>
      </w:r>
      <w:r w:rsidR="00E2128C">
        <w:instrText xml:space="preserve">" </w:instrText>
      </w:r>
      <w:r w:rsidR="00363C1C">
        <w:fldChar w:fldCharType="end"/>
      </w:r>
      <w:r>
        <w:t xml:space="preserve">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w:t>
      </w:r>
      <w:r w:rsidR="00DE7BB2">
        <w:t>„</w:t>
      </w:r>
      <w:r>
        <w:t>mißverstanden</w:t>
      </w:r>
      <w:r w:rsidR="00DE7BB2">
        <w:t>“</w:t>
      </w:r>
      <w:r>
        <w:t xml:space="preserve"> und plötzlich die Samme</w:t>
      </w:r>
      <w:r>
        <w:t>l</w:t>
      </w:r>
      <w:r>
        <w:lastRenderedPageBreak/>
        <w:t>stelle</w:t>
      </w:r>
      <w:r w:rsidR="00363C1C">
        <w:fldChar w:fldCharType="begin"/>
      </w:r>
      <w:r w:rsidR="00E01EA7">
        <w:instrText xml:space="preserve"> XE "</w:instrText>
      </w:r>
      <w:r w:rsidR="00E01EA7" w:rsidRPr="00152922">
        <w:instrText>Sammelstelle</w:instrText>
      </w:r>
      <w:r w:rsidR="00E01EA7">
        <w:instrText xml:space="preserve">" </w:instrText>
      </w:r>
      <w:r w:rsidR="00363C1C">
        <w:fldChar w:fldCharType="end"/>
      </w:r>
      <w:r>
        <w:t xml:space="preserve">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gewaltsam aufgehoben. Major Maerker</w:t>
      </w:r>
      <w:r w:rsidR="00363C1C">
        <w:fldChar w:fldCharType="begin"/>
      </w:r>
      <w:r w:rsidR="00E2128C">
        <w:instrText xml:space="preserve"> XE "</w:instrText>
      </w:r>
      <w:r w:rsidR="00E2128C" w:rsidRPr="00F56E20">
        <w:instrText>Märker, Major (Windhuk)</w:instrText>
      </w:r>
      <w:r w:rsidR="00E2128C">
        <w:instrText xml:space="preserve">" </w:instrText>
      </w:r>
      <w:r w:rsidR="00363C1C">
        <w:fldChar w:fldCharType="end"/>
      </w:r>
      <w:r>
        <w:rPr>
          <w:rStyle w:val="Funotenzeichen"/>
        </w:rPr>
        <w:footnoteReference w:id="171"/>
      </w:r>
      <w:r>
        <w:t xml:space="preserve"> hat sich nachher entschuldigt, aber die Sache war fertig. Es kann ja ein Versehen sein, doch ist es nicht wahrscheinlich. Von den Römischen stehen uns noch manche Überr</w:t>
      </w:r>
      <w:r>
        <w:t>a</w:t>
      </w:r>
      <w:r>
        <w:t>schungen bevor. (1265)</w:t>
      </w:r>
    </w:p>
    <w:p w:rsidR="00CF6655" w:rsidRDefault="00CF6655" w:rsidP="00867359">
      <w:pPr>
        <w:pStyle w:val="Text"/>
        <w:ind w:firstLine="0"/>
      </w:pPr>
      <w:r>
        <w:t>Nun ist uns Märker</w:t>
      </w:r>
      <w:r w:rsidR="00363C1C">
        <w:fldChar w:fldCharType="begin"/>
      </w:r>
      <w:r w:rsidR="00E2128C">
        <w:instrText xml:space="preserve"> XE "</w:instrText>
      </w:r>
      <w:r w:rsidR="00E2128C" w:rsidRPr="007605EC">
        <w:instrText>Märker, Major (Windhuk)</w:instrText>
      </w:r>
      <w:r w:rsidR="00E2128C">
        <w:instrText xml:space="preserve">" </w:instrText>
      </w:r>
      <w:r w:rsidR="00363C1C">
        <w:fldChar w:fldCharType="end"/>
      </w:r>
      <w:r>
        <w:t xml:space="preserve"> schon öfter als archetypischer Kolonialmilitär begegnet, der in Fragen des Vorgehens gegen die Eingeborenen (804f) und der Behandlung der Gefangenen (820, 821) wenig Verständnis für Spieckers Positionen hat. Aber die Konfession dürfte bei diesem harten Mann wohl kaum eine Rolle spielen,</w:t>
      </w:r>
      <w:r>
        <w:rPr>
          <w:rStyle w:val="Funotenzeichen"/>
        </w:rPr>
        <w:footnoteReference w:id="172"/>
      </w:r>
      <w:r>
        <w:t xml:space="preserve"> ei</w:t>
      </w:r>
      <w:r>
        <w:t>n</w:t>
      </w:r>
      <w:r>
        <w:t>mal abgesehen davon, dass Spiecker ihn in Angelegenheiten, die die Mission b</w:t>
      </w:r>
      <w:r>
        <w:t>e</w:t>
      </w:r>
      <w:r>
        <w:t>treffen, zuvor als entgegenkommend empfunden hat (805f, 821).</w:t>
      </w:r>
    </w:p>
    <w:p w:rsidR="00CF6655" w:rsidRDefault="00CF6655" w:rsidP="00CF6655">
      <w:pPr>
        <w:pStyle w:val="Text"/>
      </w:pPr>
      <w:r>
        <w:t>Insgesamt bleibt festzuhalten, dass die Katholiken</w:t>
      </w:r>
      <w:r w:rsidR="00363C1C">
        <w:fldChar w:fldCharType="begin"/>
      </w:r>
      <w:r w:rsidR="00CA3EE6">
        <w:instrText xml:space="preserve"> XE "</w:instrText>
      </w:r>
      <w:r w:rsidR="00CA3EE6" w:rsidRPr="00530F3A">
        <w:instrText>Katholiken</w:instrText>
      </w:r>
      <w:r w:rsidR="00CA3EE6">
        <w:instrText xml:space="preserve">" </w:instrText>
      </w:r>
      <w:r w:rsidR="00363C1C">
        <w:fldChar w:fldCharType="end"/>
      </w:r>
      <w:r>
        <w:t xml:space="preserve"> hier noch mehr als in Deutschland als Gegner betrachtet werden. Das dürfte sich vor allem aus der Konkurrenzsituation ergeben: Für zwei erfolgreich geführte Missionsstationen ist an vielen Stellen kein Platz, da die Gemeinden durch den Krieg oft stark d</w:t>
      </w:r>
      <w:r>
        <w:t>e</w:t>
      </w:r>
      <w:r>
        <w:t>zimiert sind. Hinzu kommen die Differenzen über die Behandlung der Eingeb</w:t>
      </w:r>
      <w:r>
        <w:t>o</w:t>
      </w:r>
      <w:r>
        <w:t>renen: Spiecker empfindet die Haltung der Katholiken als zu streng. Nach seiner Darstellung kooperieren sie mit der Regierung bei deren Bemühung, den Wide</w:t>
      </w:r>
      <w:r>
        <w:t>r</w:t>
      </w:r>
      <w:r>
        <w:t>stand der Bevölkerung zu brechen und im europäischen Sinne umzuerziehen.</w:t>
      </w:r>
      <w:r>
        <w:rPr>
          <w:rStyle w:val="Funotenzeichen"/>
        </w:rPr>
        <w:footnoteReference w:id="173"/>
      </w:r>
      <w:r>
        <w:t xml:space="preserve"> </w:t>
      </w:r>
      <w:r>
        <w:lastRenderedPageBreak/>
        <w:t>All das macht eine sinnvolle Abstimmung, die doch bei Aufgaben wie Schulbau, Krankenbetreuung oder Betreuung der vielen Kriegswaisen so nötig wäre, u</w:t>
      </w:r>
      <w:r>
        <w:t>n</w:t>
      </w:r>
      <w:r>
        <w:t>möglich. Daran ändert auch die Tatsache nichts, dass die Rheinische Mission es alleine gar nicht schafft, wie bei einer Besprechung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deutlich wird:</w:t>
      </w:r>
    </w:p>
    <w:p w:rsidR="00CF6655" w:rsidRDefault="00CF6655" w:rsidP="00CF6655">
      <w:pPr>
        <w:pStyle w:val="Zitat"/>
      </w:pPr>
      <w:r>
        <w:t>Nachher berieten wir über die Stationierung der Brüder resp. die Besetzung der verschiedenen Plätze. Es ging uns da wie dem Schneider, dem das nötigste Zeug zum Rock fehlt: wir mochten die Sache drehen und wenden, wie wir wollten, wir kamen nicht aus. (943)</w:t>
      </w:r>
    </w:p>
    <w:p w:rsidR="00CF6655" w:rsidRDefault="00CF6655" w:rsidP="007308C9">
      <w:pPr>
        <w:pStyle w:val="Titel4"/>
      </w:pPr>
      <w:bookmarkStart w:id="274" w:name="_Toc130260730"/>
      <w:bookmarkStart w:id="275" w:name="_Toc327388030"/>
      <w:r>
        <w:t>Juden</w:t>
      </w:r>
      <w:bookmarkEnd w:id="274"/>
      <w:bookmarkEnd w:id="275"/>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p>
    <w:p w:rsidR="00CF6655" w:rsidRDefault="00CF6655" w:rsidP="00FF2E2D">
      <w:pPr>
        <w:pStyle w:val="Text"/>
        <w:ind w:firstLine="0"/>
      </w:pPr>
      <w:r>
        <w:t>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erscheinen in drei Funktionen in Spieckers Tagebuch: als Bankiers, als Händler und als Advokaten (Anwälte). Bei Nichtjuden betrachtet man diese B</w:t>
      </w:r>
      <w:r>
        <w:t>e</w:t>
      </w:r>
      <w:r>
        <w:t>rufe als ehrenhaft und verbindet gesellschaftliches Ansehen mit ihnen; bei Juden unterstellt man dagegen immer dasselbe niedrige Motiv: Bereicherung, verbu</w:t>
      </w:r>
      <w:r>
        <w:t>n</w:t>
      </w:r>
      <w:r>
        <w:t>den mit Gewissenlosigkeit.</w:t>
      </w:r>
    </w:p>
    <w:p w:rsidR="00CF6655" w:rsidRDefault="00CF6655" w:rsidP="007308C9">
      <w:pPr>
        <w:pStyle w:val="Titel5"/>
      </w:pPr>
      <w:bookmarkStart w:id="276" w:name="_Toc130260731"/>
      <w:bookmarkStart w:id="277" w:name="_Toc327388031"/>
      <w:r>
        <w:t>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als Bankiers</w:t>
      </w:r>
      <w:bookmarkEnd w:id="276"/>
      <w:bookmarkEnd w:id="277"/>
    </w:p>
    <w:p w:rsidR="00CF6655" w:rsidRDefault="00CF6655" w:rsidP="00CF6655">
      <w:pPr>
        <w:pStyle w:val="Zitat"/>
      </w:pPr>
      <w:r>
        <w:t>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der militairische Begleiter von Gouverneur von 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sagte heute zu mir: Versuchen Sie diese Geldjuden von Johanne</w:t>
      </w:r>
      <w:r>
        <w:t>s</w:t>
      </w:r>
      <w:r>
        <w:t>burg zu bekehren, das ist besser als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Hottentotten</w:t>
      </w:r>
      <w:r w:rsidR="00363C1C">
        <w:fldChar w:fldCharType="begin"/>
      </w:r>
      <w:r w:rsidR="00DA4F5B">
        <w:instrText xml:space="preserve"> XE "</w:instrText>
      </w:r>
      <w:r w:rsidR="00DA4F5B" w:rsidRPr="002B55F1">
        <w:instrText>Hottentotten</w:instrText>
      </w:r>
      <w:r w:rsidR="00DA4F5B">
        <w:instrText xml:space="preserve">" </w:instrText>
      </w:r>
      <w:r w:rsidR="00363C1C">
        <w:fldChar w:fldCharType="end"/>
      </w:r>
      <w:r>
        <w:t xml:space="preserve"> bekehren zu wollen. (31)</w:t>
      </w:r>
    </w:p>
    <w:p w:rsidR="00CF6655" w:rsidRDefault="00CF6655" w:rsidP="007308C9">
      <w:pPr>
        <w:pStyle w:val="Text"/>
        <w:ind w:firstLine="0"/>
      </w:pPr>
      <w:r>
        <w:t>Das Zitat gibt einen Hinweis auf die Sichtweise auf die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der den Eingeborenen einen ‚kulturellen Aufstieg‘ auf die Höhe der Weißen nicht zutraut (38), verachtet auch die Juden; doch diesen kann er Kulturlosigkeit nicht vorwerfen, also muss die Religion herhalten. Doch auch die ‚Christlichkeit‘ ist kein Bewertungsmaßstab, an den er sich konsequent hält, bei Eingeborenen spielt sie für ihn kaum eine Rolle. ‚Heidentum‘ bzw. ‚kulturelle Unterlegenheit‘ sind austauschbare Vorwürfe, die ganz nach Bedarf flexibel gehandhabt werden, um Verachtung gegenüber bestimmten Gruppen von Menschen auszusprechen.</w:t>
      </w:r>
    </w:p>
    <w:p w:rsidR="00CF6655" w:rsidRDefault="00CF6655" w:rsidP="007308C9">
      <w:pPr>
        <w:pStyle w:val="Titel5"/>
      </w:pPr>
      <w:bookmarkStart w:id="278" w:name="_Toc130260732"/>
      <w:bookmarkStart w:id="279" w:name="_Toc327388032"/>
      <w:r>
        <w:t>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als Händler</w:t>
      </w:r>
      <w:bookmarkEnd w:id="278"/>
      <w:bookmarkEnd w:id="279"/>
    </w:p>
    <w:p w:rsidR="00CF6655" w:rsidRDefault="00CF6655" w:rsidP="00CF6655">
      <w:pPr>
        <w:pStyle w:val="Zitat"/>
      </w:pPr>
      <w:r>
        <w:t>Sehr ärgerlich ist es ja, daß die Aufständischen immer wieder durch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und Judengenossen jenseits der Grenze Munition erhalten, aber die englische R</w:t>
      </w:r>
      <w:r>
        <w:t>e</w:t>
      </w:r>
      <w:r>
        <w:t>gierung steht diesem Treiben machtlos gegenüber […]. (1663)</w:t>
      </w:r>
    </w:p>
    <w:p w:rsidR="00CF6655" w:rsidRDefault="00CF6655" w:rsidP="004732ED">
      <w:pPr>
        <w:pStyle w:val="Text"/>
        <w:ind w:firstLine="0"/>
      </w:pPr>
      <w:r>
        <w:t>Diese Aussage, die jüdischen Händlern eine Mitschuld an den Schwierigkeiten der Deutschen bei der Niederschlagung der Aufstände gibt, wird nicht als b</w:t>
      </w:r>
      <w:r>
        <w:t>e</w:t>
      </w:r>
      <w:r>
        <w:t>sondere Erkenntnis, sondern als Tatsache angeführt. Da Spiecker sich zwar hä</w:t>
      </w:r>
      <w:r>
        <w:t>u</w:t>
      </w:r>
      <w:r>
        <w:t>fig seine eigene Meinung bildet, diese aber in der Regel als abweichend vom Konsens markiert, dürfte er hier in Übereinstimmung mit der Mehrheitsme</w:t>
      </w:r>
      <w:r>
        <w:t>i</w:t>
      </w:r>
      <w:r>
        <w:lastRenderedPageBreak/>
        <w:t>nung unter den Siedlern und vor allem wohl den Offizieren in Deutsch-Südwestafrika sprechen. Interessant ist auch, dass man offenbar durchaus wus</w:t>
      </w:r>
      <w:r>
        <w:t>s</w:t>
      </w:r>
      <w:r>
        <w:t>te, dass nicht nur die jüdischen Händler sich an dem lukrativen Waffengeschäft beteiligten; durch die Einführung der Kategorie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und Judengenossen“ werden jedoch die Juden, übereinstimmend mit dem eigenen Weltbild, als die e</w:t>
      </w:r>
      <w:r>
        <w:t>i</w:t>
      </w:r>
      <w:r>
        <w:t>gentlichen Anstifter markiert. So wird dem möglichen Widerspruch ‚Deutsche sind doch auch beteiligt</w:t>
      </w:r>
      <w:proofErr w:type="gramStart"/>
      <w:r>
        <w:t>!‘</w:t>
      </w:r>
      <w:proofErr w:type="gramEnd"/>
      <w:r>
        <w:t xml:space="preserve"> von vornherein begegnet, indem man die Deutschen, die so etwas tun, so weit wie möglich in die Kategorie „Juden“ verschiebt, wo sie hingehören. Da sie aber keine Juden sind, prägt man für sie den Begriff „Jude</w:t>
      </w:r>
      <w:r>
        <w:t>n</w:t>
      </w:r>
      <w:r>
        <w:t>genossen“.</w:t>
      </w:r>
    </w:p>
    <w:p w:rsidR="00CF6655" w:rsidRDefault="00CF6655" w:rsidP="00CF6655">
      <w:pPr>
        <w:pStyle w:val="Zitat"/>
      </w:pPr>
      <w:r>
        <w:t>Die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durchziehen vielfach mit Schundwaren das Land und betrügen die Leute, die (Farbige und Boeren) vielfach am liebsten mit den Juden Geschäfte machen und sich betrügen lassen. Dadurch wird der ehrliche Handel sehr e</w:t>
      </w:r>
      <w:r>
        <w:t>r</w:t>
      </w:r>
      <w:r>
        <w:t>schwert. Um Geschäfte zu machen, muss Herr Meyer</w:t>
      </w:r>
      <w:r w:rsidR="00363C1C">
        <w:fldChar w:fldCharType="begin"/>
      </w:r>
      <w:r w:rsidR="009A280B">
        <w:instrText xml:space="preserve"> XE "</w:instrText>
      </w:r>
      <w:r w:rsidR="009A280B" w:rsidRPr="00D438D6">
        <w:instrText>Meyer</w:instrText>
      </w:r>
      <w:r w:rsidR="009A280B">
        <w:instrText xml:space="preserve"> (Kaufmann)" </w:instrText>
      </w:r>
      <w:r w:rsidR="00363C1C">
        <w:fldChar w:fldCharType="end"/>
      </w:r>
      <w:r>
        <w:t xml:space="preserve"> viel Kredit geben und hat oft große Not […]. (332f)</w:t>
      </w:r>
    </w:p>
    <w:p w:rsidR="00CF6655" w:rsidRDefault="00CF6655" w:rsidP="004732ED">
      <w:pPr>
        <w:pStyle w:val="Text"/>
        <w:ind w:firstLine="0"/>
      </w:pPr>
      <w:r>
        <w:t>Meyer</w:t>
      </w:r>
      <w:r w:rsidR="00363C1C">
        <w:fldChar w:fldCharType="begin"/>
      </w:r>
      <w:r w:rsidR="00D20257">
        <w:instrText xml:space="preserve"> XE "</w:instrText>
      </w:r>
      <w:r w:rsidR="00D20257" w:rsidRPr="00D438D6">
        <w:instrText>Meyer</w:instrText>
      </w:r>
      <w:r w:rsidR="009A280B">
        <w:instrText xml:space="preserve"> (Kaufmann)</w:instrText>
      </w:r>
      <w:r w:rsidR="00D20257">
        <w:instrText xml:space="preserve">" </w:instrText>
      </w:r>
      <w:r w:rsidR="00363C1C">
        <w:fldChar w:fldCharType="end"/>
      </w:r>
      <w:r>
        <w:t xml:space="preserve"> ist ein deutscher Kaufmann (331), den Spiecker aus Deutschland kennt (333). Beunruhigend an dem Zitat ist, dass Spiecker die Auskünfte des unter der jüdischen Konkurrenz leidenden Händlers wörtlich als Realität wiedergibt. Dass die Konkurrenz die schlechtere Ware verkauft, gehört für den Kaufmann Meyer</w:t>
      </w:r>
      <w:r w:rsidR="00363C1C">
        <w:fldChar w:fldCharType="begin"/>
      </w:r>
      <w:r w:rsidR="00D20257">
        <w:instrText xml:space="preserve"> XE "</w:instrText>
      </w:r>
      <w:r w:rsidR="009A280B">
        <w:instrText>Meyer (Kaufmann)</w:instrText>
      </w:r>
      <w:r w:rsidR="00D20257">
        <w:instrText xml:space="preserve">" </w:instrText>
      </w:r>
      <w:r w:rsidR="00363C1C">
        <w:fldChar w:fldCharType="end"/>
      </w:r>
      <w:r>
        <w:t xml:space="preserve"> vermutlich zu seinem Selbstverständnis; sein Gesprächspartner aber müsste sich fragen, wieso dann „Farbige und Boeren […] vielfach am liebsten mit den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Geschäfte machen“. Gewöhnlich bewertet Spiecker die Aussagen aller seiner G</w:t>
      </w:r>
      <w:r>
        <w:t>e</w:t>
      </w:r>
      <w:r>
        <w:t>sprächspartner, selbst altgedienter Missionare, durchaus als subjektiv und e</w:t>
      </w:r>
      <w:r>
        <w:t>r</w:t>
      </w:r>
      <w:r>
        <w:t>kennt die Notwendigkeit, beide Seiten anzuhören. Hier dürfte ihn die religiöse Gegnerschaft zu den Juden, die er als Christ empfindet, an einer kritischen B</w:t>
      </w:r>
      <w:r>
        <w:t>e</w:t>
      </w:r>
      <w:r>
        <w:t>trachtung der Aussagen Meyers hindern, obwohl diese nicht die jüdische Relig</w:t>
      </w:r>
      <w:r>
        <w:t>i</w:t>
      </w:r>
      <w:r>
        <w:t>on betreffen. Sein Vorurteil ist so stark, dass Behauptungen, die ins Bild passen, nicht überprüft werden.</w:t>
      </w:r>
    </w:p>
    <w:p w:rsidR="00CF6655" w:rsidRDefault="00CF6655" w:rsidP="00CF6655">
      <w:pPr>
        <w:pStyle w:val="Text"/>
      </w:pPr>
      <w:r>
        <w:t>In einer Gemeinderatssitzung in 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r>
        <w:t xml:space="preserve"> wird Spiecker energisch:</w:t>
      </w:r>
    </w:p>
    <w:p w:rsidR="00CF6655" w:rsidRDefault="00CF6655" w:rsidP="00CF6655">
      <w:pPr>
        <w:pStyle w:val="Zitat"/>
      </w:pPr>
      <w:r>
        <w:t>Dann wandte ich mich speziell an Moses Engelbrecht</w:t>
      </w:r>
      <w:r w:rsidR="00363C1C">
        <w:fldChar w:fldCharType="begin"/>
      </w:r>
      <w:r w:rsidR="007F38E9">
        <w:instrText xml:space="preserve"> XE "</w:instrText>
      </w:r>
      <w:r w:rsidR="007F38E9" w:rsidRPr="00861D70">
        <w:instrText>Engelbrecht, Moses</w:instrText>
      </w:r>
      <w:r w:rsidR="007F38E9">
        <w:instrText xml:space="preserve">" </w:instrText>
      </w:r>
      <w:r w:rsidR="00363C1C">
        <w:fldChar w:fldCharType="end"/>
      </w:r>
      <w:r>
        <w:t xml:space="preserve"> und Petrus Clöte</w:t>
      </w:r>
      <w:r w:rsidR="00363C1C">
        <w:fldChar w:fldCharType="begin"/>
      </w:r>
      <w:r w:rsidR="007F38E9">
        <w:instrText xml:space="preserve"> XE "</w:instrText>
      </w:r>
      <w:r w:rsidR="007F38E9" w:rsidRPr="00D2419B">
        <w:instrText>Clöte, Petrus</w:instrText>
      </w:r>
      <w:r w:rsidR="007F38E9">
        <w:instrText xml:space="preserve">" </w:instrText>
      </w:r>
      <w:r w:rsidR="00363C1C">
        <w:fldChar w:fldCharType="end"/>
      </w:r>
      <w:r>
        <w:t>, die entgegen den Beschlüssen des Gemeinderats und den Wünschen Meisenholls</w:t>
      </w:r>
      <w:r w:rsidR="00363C1C">
        <w:fldChar w:fldCharType="begin"/>
      </w:r>
      <w:r w:rsidR="007F38E9">
        <w:instrText xml:space="preserve"> XE "</w:instrText>
      </w:r>
      <w:r w:rsidR="007F38E9" w:rsidRPr="00B33E7B">
        <w:instrText>Meisenholl</w:instrText>
      </w:r>
      <w:r w:rsidR="007F38E9">
        <w:instrText xml:space="preserve">, Br." </w:instrText>
      </w:r>
      <w:r w:rsidR="00363C1C">
        <w:fldChar w:fldCharType="end"/>
      </w:r>
      <w:r>
        <w:t xml:space="preserv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d.i. jüdischen Händlern ihre Häuser vermietet hatten, die nun viel U</w:t>
      </w:r>
      <w:r>
        <w:t>n</w:t>
      </w:r>
      <w:r>
        <w:t>heil in der Gemeinde anrichten, vor allem durch Verkauf von Branntwein und andere jüdische Treibereien. Moses Engelbrecht gab nach und versprach sich zu bessern, dagegen Petrus Clöte meinte, er dürfe doch Juden – die doch auch Menschen seien – sein Haus vermieten. Wenn die Handel trieben, gehe ihn das nichts an. Sehr ernst und scharf redete ich mit ihm […]. (1859)</w:t>
      </w:r>
    </w:p>
    <w:p w:rsidR="00CF6655" w:rsidRDefault="00CF6655" w:rsidP="004732ED">
      <w:pPr>
        <w:pStyle w:val="Text"/>
        <w:ind w:firstLine="0"/>
      </w:pPr>
      <w:r>
        <w:t>Auch hier fällt wieder der Sprachgebrauch auf. In Südwestafrika ist das Problem des Alkoholverkaufs allgegenwärtig, aber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werden von Spiecker nur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erwähnt, was auf geringere Judenfeindlichkeit unter der englischen Regierung zurückzuführen sein dürfte. Obwohl also die Händler in Südwestafr</w:t>
      </w:r>
      <w:r>
        <w:t>i</w:t>
      </w:r>
      <w:r>
        <w:t xml:space="preserve">ka weitgehend nichtjüdisch sein dürften, handelt es sich dabei um eine „jüdische </w:t>
      </w:r>
      <w:r>
        <w:lastRenderedPageBreak/>
        <w:t xml:space="preserve">Treiberei“; wer </w:t>
      </w:r>
      <w:r w:rsidR="000D249E">
        <w:t xml:space="preserve">also </w:t>
      </w:r>
      <w:r>
        <w:t>als Deutscher Alkohol an die Eingeborenen verkauft und sich damit bereichert, handelt wie ein Jude.</w:t>
      </w:r>
    </w:p>
    <w:p w:rsidR="00CF6655" w:rsidRDefault="00CF6655" w:rsidP="004732ED">
      <w:pPr>
        <w:pStyle w:val="Titel5"/>
      </w:pPr>
      <w:bookmarkStart w:id="280" w:name="_Toc130260733"/>
      <w:bookmarkStart w:id="281" w:name="_Toc327388033"/>
      <w:r>
        <w:t>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als Anwälte</w:t>
      </w:r>
      <w:bookmarkEnd w:id="280"/>
      <w:bookmarkEnd w:id="281"/>
    </w:p>
    <w:p w:rsidR="00CF6655" w:rsidRDefault="00CF6655" w:rsidP="00CF6655">
      <w:pPr>
        <w:pStyle w:val="Zitat"/>
      </w:pPr>
      <w:r>
        <w:t>Die Leute [von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sind durch Verführer aus ihrer eigenen Mitte, durch J</w:t>
      </w:r>
      <w:r>
        <w:t>u</w:t>
      </w:r>
      <w:r>
        <w:t>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und Advokaten irregeleitet, und es wird auf jeden Fall viel Geduld und Weisheit erfordern, um ihr Vertrauen wieder zu gewinnen. (257)</w:t>
      </w:r>
    </w:p>
    <w:p w:rsidR="00CF6655" w:rsidRDefault="00CF6655" w:rsidP="004732ED">
      <w:pPr>
        <w:pStyle w:val="Text"/>
        <w:ind w:firstLine="0"/>
      </w:pPr>
      <w:r>
        <w:t>Im Saroner Prozess spricht er anlässlich des Kreuzverhörs von den „beleidige</w:t>
      </w:r>
      <w:r>
        <w:t>n</w:t>
      </w:r>
      <w:r>
        <w:t>den Anzapfungen“ der „jüdischen Advokaten“ (169), die die Eingeborenen g</w:t>
      </w:r>
      <w:r>
        <w:t>e</w:t>
      </w:r>
      <w:r>
        <w:t>gen die Mission vertreten; der Kommentar zeigt, dass man nicht immer zwischen der klaren Rollenverteilung vor Gericht und persönlichen Angriffen zu unte</w:t>
      </w:r>
      <w:r>
        <w:t>r</w:t>
      </w:r>
      <w:r>
        <w:t>scheiden wusste. In diesem Prozess geht es um Eigentumsrechte der Gemeind</w:t>
      </w:r>
      <w:r>
        <w:t>e</w:t>
      </w:r>
      <w:r>
        <w:t xml:space="preserve">glieder an dem von ihnen bewohnten Land (s. Abschnitt </w:t>
      </w:r>
      <w:r w:rsidR="00363C1C">
        <w:fldChar w:fldCharType="begin"/>
      </w:r>
      <w:r w:rsidR="00803C78">
        <w:instrText xml:space="preserve"> REF _Ref325355664 \r \h </w:instrText>
      </w:r>
      <w:r w:rsidR="00363C1C">
        <w:fldChar w:fldCharType="separate"/>
      </w:r>
      <w:r w:rsidR="00216538">
        <w:t>2.2.5.1</w:t>
      </w:r>
      <w:r w:rsidR="00363C1C">
        <w:fldChar w:fldCharType="end"/>
      </w:r>
      <w:r>
        <w:t>). Hier wird deutlich, warum die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auch als Anwälte als Feinde galten: Sie selbst waren in den weißen Zirkeln der Kolonien vielfach Außenseiter und waren daher eher b</w:t>
      </w:r>
      <w:r>
        <w:t>e</w:t>
      </w:r>
      <w:r>
        <w:t>reit, Fälle zu übernehmen, die – wie hier die Vertretung der Eingeborenen, die den Prozess angestrengt haben – von anderen Anwälten aus Angst vor gesel</w:t>
      </w:r>
      <w:r>
        <w:t>l</w:t>
      </w:r>
      <w:r>
        <w:t>schaftlichen Nachteilen gemieden wurden.</w:t>
      </w:r>
    </w:p>
    <w:p w:rsidR="00CF6655" w:rsidRDefault="00CF6655" w:rsidP="002F0D8D">
      <w:pPr>
        <w:pStyle w:val="Titel4"/>
      </w:pPr>
      <w:bookmarkStart w:id="282" w:name="_Toc130260734"/>
      <w:bookmarkStart w:id="283" w:name="_Toc327388034"/>
      <w:r>
        <w:t>Muslime</w:t>
      </w:r>
      <w:bookmarkEnd w:id="282"/>
      <w:bookmarkEnd w:id="283"/>
      <w:r w:rsidR="00363C1C">
        <w:fldChar w:fldCharType="begin"/>
      </w:r>
      <w:r w:rsidR="00307A36">
        <w:instrText xml:space="preserve"> XE "</w:instrText>
      </w:r>
      <w:r w:rsidR="00307A36" w:rsidRPr="00712BB9">
        <w:instrText>Muslime</w:instrText>
      </w:r>
      <w:r w:rsidR="00307A36">
        <w:instrText xml:space="preserve">" </w:instrText>
      </w:r>
      <w:r w:rsidR="00363C1C">
        <w:fldChar w:fldCharType="end"/>
      </w:r>
    </w:p>
    <w:p w:rsidR="00CF6655" w:rsidRDefault="00CF6655" w:rsidP="002F0D8D">
      <w:pPr>
        <w:pStyle w:val="Text"/>
        <w:ind w:firstLine="0"/>
      </w:pPr>
      <w:r>
        <w:t>Muslime</w:t>
      </w:r>
      <w:r w:rsidR="00363C1C">
        <w:fldChar w:fldCharType="begin"/>
      </w:r>
      <w:r w:rsidR="00307A36">
        <w:instrText xml:space="preserve"> XE "</w:instrText>
      </w:r>
      <w:r w:rsidR="00307A36" w:rsidRPr="00712BB9">
        <w:instrText>Muslime</w:instrText>
      </w:r>
      <w:r w:rsidR="00307A36">
        <w:instrText xml:space="preserve">" </w:instrText>
      </w:r>
      <w:r w:rsidR="00363C1C">
        <w:fldChar w:fldCharType="end"/>
      </w:r>
      <w:r>
        <w:t xml:space="preserve"> stehen in der Akzeptanz noch unter den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Der Zutritt zu den Missionsgemeinden ist ihnen ganz verboten und nicht einmal für diplomatische Kontakte werden Ausnahmen gemacht, wie ein Vorfall in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xml:space="preserve"> zeigt:</w:t>
      </w:r>
    </w:p>
    <w:p w:rsidR="00CF6655" w:rsidRDefault="00CF6655" w:rsidP="00CF6655">
      <w:pPr>
        <w:pStyle w:val="Zitat"/>
      </w:pPr>
      <w:r>
        <w:t xml:space="preserve">Wir hörten dann, daß </w:t>
      </w:r>
      <w:proofErr w:type="gramStart"/>
      <w:r>
        <w:t>Nachmittags</w:t>
      </w:r>
      <w:proofErr w:type="gramEnd"/>
      <w:r>
        <w:t xml:space="preserve"> eine schwarze verschleierte Dame, eine A</w:t>
      </w:r>
      <w:r>
        <w:t>b</w:t>
      </w:r>
      <w:r>
        <w:t>gesandte der Äthiopier, angekommen sei. Schon am Bahnhof hatten wir die black lady gesehen und Br. Hartwig</w:t>
      </w:r>
      <w:r w:rsidR="00363C1C">
        <w:fldChar w:fldCharType="begin"/>
      </w:r>
      <w:r w:rsidR="00D20257">
        <w:instrText xml:space="preserve"> XE "</w:instrText>
      </w:r>
      <w:r w:rsidR="00D20257" w:rsidRPr="00683415">
        <w:instrText>Hartwig, Br.</w:instrText>
      </w:r>
      <w:r w:rsidR="00D20257">
        <w:instrText xml:space="preserve">" </w:instrText>
      </w:r>
      <w:r w:rsidR="00363C1C">
        <w:fldChar w:fldCharType="end"/>
      </w:r>
      <w:r>
        <w:t xml:space="preserve"> hatte ihr auf meinen Vorschlag hin sagen lassen, sie dürfe nicht nach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xml:space="preserve"> kommen. Trotzdem ist sie erschienen. So wird sie auf Grund der Platzregeln ausgewiesen werden müssen. (255f)</w:t>
      </w:r>
    </w:p>
    <w:p w:rsidR="00CF6655" w:rsidRDefault="00CF6655" w:rsidP="00075A59">
      <w:pPr>
        <w:pStyle w:val="Titel2"/>
      </w:pPr>
      <w:bookmarkStart w:id="284" w:name="_Toc130260735"/>
      <w:bookmarkStart w:id="285" w:name="_Toc327388035"/>
      <w:bookmarkStart w:id="286" w:name="_Toc122313646"/>
      <w:bookmarkStart w:id="287" w:name="_Toc122313734"/>
      <w:r>
        <w:t>Mission und Politik</w:t>
      </w:r>
      <w:bookmarkEnd w:id="284"/>
      <w:bookmarkEnd w:id="285"/>
    </w:p>
    <w:p w:rsidR="00CF6655" w:rsidRDefault="00CF6655" w:rsidP="00075A59">
      <w:pPr>
        <w:pStyle w:val="Text"/>
        <w:ind w:firstLine="0"/>
      </w:pPr>
      <w:r>
        <w:t>Eine allgemeine Erörterung dieses Themas, das gerade in letzter Zeit verstärkt untersucht worden ist,</w:t>
      </w:r>
      <w:r>
        <w:rPr>
          <w:rStyle w:val="Funotenzeichen"/>
        </w:rPr>
        <w:footnoteReference w:id="174"/>
      </w:r>
      <w:r>
        <w:t xml:space="preserve"> kann hier nicht erfolgen; das Thema „Mission und Pol</w:t>
      </w:r>
      <w:r>
        <w:t>i</w:t>
      </w:r>
      <w:r>
        <w:t xml:space="preserve">tik“ hat zu viele unterschiedliche Facetten, von denen nur die wenigsten sich auf </w:t>
      </w:r>
      <w:r>
        <w:lastRenderedPageBreak/>
        <w:t xml:space="preserve">direktes politisches Engagement reduzieren lassen. Einige grundsätzliche Fragen zur politischen Rolle der Mission sollen aber in den Blick genommen werden (Abschnitt </w:t>
      </w:r>
      <w:r w:rsidR="00363C1C">
        <w:fldChar w:fldCharType="begin"/>
      </w:r>
      <w:r w:rsidR="00803C78">
        <w:instrText xml:space="preserve"> REF _Ref325355702 \r \h </w:instrText>
      </w:r>
      <w:r w:rsidR="00363C1C">
        <w:fldChar w:fldCharType="separate"/>
      </w:r>
      <w:r w:rsidR="00216538">
        <w:t>2.4.1</w:t>
      </w:r>
      <w:r w:rsidR="00363C1C">
        <w:fldChar w:fldCharType="end"/>
      </w:r>
      <w:r>
        <w:t xml:space="preserve"> und </w:t>
      </w:r>
      <w:r w:rsidR="00363C1C">
        <w:fldChar w:fldCharType="begin"/>
      </w:r>
      <w:r w:rsidR="00803C78">
        <w:instrText xml:space="preserve"> REF _Ref325355714 \r \h </w:instrText>
      </w:r>
      <w:r w:rsidR="00363C1C">
        <w:fldChar w:fldCharType="separate"/>
      </w:r>
      <w:r w:rsidR="00216538">
        <w:t>2.4.2</w:t>
      </w:r>
      <w:r w:rsidR="00363C1C">
        <w:fldChar w:fldCharType="end"/>
      </w:r>
      <w:r>
        <w:t>); vor diesem Hintergrund werden dann einige spezif</w:t>
      </w:r>
      <w:r>
        <w:t>i</w:t>
      </w:r>
      <w:r>
        <w:t>sche Erscheinungen dargestellt, die in Spieckers Tagebuch auffallen.</w:t>
      </w:r>
    </w:p>
    <w:p w:rsidR="00CF6655" w:rsidRDefault="00CF6655" w:rsidP="00C942AD">
      <w:pPr>
        <w:pStyle w:val="Titel3"/>
      </w:pPr>
      <w:bookmarkStart w:id="288" w:name="_Toc130260736"/>
      <w:bookmarkStart w:id="289" w:name="_Ref325355702"/>
      <w:bookmarkStart w:id="290" w:name="_Ref325355968"/>
      <w:bookmarkStart w:id="291" w:name="_Toc327388036"/>
      <w:r>
        <w:t>Hintergründe</w:t>
      </w:r>
      <w:bookmarkEnd w:id="288"/>
      <w:bookmarkEnd w:id="289"/>
      <w:bookmarkEnd w:id="290"/>
      <w:bookmarkEnd w:id="291"/>
    </w:p>
    <w:p w:rsidR="00CF6655" w:rsidRDefault="00CF6655" w:rsidP="00C942AD">
      <w:pPr>
        <w:pStyle w:val="Titel4"/>
      </w:pPr>
      <w:bookmarkStart w:id="292" w:name="_Toc130260737"/>
      <w:bookmarkStart w:id="293" w:name="_Toc327388037"/>
      <w:r>
        <w:t>Mission und Kolonisation</w:t>
      </w:r>
      <w:bookmarkEnd w:id="292"/>
      <w:bookmarkEnd w:id="293"/>
    </w:p>
    <w:p w:rsidR="00CF6655" w:rsidRDefault="00CF6655" w:rsidP="00C942AD">
      <w:pPr>
        <w:pStyle w:val="Text"/>
        <w:ind w:firstLine="0"/>
      </w:pPr>
      <w:r>
        <w:t>Die Rheinische Mission hatte zum Zeitpunkt der Gründung der ‚Schutzgebiete‘ 1884 bereits seit über 40 Jahren in Südwestafrika gewirkt; sie hatte damit einen großen Vertrauensbonus bei den Eingeborenen, insbesondere natürlich bei den bekehrten Christen. Obwohl ihr Fernziel immer die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der Afr</w:t>
      </w:r>
      <w:r>
        <w:t>i</w:t>
      </w:r>
      <w:r>
        <w:t>kaner und das dazu gehörige Nahziel die Errichtung einer ungefährdeten Miss</w:t>
      </w:r>
      <w:r>
        <w:t>i</w:t>
      </w:r>
      <w:r>
        <w:t>onstätigkeit war, hatte sich die Mission von Anfang an auch politisch betätigt.</w:t>
      </w:r>
    </w:p>
    <w:p w:rsidR="00CF6655" w:rsidRDefault="00CF6655" w:rsidP="00CF6655">
      <w:pPr>
        <w:pStyle w:val="Text"/>
      </w:pPr>
      <w:r>
        <w:t>Wie vielerorts in Afrika war auch Südwestafrika vor der Errichtung der K</w:t>
      </w:r>
      <w:r>
        <w:t>o</w:t>
      </w:r>
      <w:r>
        <w:t>lonien von Stammesfehden geprägt.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und Orlamstämme wie auch ihre Hauptgegner,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waren viehtreibende nomadisierende Stämme;</w:t>
      </w:r>
      <w:r>
        <w:rPr>
          <w:rStyle w:val="Funotenzeichen"/>
        </w:rPr>
        <w:footnoteReference w:id="175"/>
      </w:r>
      <w:r>
        <w:t xml:space="preserve"> die Mission wollte sie sesshaft machen, wie es die Ovambo im Norden des Landes bereits waren. Dies hatte zwei Hauptgründe: Zum einen wollte man damit den beständigen Konflikten um Weideland ein Ende machen und einen Friedensz</w:t>
      </w:r>
      <w:r>
        <w:t>u</w:t>
      </w:r>
      <w:r>
        <w:t>stand erreichen, zum anderen war es praktisch auf andere Art kaum möglich, e</w:t>
      </w:r>
      <w:r>
        <w:t>i</w:t>
      </w:r>
      <w:r>
        <w:t>ne wirkungsvolle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vorzunehmen. So begannen die Missionare damit, an vielen Stellen Stationen zu gründen und die Eingeborenen um diese herum anzusiedeln. Kirchen, Schulen und Pfarrhäuser wurden –unter tatkräftiger Mithilfe der neu gewonnenen Gemeindemitglieder – errichtet und gaben den neuen Orten zusätzliche Attraktivität. Für die Christianisierung dürfte es dabei sehr hilfreich gewesen sein, dass sich viele vor dem jeweils aktuellen Stamme</w:t>
      </w:r>
      <w:r>
        <w:t>s</w:t>
      </w:r>
      <w:r>
        <w:t>konflikt in ihre Gemeinden flüchteten.</w:t>
      </w:r>
    </w:p>
    <w:p w:rsidR="00CF6655" w:rsidRDefault="00CF6655" w:rsidP="00CF6655">
      <w:pPr>
        <w:pStyle w:val="Text"/>
      </w:pPr>
      <w:r>
        <w:t>Und so war es nur logisch, dass die Mission sich auch zur Vermittlerin zw</w:t>
      </w:r>
      <w:r>
        <w:t>i</w:t>
      </w:r>
      <w:r>
        <w:t>schen den Stämmen berufen fühlte und den „Missionsfrieden“ von 1870 vermi</w:t>
      </w:r>
      <w:r>
        <w:t>t</w:t>
      </w:r>
      <w:r>
        <w:t>telte. Als später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xml:space="preserve"> durch geschickte Manipulation weite Landstriche kau</w:t>
      </w:r>
      <w:r>
        <w:t>f</w:t>
      </w:r>
      <w:r>
        <w:t>te und mit diesem Unterpfand die Reichsregierung zur offiziellen Annexion der Gebiete (1884) veranlasste, begrüßte die Rheinische Missionsgesellschaft</w:t>
      </w:r>
      <w:r w:rsidR="00363C1C">
        <w:fldChar w:fldCharType="begin"/>
      </w:r>
      <w:r w:rsidR="0078232E">
        <w:instrText xml:space="preserve"> XE "</w:instrText>
      </w:r>
      <w:r w:rsidR="0078232E" w:rsidRPr="00100860">
        <w:instrText>Rheinische Missionsgesellschaft (RMG)</w:instrText>
      </w:r>
      <w:r w:rsidR="0078232E">
        <w:instrText xml:space="preserve">" </w:instrText>
      </w:r>
      <w:r w:rsidR="00363C1C">
        <w:fldChar w:fldCharType="end"/>
      </w:r>
      <w:r>
        <w:t xml:space="preserve"> dies „von ganzem Herzen“.</w:t>
      </w:r>
      <w:r>
        <w:rPr>
          <w:rStyle w:val="Funotenzeichen"/>
        </w:rPr>
        <w:footnoteReference w:id="176"/>
      </w:r>
      <w:r>
        <w:t xml:space="preserve"> Gründer betont, dass die Missionare einerseits keine</w:t>
      </w:r>
      <w:r>
        <w:t>s</w:t>
      </w:r>
      <w:r>
        <w:t>wegs selbst einen Anteil an der weltlichen Herrschaft anstrebten, sondern eine stabile weltliche Macht wollten, mit der man nach dem Vorbild Deutschlands eng zusammenarbeiten könnte; andererseits aber von einer „grundkonservativen Gesinnung“ geprägt waren und jeden Widerstand gegen die Weißen als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w:t>
      </w:r>
      <w:r>
        <w:lastRenderedPageBreak/>
        <w:t>gegen die gottgegebene Ordnung interpretierten.</w:t>
      </w:r>
      <w:r>
        <w:rPr>
          <w:rStyle w:val="Funotenzeichen"/>
        </w:rPr>
        <w:footnoteReference w:id="177"/>
      </w:r>
      <w:r>
        <w:t xml:space="preserve"> Sein Urteil lautet daher auch:</w:t>
      </w:r>
    </w:p>
    <w:p w:rsidR="00CF6655" w:rsidRDefault="00CF6655" w:rsidP="00CF6655">
      <w:pPr>
        <w:pStyle w:val="Zitat"/>
      </w:pPr>
      <w:r>
        <w:t>Bis 1896 hatte die Mission somit zu einem ganz entscheidenden Teil dazu be</w:t>
      </w:r>
      <w:r>
        <w:t>i</w:t>
      </w:r>
      <w:r>
        <w:t>getragen, dass aus der losen Schutzherrschaft des Reichs ein weitgehend stabil</w:t>
      </w:r>
      <w:r>
        <w:t>i</w:t>
      </w:r>
      <w:r>
        <w:t>siertes Kolonialregime wurde und dass durch militärische Aktionen die beiden großen Volksstämme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und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‚befriedet‘ und ihr Eigenständi</w:t>
      </w:r>
      <w:r>
        <w:t>g</w:t>
      </w:r>
      <w:r>
        <w:t>keitsstreben unterdrückt worden waren.</w:t>
      </w:r>
      <w:r>
        <w:rPr>
          <w:rStyle w:val="Funotenzeichen"/>
        </w:rPr>
        <w:footnoteReference w:id="178"/>
      </w:r>
    </w:p>
    <w:p w:rsidR="00CF6655" w:rsidRDefault="00CF6655" w:rsidP="0049656F">
      <w:pPr>
        <w:pStyle w:val="Titel4"/>
      </w:pPr>
      <w:bookmarkStart w:id="294" w:name="_Toc130260738"/>
      <w:bookmarkStart w:id="295" w:name="_Ref325357089"/>
      <w:bookmarkStart w:id="296" w:name="_Ref325357578"/>
      <w:bookmarkStart w:id="297" w:name="_Toc327388038"/>
      <w:r>
        <w:t>Friedrich Fabri</w:t>
      </w:r>
      <w:r w:rsidR="00363C1C">
        <w:fldChar w:fldCharType="begin"/>
      </w:r>
      <w:r w:rsidR="00177921">
        <w:instrText xml:space="preserve"> XE "</w:instrText>
      </w:r>
      <w:r w:rsidR="00177921" w:rsidRPr="00397DB6">
        <w:instrText>Fabri, Friedrich</w:instrText>
      </w:r>
      <w:r w:rsidR="00177921">
        <w:instrText xml:space="preserve">" </w:instrText>
      </w:r>
      <w:r w:rsidR="00363C1C">
        <w:fldChar w:fldCharType="end"/>
      </w:r>
      <w:r>
        <w:t xml:space="preserve"> und die nationale Mission</w:t>
      </w:r>
      <w:bookmarkEnd w:id="294"/>
      <w:bookmarkEnd w:id="295"/>
      <w:bookmarkEnd w:id="296"/>
      <w:bookmarkEnd w:id="297"/>
    </w:p>
    <w:p w:rsidR="00CF6655" w:rsidRDefault="00CF6655" w:rsidP="0049656F">
      <w:pPr>
        <w:pStyle w:val="Text"/>
        <w:ind w:firstLine="0"/>
      </w:pPr>
      <w:r>
        <w:t>Mit Friedrich Fabri</w:t>
      </w:r>
      <w:r w:rsidR="00363C1C">
        <w:fldChar w:fldCharType="begin"/>
      </w:r>
      <w:r w:rsidR="00177921">
        <w:instrText xml:space="preserve"> XE "</w:instrText>
      </w:r>
      <w:r w:rsidR="00177921" w:rsidRPr="00397DB6">
        <w:instrText>Fabri, Friedrich</w:instrText>
      </w:r>
      <w:r w:rsidR="00177921">
        <w:instrText xml:space="preserve">" </w:instrText>
      </w:r>
      <w:r w:rsidR="00363C1C">
        <w:fldChar w:fldCharType="end"/>
      </w:r>
      <w:r>
        <w:t xml:space="preserve"> hatte die Rheinische Mission 1857 bis 1884 einen Mission</w:t>
      </w:r>
      <w:r>
        <w:t>s</w:t>
      </w:r>
      <w:r>
        <w:t>inspektor und damit direkten Vorgänger Spieckers, der zugleich ein sehr ei</w:t>
      </w:r>
      <w:r>
        <w:t>n</w:t>
      </w:r>
      <w:r>
        <w:t>flussreicher Kolonialpropagandist war. Horst Gründer schreibt:</w:t>
      </w:r>
    </w:p>
    <w:p w:rsidR="00CF6655" w:rsidRDefault="00CF6655" w:rsidP="00CF6655">
      <w:pPr>
        <w:pStyle w:val="Zitat"/>
      </w:pPr>
      <w:r>
        <w:t xml:space="preserve">Als ‚Vater der deutschen Kolonialbewegung‘ gilt nach zeitgenössischem und heutigem Urteil gemeinhin […] </w:t>
      </w:r>
      <w:r>
        <w:rPr>
          <w:i/>
          <w:iCs/>
        </w:rPr>
        <w:t>Friedrich Fabri</w:t>
      </w:r>
      <w:r w:rsidR="00363C1C">
        <w:rPr>
          <w:i/>
          <w:iCs/>
        </w:rPr>
        <w:fldChar w:fldCharType="begin"/>
      </w:r>
      <w:r w:rsidR="00177921">
        <w:instrText xml:space="preserve"> XE "</w:instrText>
      </w:r>
      <w:r w:rsidR="00177921" w:rsidRPr="00397DB6">
        <w:instrText>Fabri, Friedrich</w:instrText>
      </w:r>
      <w:r w:rsidR="00177921">
        <w:instrText xml:space="preserve">" </w:instrText>
      </w:r>
      <w:r w:rsidR="00363C1C">
        <w:rPr>
          <w:i/>
          <w:iCs/>
        </w:rPr>
        <w:fldChar w:fldCharType="end"/>
      </w:r>
      <w:r>
        <w:rPr>
          <w:i/>
          <w:iCs/>
        </w:rPr>
        <w:t xml:space="preserve"> </w:t>
      </w:r>
      <w:r>
        <w:t>(1824–1891), von dessen Schriften wohl die stärkste kolonialpropagandistische Wirkung ausgegangen ist. Fabri</w:t>
      </w:r>
      <w:r w:rsidR="00363C1C">
        <w:fldChar w:fldCharType="begin"/>
      </w:r>
      <w:r w:rsidR="00177921">
        <w:instrText xml:space="preserve"> XE "</w:instrText>
      </w:r>
      <w:r w:rsidR="00177921" w:rsidRPr="00397DB6">
        <w:instrText>Fabri, Friedrich</w:instrText>
      </w:r>
      <w:r w:rsidR="00177921">
        <w:instrText xml:space="preserve">" </w:instrText>
      </w:r>
      <w:r w:rsidR="00363C1C">
        <w:fldChar w:fldCharType="end"/>
      </w:r>
      <w:r>
        <w:t xml:space="preserve"> entstammte einer fränkischen Pfarrersfamilie […]. Nach seinem A</w:t>
      </w:r>
      <w:r>
        <w:t>b</w:t>
      </w:r>
      <w:r>
        <w:t>schied (1884) vom Barmer Missionshaus – nicht zuletzt wegen seiner kolonia</w:t>
      </w:r>
      <w:r>
        <w:t>l</w:t>
      </w:r>
      <w:r>
        <w:t>propagandistischen Aktivitäten – widmete er sich desto intensiver seiner ger</w:t>
      </w:r>
      <w:r>
        <w:t>a</w:t>
      </w:r>
      <w:r>
        <w:t>dezu einzigartigen Stellung im Management der organisierten Kolonialbew</w:t>
      </w:r>
      <w:r>
        <w:t>e</w:t>
      </w:r>
      <w:r>
        <w:t>gung, seiner Rolle als Vertrauensmann Bismarcks</w:t>
      </w:r>
      <w:r w:rsidR="00363C1C">
        <w:fldChar w:fldCharType="begin"/>
      </w:r>
      <w:r w:rsidR="00177921">
        <w:instrText xml:space="preserve"> XE "</w:instrText>
      </w:r>
      <w:r w:rsidR="00177921" w:rsidRPr="00CF1799">
        <w:instrText>Bismarck, Otto von</w:instrText>
      </w:r>
      <w:r w:rsidR="00177921">
        <w:instrText xml:space="preserve">" </w:instrText>
      </w:r>
      <w:r w:rsidR="00363C1C">
        <w:fldChar w:fldCharType="end"/>
      </w:r>
      <w:r>
        <w:t xml:space="preserve"> in kolonialen Fragen und vor allem seiner Berater- und Vermittlerfunktion zwischen Reichsregierung, ko</w:t>
      </w:r>
      <w:r>
        <w:t>m</w:t>
      </w:r>
      <w:r>
        <w:t>merziellen Interessen und Missionsgesellschaften.</w:t>
      </w:r>
      <w:r>
        <w:rPr>
          <w:rStyle w:val="Funotenzeichen"/>
        </w:rPr>
        <w:footnoteReference w:id="179"/>
      </w:r>
    </w:p>
    <w:p w:rsidR="00CF6655" w:rsidRDefault="00CF6655" w:rsidP="0049656F">
      <w:pPr>
        <w:pStyle w:val="Text"/>
        <w:ind w:firstLine="0"/>
      </w:pPr>
      <w:r>
        <w:t>Von Anfang an war also der Zusammenhang zwischen Mission und der Kolon</w:t>
      </w:r>
      <w:r>
        <w:t>i</w:t>
      </w:r>
      <w:r>
        <w:t>alidee eng. Dazu kam, dass der europäische Kolonialstaat ja als Schutzmacht der Missionare auftrat, die in seinem Bereich arbeiteten, und ihnen damit in vielen Ländern ein wirkungsvolles Eindringen erst ermöglichten. So lag es für die Mi</w:t>
      </w:r>
      <w:r>
        <w:t>s</w:t>
      </w:r>
      <w:r>
        <w:t>sion nahe, anzunehmen, „daß sich der göttliche ‚Heilsplan‘ im weltlichen ‚Kol</w:t>
      </w:r>
      <w:r>
        <w:t>o</w:t>
      </w:r>
      <w:r>
        <w:t>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offenbare“.</w:t>
      </w:r>
      <w:r>
        <w:rPr>
          <w:rStyle w:val="Funotenzeichen"/>
        </w:rPr>
        <w:footnoteReference w:id="180"/>
      </w:r>
      <w:r>
        <w:t xml:space="preserve"> Dies führte schließlich zu einer Auffassung, in der rel</w:t>
      </w:r>
      <w:r>
        <w:t>i</w:t>
      </w:r>
      <w:r>
        <w:t>giöses und nationales Sendungsbewusstsein nicht mehr klar zu trennen waren. Man begann daher sogar in der protestantischen Mission, sich auf die deutschen Kolonien zu konzentrieren:</w:t>
      </w:r>
    </w:p>
    <w:p w:rsidR="00CF6655" w:rsidRDefault="00CF6655" w:rsidP="00CF6655">
      <w:pPr>
        <w:pStyle w:val="Zitat"/>
      </w:pPr>
      <w:r>
        <w:t>[A]uf protestantischer Seite [führte] die im Laufe der Kolonialzeit zunehme</w:t>
      </w:r>
      <w:r>
        <w:t>n</w:t>
      </w:r>
      <w:r>
        <w:t>de Überzeugung von der „nationalen Pflicht“ zur Kolonialmission und die B</w:t>
      </w:r>
      <w:r>
        <w:t>e</w:t>
      </w:r>
      <w:r>
        <w:t xml:space="preserve">reitschaft, zu ihren Gunsten „ausländische“ Missionsfelder aufzugeben oder </w:t>
      </w:r>
      <w:r>
        <w:lastRenderedPageBreak/>
        <w:t>zumindest die Arbeit auf ihnen einzuschränken, zu einer wesentlichen Vere</w:t>
      </w:r>
      <w:r>
        <w:t>n</w:t>
      </w:r>
      <w:r>
        <w:t>gung des Missionsverständnisses.</w:t>
      </w:r>
      <w:r>
        <w:rPr>
          <w:rStyle w:val="Funotenzeichen"/>
        </w:rPr>
        <w:footnoteReference w:id="181"/>
      </w:r>
    </w:p>
    <w:p w:rsidR="00CF6655" w:rsidRDefault="00CF6655" w:rsidP="00B46C5A">
      <w:pPr>
        <w:pStyle w:val="Text"/>
        <w:ind w:firstLine="0"/>
      </w:pPr>
      <w:r>
        <w:t>Ausdruck dieses Nationalismus war auch eine zunehmend engere Verbindung mit den staatlichen Organen. So gab es ab 1890 für beide Konfessionen je einen von der Reichsregierung bestimmten „Verbindungsmann“, der automatisch auch in den Kolonialrat berufen wurde, ein Organ, in dem ab 1890 ehrenamtlich tätige „Kolonialexperten“ (größtenteils ehemalige Kolonialbeamte und Vertreter der großen Kolonialgesellschaften) zusammentraten und das eine beratende Funkt</w:t>
      </w:r>
      <w:r>
        <w:t>i</w:t>
      </w:r>
      <w:r>
        <w:t xml:space="preserve">on für die Regierung hatte. „Im </w:t>
      </w:r>
      <w:proofErr w:type="gramStart"/>
      <w:r>
        <w:t>wesentlichen</w:t>
      </w:r>
      <w:proofErr w:type="gramEnd"/>
      <w:r>
        <w:t xml:space="preserve"> manifestierte sich im Kolonialrat der Einfluss der Protagonisten des kolonialen Kapitals“.</w:t>
      </w:r>
      <w:r w:rsidR="00312C9C">
        <w:rPr>
          <w:rStyle w:val="Funotenzeichen"/>
        </w:rPr>
        <w:footnoteReference w:id="182"/>
      </w:r>
    </w:p>
    <w:p w:rsidR="00CF6655" w:rsidRDefault="00CF6655" w:rsidP="00CF6655">
      <w:pPr>
        <w:pStyle w:val="Text"/>
      </w:pPr>
      <w:r>
        <w:t>In den Kolonien selbst war die Verbindung durch die Vertretung in den 1903 eingerichteten Gouvernementsräten sowie den Bezirksräten gegeben. Ko</w:t>
      </w:r>
      <w:r>
        <w:t>n</w:t>
      </w:r>
      <w:r>
        <w:t>fliktträchtige Themen wurden hier allerdings ausgeklammert. Die Missionare fungierten auch als Beisitzer vor Gericht, wodurch ihre Assoziation mit der K</w:t>
      </w:r>
      <w:r>
        <w:t>o</w:t>
      </w:r>
      <w:r>
        <w:t xml:space="preserve">lonialmacht für die Kolonisierten besonders augenfällig wurde. Über ihre legitimatorische </w:t>
      </w:r>
      <w:r>
        <w:rPr>
          <w:b/>
        </w:rPr>
        <w:t>F</w:t>
      </w:r>
      <w:r>
        <w:t>unktion hat sich die Mission dabei wenig Gedanken gemacht; man sah jede Art der Vertretung, auch eine mehr symbolische, als möglichen Vorteil. Für 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waren die Missionare, die sich nur selten ‚aufmüpfig‘ zeigten, ein zentraler Kooperationspartner; sie legten „größten Wert auf die Mitwirkung der durch die bessere Orts- und Sachkenntnis ausgewiesenen Missionare“.</w:t>
      </w:r>
      <w:r>
        <w:rPr>
          <w:rStyle w:val="Funotenzeichen"/>
        </w:rPr>
        <w:footnoteReference w:id="183"/>
      </w:r>
    </w:p>
    <w:p w:rsidR="00CF6655" w:rsidRDefault="00CF6655" w:rsidP="00B46C5A">
      <w:pPr>
        <w:pStyle w:val="Titel4"/>
      </w:pPr>
      <w:bookmarkStart w:id="298" w:name="_Toc130260739"/>
      <w:bookmarkStart w:id="299" w:name="_Toc327388039"/>
      <w:r>
        <w:t>Der ‚Drang nach Norden‘</w:t>
      </w:r>
      <w:bookmarkEnd w:id="298"/>
      <w:bookmarkEnd w:id="299"/>
    </w:p>
    <w:p w:rsidR="00CF6655" w:rsidRDefault="00CF6655" w:rsidP="00B46C5A">
      <w:pPr>
        <w:pStyle w:val="Text"/>
        <w:ind w:firstLine="0"/>
      </w:pPr>
      <w:r>
        <w:t>Die Mission verfolgte in Südwestafrika ein klares geistliches Ziel: die Bekehrung der Afrikaner zu Christen. Welche Form diese Zielsetzung jedoch im Einzelnen annahm, welche Formulierungen man dafür verwendete und welche Konseque</w:t>
      </w:r>
      <w:r>
        <w:t>n</w:t>
      </w:r>
      <w:r>
        <w:t>zen man daraus zog, das konnte durchaus variieren. „Die inhaltliche Füllung, die in einer bestimmten Situation vollzogene Konkretisierung solcher theologischen Definitionen hat sich in der Auseinandersetzung mit gesellschaftlichen und pol</w:t>
      </w:r>
      <w:r>
        <w:t>i</w:t>
      </w:r>
      <w:r>
        <w:t>tischen Veränderungen im Land jeweils gewandelt.“ Dies betraf vor allem die Formulierungen, die zu festen Formeln wurden, bis sie inhaltlich kaum mehr präzise gefüllt waren und in ganz unterschiedlichen Situationen als Rechtfert</w:t>
      </w:r>
      <w:r>
        <w:t>i</w:t>
      </w:r>
      <w:r>
        <w:t>gung, auch vor sich selbst, eines für die Mission nötig erscheinenden Handelns benutzt werden konnten. „Bestimmungen wie: Missionsangelegenheit, Reich, Gottes, Evangeliumsverkündigung, Friedensbote, Einzel- und Volksbekehrung, Seelenrettung, die immer wieder auftauchen, konnten für sehr unterschiedliche Situationen […] angewandt werden, ohne dass die Differenziertheit der En</w:t>
      </w:r>
      <w:r>
        <w:t>t</w:t>
      </w:r>
      <w:r>
        <w:lastRenderedPageBreak/>
        <w:t>scheidungen und deren unterschiedliche Konsequenzen […] damit deutlich wurden.“</w:t>
      </w:r>
      <w:r>
        <w:rPr>
          <w:rStyle w:val="Funotenzeichen"/>
        </w:rPr>
        <w:footnoteReference w:id="184"/>
      </w:r>
    </w:p>
    <w:p w:rsidR="00CF6655" w:rsidRDefault="00CF6655" w:rsidP="00CF6655">
      <w:pPr>
        <w:pStyle w:val="Text"/>
      </w:pPr>
      <w:r>
        <w:t>Am Anfang steht der Gedanke der Einzelbekehrung (oder Seelenrettung) im Vordergrund; man wollte um „jede Seele“ kämpfen und betonte in dieser Formulierung den privaten, individuellen Charakter der Religion. Die Einfü</w:t>
      </w:r>
      <w:r>
        <w:t>h</w:t>
      </w:r>
      <w:r>
        <w:t>rung des Begriffs der „Volksbekehrung“ kündigt eine entscheidende Änderung an: „Er taucht in Südwestafrika in dem Augenblick auf […], als der bisherige Weg, nur über den einzelnen Missionar das Hererovolk christlich zu beeinflu</w:t>
      </w:r>
      <w:r>
        <w:t>s</w:t>
      </w:r>
      <w:r>
        <w:t>sen, sich als wenig effektiv erweist.“ Die Veränderung der Betonung macht es möglich, Aktivitäten, die eine Entwicklung des ganzen Stammes in die g</w:t>
      </w:r>
      <w:r>
        <w:t>e</w:t>
      </w:r>
      <w:r>
        <w:t>wünschte Richtung anstrebten – und dies schloss auch die als notwendig eracht</w:t>
      </w:r>
      <w:r>
        <w:t>e</w:t>
      </w:r>
      <w:r>
        <w:t>te Sesshaftwerdung, Friedensschlüsse usw. mit ein – , aus dem Hauptziel abzule</w:t>
      </w:r>
      <w:r>
        <w:t>i</w:t>
      </w:r>
      <w:r>
        <w:t>ten. Engel betont jedoch: „Im Verhältnis der Missionare zu den Einheimischen ändert sich nicht viel, da auch vorher schon kulturelle und zivilisatorische Täti</w:t>
      </w:r>
      <w:r>
        <w:t>g</w:t>
      </w:r>
      <w:r>
        <w:t>keiten den Missionaren durchgeführt wurden, die Auswirkungen auf das gesamte Leben des heidnischen Volks haben sollten“</w:t>
      </w:r>
      <w:r w:rsidR="002F0CB7">
        <w:t>.</w:t>
      </w:r>
      <w:r>
        <w:rPr>
          <w:rStyle w:val="Funotenzeichen"/>
        </w:rPr>
        <w:footnoteReference w:id="185"/>
      </w:r>
    </w:p>
    <w:p w:rsidR="00CF6655" w:rsidRDefault="00CF6655" w:rsidP="00CF6655">
      <w:pPr>
        <w:pStyle w:val="Text"/>
      </w:pPr>
      <w:r>
        <w:t>Dass die Missionare durchaus strategisch dachten, zeigt sich daran, dass sie bei der Einrichtung der Missionsstationen im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und Namaland von A</w:t>
      </w:r>
      <w:r>
        <w:t>n</w:t>
      </w:r>
      <w:r>
        <w:t>fang an weitergehende Ziele verfolgten. Sie waren als eine Kette angelegt, die das Eindringen des Christentums ins Innere Afrikas vorbereiten sollte. Denn nur Missionsstationen, die in Tagesreisen auf sicheren Routen voneinander entfernt lagen, konnten dauerhaft aufrechterhalten und ausgebaut werden; die Schwieri</w:t>
      </w:r>
      <w:r>
        <w:t>g</w:t>
      </w:r>
      <w:r>
        <w:t>keit des Reisens über längere Entfernungen zeigen, wie zentral die Missionsst</w:t>
      </w:r>
      <w:r>
        <w:t>a</w:t>
      </w:r>
      <w:r>
        <w:t xml:space="preserve">tionen als „Netz“ für die Bewegung der Missionare waren (vgl. Abschnitt </w:t>
      </w:r>
      <w:r w:rsidR="00363C1C">
        <w:fldChar w:fldCharType="begin"/>
      </w:r>
      <w:r w:rsidR="003D6E05">
        <w:instrText xml:space="preserve"> REF _Ref325355750 \r \h </w:instrText>
      </w:r>
      <w:r w:rsidR="00363C1C">
        <w:fldChar w:fldCharType="separate"/>
      </w:r>
      <w:r w:rsidR="00216538">
        <w:t>1.2.4</w:t>
      </w:r>
      <w:r w:rsidR="00363C1C">
        <w:fldChar w:fldCharType="end"/>
      </w:r>
      <w:r>
        <w:t>).</w:t>
      </w:r>
    </w:p>
    <w:p w:rsidR="00CF6655" w:rsidRDefault="00CF6655" w:rsidP="00CF6655">
      <w:pPr>
        <w:pStyle w:val="Text"/>
      </w:pPr>
      <w:r>
        <w:t>So ist es zu erklären, dass die Ovambomission</w:t>
      </w:r>
      <w:r w:rsidR="00363C1C">
        <w:fldChar w:fldCharType="begin"/>
      </w:r>
      <w:r w:rsidR="000311E8">
        <w:instrText xml:space="preserve"> XE "</w:instrText>
      </w:r>
      <w:r w:rsidR="000311E8" w:rsidRPr="00396C06">
        <w:instrText>Ovambomission</w:instrText>
      </w:r>
      <w:r w:rsidR="000311E8">
        <w:instrText xml:space="preserve">" </w:instrText>
      </w:r>
      <w:r w:rsidR="00363C1C">
        <w:fldChar w:fldCharType="end"/>
      </w:r>
      <w:r>
        <w:t xml:space="preserve"> zu einem Ziel wurde, das immer im Hintergrund der Unternehmungen im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und Hereroland stand. Die Ovambo waren nicht nur ein sesshafter Stamm, bei dem man sich eine e</w:t>
      </w:r>
      <w:r>
        <w:t>r</w:t>
      </w:r>
      <w:r>
        <w:t>folgreichere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versprach, sie lebten außerdem in einem Waldg</w:t>
      </w:r>
      <w:r>
        <w:t>e</w:t>
      </w:r>
      <w:r>
        <w:t>biet mit fruchtbarer Erde, waren reicher und weniger kriegerisch als die unve</w:t>
      </w:r>
      <w:r>
        <w:t>r</w:t>
      </w:r>
      <w:r>
        <w:t>besserlich einander bekämpfenden Nama und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an deren ‚Umerziehung‘ zu friedlichen Christen die Missionare immer wieder verzweifelten. Auch spr</w:t>
      </w:r>
      <w:r>
        <w:t>a</w:t>
      </w:r>
      <w:r>
        <w:t>chen sie wie die Herero Bantu, was ihre Missionierung erleichtern konnte. Vor allem jedoch lagen sie im Norden, dem geheimen Ziel der Aktivitäten der Miss</w:t>
      </w:r>
      <w:r>
        <w:t>i</w:t>
      </w:r>
      <w:r>
        <w:t>onare, die ins Innere des Kontinents vorzudringen hofften.</w:t>
      </w:r>
      <w:r>
        <w:rPr>
          <w:rStyle w:val="Funotenzeichen"/>
        </w:rPr>
        <w:footnoteReference w:id="186"/>
      </w:r>
      <w:r>
        <w:t xml:space="preserve"> Dieser Hinte</w:t>
      </w:r>
      <w:r>
        <w:t>r</w:t>
      </w:r>
      <w:r>
        <w:t>grund ist für die vielleicht wichtigste politische Unternehmung Spieckers in Südwestafrika relevant: die Reise ins Ovamboland, mit der er allerdings auch a</w:t>
      </w:r>
      <w:r>
        <w:t>n</w:t>
      </w:r>
      <w:r>
        <w:t>dere als die direkten Missionsziele verfolgt und dadurch in einen Gewissensko</w:t>
      </w:r>
      <w:r>
        <w:t>n</w:t>
      </w:r>
      <w:r>
        <w:t xml:space="preserve">flikt gerät (vgl. Abschnitt </w:t>
      </w:r>
      <w:r w:rsidR="00363C1C">
        <w:fldChar w:fldCharType="begin"/>
      </w:r>
      <w:r w:rsidR="003D6E05">
        <w:instrText xml:space="preserve"> REF _Ref325355776 \r \h </w:instrText>
      </w:r>
      <w:r w:rsidR="00363C1C">
        <w:fldChar w:fldCharType="separate"/>
      </w:r>
      <w:r w:rsidR="00216538">
        <w:t>2.4.4</w:t>
      </w:r>
      <w:r w:rsidR="00363C1C">
        <w:fldChar w:fldCharType="end"/>
      </w:r>
      <w:r>
        <w:t xml:space="preserve"> „Friedensvermittlung“).</w:t>
      </w:r>
    </w:p>
    <w:p w:rsidR="00CF6655" w:rsidRDefault="00CF6655" w:rsidP="00B46C5A">
      <w:pPr>
        <w:pStyle w:val="Titel3"/>
      </w:pPr>
      <w:bookmarkStart w:id="300" w:name="_Toc130260740"/>
      <w:bookmarkStart w:id="301" w:name="_Ref325355714"/>
      <w:bookmarkStart w:id="302" w:name="_Ref325355978"/>
      <w:bookmarkStart w:id="303" w:name="_Toc327388040"/>
      <w:r>
        <w:lastRenderedPageBreak/>
        <w:t>Die Mission als politische Kraft</w:t>
      </w:r>
      <w:bookmarkEnd w:id="300"/>
      <w:bookmarkEnd w:id="301"/>
      <w:bookmarkEnd w:id="302"/>
      <w:bookmarkEnd w:id="303"/>
      <w:r>
        <w:t xml:space="preserve"> </w:t>
      </w:r>
    </w:p>
    <w:p w:rsidR="00CF6655" w:rsidRDefault="00CF6655" w:rsidP="00B46C5A">
      <w:pPr>
        <w:pStyle w:val="Titel4"/>
      </w:pPr>
      <w:bookmarkStart w:id="304" w:name="_Toc130260741"/>
      <w:bookmarkStart w:id="305" w:name="_Toc327388041"/>
      <w:r>
        <w:t>Entscheidungen im Kolonialstaat</w:t>
      </w:r>
      <w:bookmarkEnd w:id="304"/>
      <w:bookmarkEnd w:id="305"/>
    </w:p>
    <w:p w:rsidR="00CF6655" w:rsidRDefault="00CF6655" w:rsidP="00B46C5A">
      <w:pPr>
        <w:pStyle w:val="Text"/>
        <w:ind w:firstLine="0"/>
      </w:pPr>
      <w:r>
        <w:t>Doch solche missionsstrategischen Ziele, die über die Sorge um die aktuelle Mi</w:t>
      </w:r>
      <w:r>
        <w:t>s</w:t>
      </w:r>
      <w:r>
        <w:t>sionsarbeit hinaus gingen, waren keineswegs die einzige längerfristige Planung der Mission, die durchaus politisch zu denken verstand. Beispielsweise hoffte man bezüglich der Ovambo auf den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-„Capitein“ Jonker Afrikaner</w:t>
      </w:r>
      <w:r w:rsidR="00363C1C">
        <w:fldChar w:fldCharType="begin"/>
      </w:r>
      <w:r w:rsidR="005A705C">
        <w:instrText xml:space="preserve"> XE "</w:instrText>
      </w:r>
      <w:r w:rsidR="005A705C" w:rsidRPr="00F134AC">
        <w:instrText>Jonker Afrikaner, Häuptling</w:instrText>
      </w:r>
      <w:r w:rsidR="005A705C">
        <w:instrText xml:space="preserve">" </w:instrText>
      </w:r>
      <w:r w:rsidR="00363C1C">
        <w:fldChar w:fldCharType="end"/>
      </w:r>
      <w:r>
        <w:t>; die Nama sollten als „Zuchtrute Gottes“ dienen und die Ovambo angreifen, so wie sie auch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immer wieder angegriffen hatten. Man glaubte, „daß vor dem Einzug des Evangeliums zu den Ovambo eine gründliche, nationale Demüthigung vorausgehen muß“.</w:t>
      </w:r>
      <w:r>
        <w:rPr>
          <w:rStyle w:val="Funotenzeichen"/>
        </w:rPr>
        <w:footnoteReference w:id="187"/>
      </w:r>
    </w:p>
    <w:p w:rsidR="00CF6655" w:rsidRDefault="00CF6655" w:rsidP="00CF6655">
      <w:pPr>
        <w:pStyle w:val="Text"/>
      </w:pPr>
      <w:r>
        <w:t>Ein anderes Beispiel für eine politische Entscheidung von potentiell großer Tragweite liefert die Haltung der Mission zur Bureneinwanderung Mitte der 1880er. Man beschloss, sich nicht gegen die Einwanderung einzusetzen, obwohl man voraussah, dass die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von den oft rücksichtslos vorgehenden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um ihr Land gebracht würden. Man urteilte, dass die Nama aus sich heraus keine Zukunft mehr hätten, wobei der mangelnde Erfolg beim Versuch, sie „zu geor</w:t>
      </w:r>
      <w:r>
        <w:t>d</w:t>
      </w:r>
      <w:r>
        <w:t xml:space="preserve">neter Thätigkeit zu gewöhnen“ (vgl. Abschnitt </w:t>
      </w:r>
      <w:r w:rsidR="00363C1C">
        <w:fldChar w:fldCharType="begin"/>
      </w:r>
      <w:r w:rsidR="003D6E05">
        <w:instrText xml:space="preserve"> REF _Ref325355799 \r \h </w:instrText>
      </w:r>
      <w:r w:rsidR="00363C1C">
        <w:fldChar w:fldCharType="separate"/>
      </w:r>
      <w:r w:rsidR="00216538">
        <w:t>2.2.4.2</w:t>
      </w:r>
      <w:r w:rsidR="00363C1C">
        <w:fldChar w:fldCharType="end"/>
      </w:r>
      <w:r>
        <w:t xml:space="preserve"> „Erziehung zur Arbeit“), die die Missionare im europäischen Sinn für die Voraussetzung einer sicheren Existenz hielten, eine Rolle spielte. Die Unterwerfung durch die Buren sei der einzige Weg, sie aus ihrer Trägheit zu reißen. „Vielleicht dass Gott uns künftig mehr Freude an den Nama's erleben lässt, wenn sie Knechte der Boers geworden sind, und dass sie anfangen werden, sich nach der wahren Freiheit der Kinder Gottes zu sehnen, wenn sie der bisherigen irdischen verlustig gegangen sind.“</w:t>
      </w:r>
      <w:r>
        <w:rPr>
          <w:rStyle w:val="Funotenzeichen"/>
        </w:rPr>
        <w:footnoteReference w:id="188"/>
      </w:r>
    </w:p>
    <w:p w:rsidR="00CF6655" w:rsidRDefault="00CF6655" w:rsidP="00CF6655">
      <w:pPr>
        <w:pStyle w:val="Text"/>
      </w:pPr>
      <w:r>
        <w:t>Die beiden Beispiele zeigen, dass die Mission – auch abseits der Haltung zur deutschen Kolonisierung, deren Problematik oft erörtert worden ist – keine</w:t>
      </w:r>
      <w:r>
        <w:t>s</w:t>
      </w:r>
      <w:r>
        <w:t>wegs eine passive Rolle in der politischen Arena spielte, wie es die „Zwei-Reiche-Lehre</w:t>
      </w:r>
      <w:r w:rsidR="00363C1C">
        <w:fldChar w:fldCharType="begin"/>
      </w:r>
      <w:r w:rsidR="006A7F44">
        <w:instrText xml:space="preserve"> XE "</w:instrText>
      </w:r>
      <w:r w:rsidR="006A7F44" w:rsidRPr="004C66D4">
        <w:instrText>Zwei-Reiche-Lehre</w:instrText>
      </w:r>
      <w:r w:rsidR="006A7F44">
        <w:instrText xml:space="preserve">" </w:instrText>
      </w:r>
      <w:r w:rsidR="00363C1C">
        <w:fldChar w:fldCharType="end"/>
      </w:r>
      <w:r>
        <w:t xml:space="preserve">“ (vgl. Abschnitt </w:t>
      </w:r>
      <w:r w:rsidR="00363C1C">
        <w:fldChar w:fldCharType="begin"/>
      </w:r>
      <w:r w:rsidR="003C0AE6">
        <w:instrText xml:space="preserve"> REF _Ref325355831 \r \h </w:instrText>
      </w:r>
      <w:r w:rsidR="00363C1C">
        <w:fldChar w:fldCharType="separate"/>
      </w:r>
      <w:r w:rsidR="00216538">
        <w:t>2.3.2</w:t>
      </w:r>
      <w:r w:rsidR="00363C1C">
        <w:fldChar w:fldCharType="end"/>
      </w:r>
      <w:r>
        <w:t>) nahe legen würde. Die konservative, ja teilweise r</w:t>
      </w:r>
      <w:r>
        <w:t>e</w:t>
      </w:r>
      <w:r>
        <w:t xml:space="preserve">aktionäre Rolle, die viele Missionsgesellschaften in den Kolonien gespielt haben </w:t>
      </w:r>
      <w:r>
        <w:lastRenderedPageBreak/>
        <w:t xml:space="preserve">(vgl. u.a. Abschnitt </w:t>
      </w:r>
      <w:r w:rsidR="00363C1C">
        <w:fldChar w:fldCharType="begin"/>
      </w:r>
      <w:r w:rsidR="003C0AE6">
        <w:instrText xml:space="preserve"> REF _Ref325355858 \r \h </w:instrText>
      </w:r>
      <w:r w:rsidR="00363C1C">
        <w:fldChar w:fldCharType="separate"/>
      </w:r>
      <w:r w:rsidR="00216538">
        <w:t>2.2.4</w:t>
      </w:r>
      <w:r w:rsidR="00363C1C">
        <w:fldChar w:fldCharType="end"/>
      </w:r>
      <w:r>
        <w:t xml:space="preserve">, </w:t>
      </w:r>
      <w:r w:rsidR="00363C1C">
        <w:fldChar w:fldCharType="begin"/>
      </w:r>
      <w:r w:rsidR="003C0AE6">
        <w:instrText xml:space="preserve"> REF _Ref325355866 \r \h </w:instrText>
      </w:r>
      <w:r w:rsidR="00363C1C">
        <w:fldChar w:fldCharType="separate"/>
      </w:r>
      <w:r w:rsidR="00216538">
        <w:t>2.2.5</w:t>
      </w:r>
      <w:r w:rsidR="00363C1C">
        <w:fldChar w:fldCharType="end"/>
      </w:r>
      <w:r>
        <w:t xml:space="preserve"> und </w:t>
      </w:r>
      <w:r w:rsidR="00363C1C">
        <w:fldChar w:fldCharType="begin"/>
      </w:r>
      <w:r w:rsidR="003C0AE6">
        <w:instrText xml:space="preserve"> REF _Ref325355884 \r \h </w:instrText>
      </w:r>
      <w:r w:rsidR="00363C1C">
        <w:fldChar w:fldCharType="separate"/>
      </w:r>
      <w:r w:rsidR="00216538">
        <w:t>2.5</w:t>
      </w:r>
      <w:r w:rsidR="00363C1C">
        <w:fldChar w:fldCharType="end"/>
      </w:r>
      <w:r>
        <w:t>), lässt sich zum Teil dadurch erklären, dass sie die Konsequenzen dieser Lehre – die Notwendigkeit des weltlichen G</w:t>
      </w:r>
      <w:r>
        <w:t>e</w:t>
      </w:r>
      <w:r>
        <w:t xml:space="preserve">horsams – zwar ihren Missionszöglingen sowie den bekehrten Christen durchaus eintrichterte, andererseits aber auf höherer Ebene durchaus politisch dachte und agierte, was aufgrund der schwierigen Situation ‚zwischen allen Stühlen‘ (vgl. Abschnitt </w:t>
      </w:r>
      <w:r w:rsidR="00363C1C">
        <w:fldChar w:fldCharType="begin"/>
      </w:r>
      <w:r w:rsidR="003C0AE6">
        <w:instrText xml:space="preserve"> REF _Ref325355916 \r \h </w:instrText>
      </w:r>
      <w:r w:rsidR="00363C1C">
        <w:fldChar w:fldCharType="separate"/>
      </w:r>
      <w:r w:rsidR="00216538">
        <w:t>2.3</w:t>
      </w:r>
      <w:r w:rsidR="00363C1C">
        <w:fldChar w:fldCharType="end"/>
      </w:r>
      <w:r>
        <w:t xml:space="preserve"> „Mission und Konflikt“) wohl auch gar nicht anders möglich g</w:t>
      </w:r>
      <w:r>
        <w:t>e</w:t>
      </w:r>
      <w:r>
        <w:t>wesen wäre. Die besondere Brisanz ergibt sich aus der Kombination, seinen ‚U</w:t>
      </w:r>
      <w:r>
        <w:t>n</w:t>
      </w:r>
      <w:r>
        <w:t>tergebenen‘ politische Abstinenz zu predigen und gleichzeitig – wenn auch tei</w:t>
      </w:r>
      <w:r>
        <w:t>l</w:t>
      </w:r>
      <w:r>
        <w:t>weise ungewollt – eine politische Kraft zu sein. Infolgedessen konnte man bei jeder nicht unmittelbar religiösen Entscheidung Kritik damit abschmettern, dass die davon Betroffenen sich dafür eigentlich als gute Christen gar nicht interessi</w:t>
      </w:r>
      <w:r>
        <w:t>e</w:t>
      </w:r>
      <w:r>
        <w:t>ren durften.</w:t>
      </w:r>
    </w:p>
    <w:p w:rsidR="00CF6655" w:rsidRDefault="00CF6655" w:rsidP="00CF6655">
      <w:pPr>
        <w:pStyle w:val="Text"/>
      </w:pPr>
      <w:r>
        <w:t>Aber die Missionare trugen auch aktiv zur Niederhaltung der Schwarzen bei, indem sie selbständig agierende Personen, potentielle Führungspersönlic</w:t>
      </w:r>
      <w:r>
        <w:t>h</w:t>
      </w:r>
      <w:r>
        <w:t>keiten, kontrollierten und, wenn nötig, zerstörten. Dies zeigt das Beispiel des Schulgehilfen (</w:t>
      </w:r>
      <w:r w:rsidR="00F44641">
        <w:t>also</w:t>
      </w:r>
      <w:r>
        <w:t xml:space="preserve"> schwarzen Schullehrers) Franz</w:t>
      </w:r>
      <w:r w:rsidR="00363C1C">
        <w:fldChar w:fldCharType="begin"/>
      </w:r>
      <w:r w:rsidR="00F44641">
        <w:instrText xml:space="preserve"> XE "</w:instrText>
      </w:r>
      <w:r w:rsidR="00F44641" w:rsidRPr="00B4511A">
        <w:instrText>Franz (Schul</w:instrText>
      </w:r>
      <w:r w:rsidR="00AB383B">
        <w:instrText>lehrer</w:instrText>
      </w:r>
      <w:r w:rsidR="00F44641" w:rsidRPr="00B4511A">
        <w:instrText xml:space="preserve"> in Windhuk)</w:instrText>
      </w:r>
      <w:r w:rsidR="00F44641">
        <w:instrText xml:space="preserve">" </w:instrText>
      </w:r>
      <w:r w:rsidR="00363C1C">
        <w:fldChar w:fldCharType="end"/>
      </w:r>
      <w:r>
        <w:t xml:space="preserve">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der zugleich das wichtige Amt des Werftältesten der dortigen Bergdamrawerft inne hatte. Spi</w:t>
      </w:r>
      <w:r>
        <w:t>e</w:t>
      </w:r>
      <w:r>
        <w:t>cker urteilt sehr positiv über ihn,</w:t>
      </w:r>
      <w:r>
        <w:rPr>
          <w:rStyle w:val="Funotenzeichen"/>
        </w:rPr>
        <w:footnoteReference w:id="189"/>
      </w:r>
      <w:r>
        <w:t xml:space="preserve"> und vom damaligen Präses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xml:space="preserve"> wird Franz als „ein hochbegabter Mensch, wohl der tüchtigste von allen unsern Schulge</w:t>
      </w:r>
      <w:r w:rsidR="00AB383B">
        <w:softHyphen/>
      </w:r>
      <w:r>
        <w:t>hülfen im ganzen Land“ bezeichnet, der ein „gewähltes Deutsch“ spricht, bei Gerichtsprozessen dolmetscht und von den Weißen als ihresgleichen behandelt wird. Doch er widersetzt sich Entscheidungen der Missionare und agiert insg</w:t>
      </w:r>
      <w:r>
        <w:t>e</w:t>
      </w:r>
      <w:r>
        <w:t>samt zu selbständig; auch wird er verdächtigt, die Schwarzen zum Zylinderhu</w:t>
      </w:r>
      <w:r>
        <w:t>t</w:t>
      </w:r>
      <w:r>
        <w:t>tragen angestiftet zu haben, das die Missionare als symbolischen Widerstand g</w:t>
      </w:r>
      <w:r>
        <w:t>e</w:t>
      </w:r>
      <w:r>
        <w:t>gen ihre Autorität empfinden. Ende April 1913 wird Franz</w:t>
      </w:r>
      <w:r w:rsidR="00363C1C">
        <w:fldChar w:fldCharType="begin"/>
      </w:r>
      <w:r w:rsidR="00F44641">
        <w:instrText xml:space="preserve"> XE "</w:instrText>
      </w:r>
      <w:r w:rsidR="00F44641" w:rsidRPr="00B4511A">
        <w:instrText>Franz (Schul</w:instrText>
      </w:r>
      <w:r w:rsidR="00AB383B">
        <w:instrText>lehrer</w:instrText>
      </w:r>
      <w:r w:rsidR="00F44641" w:rsidRPr="00B4511A">
        <w:instrText xml:space="preserve"> in Windhuk)</w:instrText>
      </w:r>
      <w:r w:rsidR="00F44641">
        <w:instrText xml:space="preserve">" </w:instrText>
      </w:r>
      <w:r w:rsidR="00363C1C">
        <w:fldChar w:fldCharType="end"/>
      </w:r>
      <w:r>
        <w:t xml:space="preserve"> schließlich als Schu</w:t>
      </w:r>
      <w:r>
        <w:t>l</w:t>
      </w:r>
      <w:r>
        <w:t>gehilfe entlassen.</w:t>
      </w:r>
      <w:r>
        <w:rPr>
          <w:rStyle w:val="Funotenzeichen"/>
        </w:rPr>
        <w:footnoteReference w:id="190"/>
      </w:r>
    </w:p>
    <w:p w:rsidR="00CF6655" w:rsidRDefault="00CF6655" w:rsidP="00CF6655">
      <w:pPr>
        <w:pStyle w:val="Text"/>
      </w:pPr>
      <w:r>
        <w:t>Obwohl es verschiedene Vorwürfe gegen ihn gibt, scheint das Hauptverg</w:t>
      </w:r>
      <w:r>
        <w:t>e</w:t>
      </w:r>
      <w:r>
        <w:t>hen von Franz darin bestanden zu haben, die absolute Autorität der Mission nicht anzuerkennen. So stellt er offen den Ausschluss der Schwarzen von der Missionarsposition, also der Gemeindeleitung, in Frage. Und die Opposition von Franz gegen die Mission hört mit seiner Absetzung nicht auf: Er verhindert den Schulbesuch der Kinder und sagt in Abwesenheit der Missionare die Gotte</w:t>
      </w:r>
      <w:r>
        <w:t>s</w:t>
      </w:r>
      <w:r>
        <w:t>dienste ab. Die Mission wendet sich an den Gouverneur persönlich um Hilfe, der ihnen jedoch Verhandlungen mit Franz empfiehlt! Die Missionare fühlen sich jetzt „völlig recht- und schutzlos“. Doch erst als Franz weitere Aktivitäten en</w:t>
      </w:r>
      <w:r>
        <w:t>t</w:t>
      </w:r>
      <w:r>
        <w:t xml:space="preserve">faltet, die auch der Regierung bedrohlich erscheinen – so macht er deutlich, dass </w:t>
      </w:r>
      <w:r>
        <w:lastRenderedPageBreak/>
        <w:t>er Oberhäuptling aller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werden wolle, und greift in Rechtsstreitigke</w:t>
      </w:r>
      <w:r>
        <w:t>i</w:t>
      </w:r>
      <w:r>
        <w:t>ten ein –, wird er im November 1913 mitsamt seiner Familie nach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deportiert.</w:t>
      </w:r>
    </w:p>
    <w:p w:rsidR="00CF6655" w:rsidRDefault="00CF6655" w:rsidP="00CF6655">
      <w:pPr>
        <w:pStyle w:val="Text"/>
      </w:pPr>
      <w:r>
        <w:t>Auch wenn die Mission froh ist, dass die Deportation nicht unmittelbar nach ihrem Konflikt mit Franz hin erfolgte, hat sie doch entscheidend zur Esk</w:t>
      </w:r>
      <w:r>
        <w:t>a</w:t>
      </w:r>
      <w:r>
        <w:t>lation beigetragen; als sich Franz</w:t>
      </w:r>
      <w:r w:rsidR="00363C1C">
        <w:fldChar w:fldCharType="begin"/>
      </w:r>
      <w:r w:rsidR="00201B2A">
        <w:instrText xml:space="preserve"> XE "</w:instrText>
      </w:r>
      <w:r w:rsidR="00201B2A" w:rsidRPr="00E94189">
        <w:instrText>Franz (</w:instrText>
      </w:r>
      <w:r w:rsidR="00201B2A" w:rsidRPr="00B4511A">
        <w:instrText>Schul</w:instrText>
      </w:r>
      <w:r w:rsidR="00201B2A">
        <w:instrText>lehrer</w:instrText>
      </w:r>
      <w:r w:rsidR="00201B2A" w:rsidRPr="00B4511A">
        <w:instrText xml:space="preserve"> </w:instrText>
      </w:r>
      <w:r w:rsidR="00201B2A" w:rsidRPr="00E94189">
        <w:instrText>in Windhuk)</w:instrText>
      </w:r>
      <w:r w:rsidR="00201B2A">
        <w:instrText xml:space="preserve">" </w:instrText>
      </w:r>
      <w:r w:rsidR="00363C1C">
        <w:fldChar w:fldCharType="end"/>
      </w:r>
      <w:r>
        <w:t xml:space="preserve"> schließlich schuldig bekennt und um Versö</w:t>
      </w:r>
      <w:r>
        <w:t>h</w:t>
      </w:r>
      <w:r>
        <w:t>nung bittet, verweigert sie diese. Interessant ist auch hier die Begründung, die eine paternalistische</w:t>
      </w:r>
      <w:r w:rsidR="00363C1C">
        <w:fldChar w:fldCharType="begin"/>
      </w:r>
      <w:r w:rsidR="00566F67">
        <w:instrText xml:space="preserve"> XE "</w:instrText>
      </w:r>
      <w:r w:rsidR="00566F67" w:rsidRPr="009A6CCE">
        <w:instrText>Paternalismus</w:instrText>
      </w:r>
      <w:r w:rsidR="00566F67">
        <w:instrText xml:space="preserve">" </w:instrText>
      </w:r>
      <w:r w:rsidR="00363C1C">
        <w:fldChar w:fldCharType="end"/>
      </w:r>
      <w:r>
        <w:t xml:space="preserve"> Sprache spricht: „Es ist lediglich eine Angstbekehrung, die keinen Wert hat“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Die Mission verlangte die tatsächliche, und nicht nur formale, Unterwerfung der Menschen – mit Leib und Seele.</w:t>
      </w:r>
      <w:r>
        <w:rPr>
          <w:rStyle w:val="Funotenzeichen"/>
        </w:rPr>
        <w:footnoteReference w:id="191"/>
      </w:r>
    </w:p>
    <w:p w:rsidR="00CF6655" w:rsidRDefault="00CF6655" w:rsidP="009F2254">
      <w:pPr>
        <w:pStyle w:val="Titel4"/>
      </w:pPr>
      <w:bookmarkStart w:id="306" w:name="_Toc130260742"/>
      <w:bookmarkStart w:id="307" w:name="_Ref325357706"/>
      <w:bookmarkStart w:id="308" w:name="_Toc327388042"/>
      <w:r>
        <w:t>‚Double bind‘</w:t>
      </w:r>
      <w:bookmarkEnd w:id="306"/>
      <w:bookmarkEnd w:id="307"/>
      <w:bookmarkEnd w:id="308"/>
    </w:p>
    <w:p w:rsidR="00CF6655" w:rsidRDefault="00CF6655" w:rsidP="009F2254">
      <w:pPr>
        <w:pStyle w:val="Text"/>
        <w:ind w:firstLine="0"/>
      </w:pPr>
      <w:r>
        <w:t>Bei den Vertragsabschlüssen von 1884</w:t>
      </w:r>
      <w:r>
        <w:softHyphen/>
        <w:t>–85, die zur Gründung der „Schutzgebi</w:t>
      </w:r>
      <w:r>
        <w:t>e</w:t>
      </w:r>
      <w:r>
        <w:t>te“ führte, spielte die Mission die ausschlaggebende Rolle:</w:t>
      </w:r>
    </w:p>
    <w:p w:rsidR="00CF6655" w:rsidRDefault="00CF6655" w:rsidP="00CF6655">
      <w:pPr>
        <w:pStyle w:val="Zitat"/>
      </w:pPr>
      <w:r>
        <w:t>Unter Vermittlung eines rheinischen Missionars verkaufte der Topnaarhäupt</w:t>
      </w:r>
      <w:r w:rsidR="004D0AD1">
        <w:softHyphen/>
      </w:r>
      <w:r>
        <w:t>ling Piet Haibib</w:t>
      </w:r>
      <w:r w:rsidR="00363C1C">
        <w:fldChar w:fldCharType="begin"/>
      </w:r>
      <w:r w:rsidR="00D069F9">
        <w:instrText xml:space="preserve"> XE "</w:instrText>
      </w:r>
      <w:r w:rsidR="00D069F9" w:rsidRPr="00367EEA">
        <w:instrText>Haibib, Piet</w:instrText>
      </w:r>
      <w:r w:rsidR="00D069F9">
        <w:instrText xml:space="preserve">" </w:instrText>
      </w:r>
      <w:r w:rsidR="00363C1C">
        <w:fldChar w:fldCharType="end"/>
      </w:r>
      <w:r>
        <w:t xml:space="preserve"> den Küstenstreifen, der die Walfischbai umschloß, an die Ve</w:t>
      </w:r>
      <w:r>
        <w:t>r</w:t>
      </w:r>
      <w:r>
        <w:t>treter der Firma Lüderitz</w:t>
      </w:r>
      <w:r w:rsidR="00363C1C">
        <w:fldChar w:fldCharType="begin"/>
      </w:r>
      <w:r w:rsidR="00FE3CDD">
        <w:instrText xml:space="preserve"> XE "</w:instrText>
      </w:r>
      <w:r w:rsidR="00FE3CDD" w:rsidRPr="00CD3355">
        <w:instrText>Lüderitz, Adolf</w:instrText>
      </w:r>
      <w:r w:rsidR="00FE3CDD">
        <w:instrText xml:space="preserve">" </w:instrText>
      </w:r>
      <w:r w:rsidR="00363C1C">
        <w:fldChar w:fldCharType="end"/>
      </w:r>
      <w:r>
        <w:t>. Bei dem ersten Vertrag zwischen der deutschen K</w:t>
      </w:r>
      <w:r>
        <w:t>o</w:t>
      </w:r>
      <w:r>
        <w:t>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und den Rehobothern am 11.10.1884 hatte das Gutachten der Mission, „daß man diesen Herren volles Vertrauen schenken“ könne, den Au</w:t>
      </w:r>
      <w:r>
        <w:t>s</w:t>
      </w:r>
      <w:r>
        <w:t>schlag zugunsten der Deutschen gegenüber vorangegangener englischer Prop</w:t>
      </w:r>
      <w:r>
        <w:t>a</w:t>
      </w:r>
      <w:r>
        <w:t>ganda gegeben. Beim Vertrag mit den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von Bethanien</w:t>
      </w:r>
      <w:r w:rsidR="00363C1C">
        <w:fldChar w:fldCharType="begin"/>
      </w:r>
      <w:r w:rsidR="001F21DF">
        <w:instrText xml:space="preserve"> XE "</w:instrText>
      </w:r>
      <w:r w:rsidR="001F21DF" w:rsidRPr="001F21DF">
        <w:instrText>Bethanien</w:instrText>
      </w:r>
      <w:r w:rsidR="001F21DF">
        <w:instrText xml:space="preserve">" </w:instrText>
      </w:r>
      <w:r w:rsidR="00363C1C">
        <w:fldChar w:fldCharType="end"/>
      </w:r>
      <w:r>
        <w:t xml:space="preserve"> (28.10.1884) übe</w:t>
      </w:r>
      <w:r>
        <w:t>r</w:t>
      </w:r>
      <w:r>
        <w:t>redete der Missionar Bam</w:t>
      </w:r>
      <w:r w:rsidR="00363C1C">
        <w:fldChar w:fldCharType="begin"/>
      </w:r>
      <w:r w:rsidR="00FE3CDD">
        <w:instrText xml:space="preserve"> XE "</w:instrText>
      </w:r>
      <w:r w:rsidR="00FE3CDD" w:rsidRPr="002B3198">
        <w:instrText>Bam, Johannes</w:instrText>
      </w:r>
      <w:r w:rsidR="00FE3CDD">
        <w:instrText xml:space="preserve">" </w:instrText>
      </w:r>
      <w:r w:rsidR="00363C1C">
        <w:fldChar w:fldCharType="end"/>
      </w:r>
      <w:r>
        <w:t xml:space="preserve"> den zögernden Capitein zu einem schnellen Ve</w:t>
      </w:r>
      <w:r>
        <w:t>r</w:t>
      </w:r>
      <w:r>
        <w:t>tragsabschluß.</w:t>
      </w:r>
      <w:r>
        <w:rPr>
          <w:rStyle w:val="Funotenzeichen"/>
        </w:rPr>
        <w:footnoteReference w:id="192"/>
      </w:r>
    </w:p>
    <w:p w:rsidR="00CF6655" w:rsidRDefault="00CF6655" w:rsidP="009F2254">
      <w:pPr>
        <w:pStyle w:val="Text"/>
        <w:ind w:firstLine="0"/>
      </w:pPr>
      <w:r>
        <w:t>Auch die Verträge mit Maharero</w:t>
      </w:r>
      <w:r w:rsidR="00363C1C">
        <w:fldChar w:fldCharType="begin"/>
      </w:r>
      <w:r w:rsidR="008F56BD">
        <w:instrText xml:space="preserve"> XE "</w:instrText>
      </w:r>
      <w:r w:rsidR="008F56BD" w:rsidRPr="00711B87">
        <w:instrText>Maharero, Samuel</w:instrText>
      </w:r>
      <w:r w:rsidR="008F56BD">
        <w:instrText xml:space="preserve">" </w:instrText>
      </w:r>
      <w:r w:rsidR="00363C1C">
        <w:fldChar w:fldCharType="end"/>
      </w:r>
      <w:r>
        <w:t>, dem Großhäuptling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(21.10.1885), kamen mit Hilfe eines Missionars, nämlich des früheren Hereromissionars Hugo Hahn</w:t>
      </w:r>
      <w:r w:rsidR="00363C1C">
        <w:fldChar w:fldCharType="begin"/>
      </w:r>
      <w:r w:rsidR="00000EFB">
        <w:instrText xml:space="preserve"> XE "</w:instrText>
      </w:r>
      <w:r w:rsidR="00000EFB" w:rsidRPr="006775D2">
        <w:instrText>Hahn, Hugo</w:instrText>
      </w:r>
      <w:r w:rsidR="00000EFB">
        <w:instrText xml:space="preserve">" </w:instrText>
      </w:r>
      <w:r w:rsidR="00363C1C">
        <w:fldChar w:fldCharType="end"/>
      </w:r>
      <w:r>
        <w:t>, zustande. Bei all diesen Vertragsabschlüssen war die Mission mehr als nur Vermittler: Man drängte die Häuptlinge zum Vertragsabschluss und machte den aus langjähriger Bekanntschaft herrührenden persönlichen Einfluss geltend.</w:t>
      </w:r>
      <w:r>
        <w:rPr>
          <w:rStyle w:val="Funotenzeichen"/>
        </w:rPr>
        <w:footnoteReference w:id="193"/>
      </w:r>
    </w:p>
    <w:p w:rsidR="00CF6655" w:rsidRDefault="00CF6655" w:rsidP="00CF6655">
      <w:pPr>
        <w:pStyle w:val="Text"/>
      </w:pPr>
      <w:r>
        <w:t>Man kann der Mission hier vorwerfen, dass sie ihre Rolle als Vertrauensi</w:t>
      </w:r>
      <w:r>
        <w:t>n</w:t>
      </w:r>
      <w:r>
        <w:t>stanz missbraucht habe. Zugleich handelte sie vermutlich im Glauben, das Beste für ihre ‚Schäfchen‘ zu tun. Und doch bleibt die Frage: Konnte sie ihre eigene Eingebundenheit in das koloniale Unternehmen denn nicht sehen? Die nation</w:t>
      </w:r>
      <w:r>
        <w:t>a</w:t>
      </w:r>
      <w:r>
        <w:t xml:space="preserve">len Töne, die angesichts der Gründung der Kolonien laut wurden, sprechen hier eine andere Sprache. So begrüßte die Missionsleitung „von ganzem Herzen, </w:t>
      </w:r>
      <w:proofErr w:type="gramStart"/>
      <w:r>
        <w:t>dass</w:t>
      </w:r>
      <w:proofErr w:type="gramEnd"/>
      <w:r>
        <w:t xml:space="preserve"> das wieder geeinte und erstarkte Deutschland nun auch angefangen hat, […] A</w:t>
      </w:r>
      <w:r>
        <w:t>n</w:t>
      </w:r>
      <w:r>
        <w:t>teil zu nehmen an der großen Weltherrschaft Europas“.</w:t>
      </w:r>
      <w:r>
        <w:rPr>
          <w:rStyle w:val="Funotenzeichen"/>
        </w:rPr>
        <w:footnoteReference w:id="194"/>
      </w:r>
    </w:p>
    <w:p w:rsidR="00CF6655" w:rsidRDefault="00CF6655" w:rsidP="00CF6655">
      <w:pPr>
        <w:pStyle w:val="Text"/>
      </w:pPr>
      <w:r>
        <w:lastRenderedPageBreak/>
        <w:t>Die Analyse muss daher lauten, dass die Mission aufgrund ihrer ideolog</w:t>
      </w:r>
      <w:r>
        <w:t>i</w:t>
      </w:r>
      <w:r>
        <w:t>schen Verortung einerseits das Kolonialstreben Deutschlands, andererseits den Überlegenheitsdünkel und das beanspruchte ‚Zivilisationsmonopol‘ Europas vollständig mittrug. Erstaunlich ist dabei weniger, dass sie sich nicht gänzlich aus diesen Haltungen lösen konnte – das gelang zur selben Zeit in Deutschland ja auch nur einer Minderheit am linken Ende des politischen Spektrums –, sondern dass keine stärkeren Widersprüche mit den Forderungen der christlichen Relig</w:t>
      </w:r>
      <w:r>
        <w:t>i</w:t>
      </w:r>
      <w:r>
        <w:t>on empfunden wurden.</w:t>
      </w:r>
    </w:p>
    <w:p w:rsidR="00CF6655" w:rsidRDefault="00CF6655" w:rsidP="00CF6655">
      <w:pPr>
        <w:pStyle w:val="Text"/>
      </w:pPr>
      <w:r>
        <w:t>Besonders interessant ist in diesem Zusammenhang die Frage der Veran</w:t>
      </w:r>
      <w:r>
        <w:t>t</w:t>
      </w:r>
      <w:r>
        <w:t>wortlichkeit, da hier ein „double bind</w:t>
      </w:r>
      <w:r w:rsidR="00363C1C">
        <w:fldChar w:fldCharType="begin"/>
      </w:r>
      <w:r w:rsidR="00000EFB">
        <w:instrText xml:space="preserve"> XE "</w:instrText>
      </w:r>
      <w:r w:rsidR="00000EFB" w:rsidRPr="00753F31">
        <w:instrText>double bind</w:instrText>
      </w:r>
      <w:r w:rsidR="00000EFB">
        <w:instrText xml:space="preserve">" </w:instrText>
      </w:r>
      <w:r w:rsidR="00363C1C">
        <w:fldChar w:fldCharType="end"/>
      </w:r>
      <w:r>
        <w:t>“ entstanden war. Ähnlich wie die Kolon</w:t>
      </w:r>
      <w:r>
        <w:t>i</w:t>
      </w:r>
      <w:r>
        <w:t>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befand sich die Mission in einem tiefen Interessenskonflikt, ohne sich dies klar einzugestehen: Einerseits waren die Missionare, die ja faktisch die Rolle von Pfarrern ausübten</w:t>
      </w:r>
      <w:r>
        <w:rPr>
          <w:rStyle w:val="Funotenzeichen"/>
        </w:rPr>
        <w:footnoteReference w:id="195"/>
      </w:r>
      <w:r>
        <w:t xml:space="preserve"> und dazu gelegentlich die von Bürgermeistern und sogar Gesetzgebern</w:t>
      </w:r>
      <w:r>
        <w:rPr>
          <w:rStyle w:val="Funotenzeichen"/>
        </w:rPr>
        <w:footnoteReference w:id="196"/>
      </w:r>
      <w:r>
        <w:t xml:space="preserve"> spielten, natürlich ihren Gemeindemitgliedern ve</w:t>
      </w:r>
      <w:r>
        <w:t>r</w:t>
      </w:r>
      <w:r>
        <w:t xml:space="preserve">pflichtet; andererseits war man </w:t>
      </w:r>
      <w:r>
        <w:rPr>
          <w:i/>
          <w:iCs/>
        </w:rPr>
        <w:t xml:space="preserve">verantwortlich </w:t>
      </w:r>
      <w:r>
        <w:t>nur der Missionsleitung in Deutschland, den Spendern der Missionsvereine, der Kirche und letztlich auch dem Staat, dessen Bürger man war.</w:t>
      </w:r>
    </w:p>
    <w:p w:rsidR="00CF6655" w:rsidRDefault="00CF6655" w:rsidP="00CF6655">
      <w:pPr>
        <w:pStyle w:val="Text"/>
      </w:pPr>
      <w:r>
        <w:t>Solange Deutschland weit weg und man in Afrika nur zu Gast war, war di</w:t>
      </w:r>
      <w:r>
        <w:t>e</w:t>
      </w:r>
      <w:r>
        <w:t>se Situation noch nicht allzu problematisch. Doch spätestens bei der Frage der Vertragsschließungen hätte es der Mission auffallen müssen, dass sie hier übe</w:t>
      </w:r>
      <w:r>
        <w:t>r</w:t>
      </w:r>
      <w:r>
        <w:t>haupt nicht als Vermittler in Frage kam, da sie nicht objektiv sein konnte. Man verstand offenbar nicht, dass man, wenn man gleichzeitig ein guter Deutscher und ein guter Hirte für seine neugewonnenen Gemeindemitglieder sein wollte, Probleme bekommen konnte. Dieses Unverständnis hat die Mission in ein D</w:t>
      </w:r>
      <w:r>
        <w:t>i</w:t>
      </w:r>
      <w:r>
        <w:t>lemma geführt, in dem sie am Ende versagte, als sie diejenigen, die sie zunächst mit der christlichen Botschaft auf ihren Stationen angesiedelt und später unter deutsche Herrschaft gebracht hatte, nach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und Flucht wiederum mit Hilfe ihres Vertrauensvorschusses „einsammelte“ – in dem Wissen, dass sie in Konzentrationslager</w:t>
      </w:r>
      <w:r w:rsidR="00363C1C">
        <w:fldChar w:fldCharType="begin"/>
      </w:r>
      <w:r w:rsidR="00C221A5">
        <w:instrText xml:space="preserve"> XE "</w:instrText>
      </w:r>
      <w:r w:rsidR="00C221A5" w:rsidRPr="00B24F31">
        <w:instrText>Konzentrationslager</w:instrText>
      </w:r>
      <w:r w:rsidR="00C221A5">
        <w:instrText xml:space="preserve">" </w:instrText>
      </w:r>
      <w:r w:rsidR="00363C1C">
        <w:fldChar w:fldCharType="end"/>
      </w:r>
      <w:r>
        <w:t xml:space="preserve"> gebracht wurden, die für viele den Tod bedeuteten.</w:t>
      </w:r>
      <w:r>
        <w:rPr>
          <w:rStyle w:val="Funotenzeichen"/>
        </w:rPr>
        <w:footnoteReference w:id="197"/>
      </w:r>
      <w:r>
        <w:t xml:space="preserve"> Ihr Versagen bestand darin, dass sie auch in dieser Situation – bei allem Einsatz für die Gefangenen, wofür Spiecker ein Beispiel ist</w:t>
      </w:r>
      <w:r>
        <w:rPr>
          <w:rStyle w:val="Funotenzeichen"/>
        </w:rPr>
        <w:footnoteReference w:id="198"/>
      </w:r>
      <w:r>
        <w:t xml:space="preserve"> – nicht verstand, dass sie sich im „double bind</w:t>
      </w:r>
      <w:r w:rsidR="00363C1C">
        <w:fldChar w:fldCharType="begin"/>
      </w:r>
      <w:r w:rsidR="00000EFB">
        <w:instrText xml:space="preserve"> XE "</w:instrText>
      </w:r>
      <w:r w:rsidR="00000EFB" w:rsidRPr="00753F31">
        <w:instrText>double bind</w:instrText>
      </w:r>
      <w:r w:rsidR="00000EFB">
        <w:instrText xml:space="preserve">" </w:instrText>
      </w:r>
      <w:r w:rsidR="00363C1C">
        <w:fldChar w:fldCharType="end"/>
      </w:r>
      <w:r>
        <w:t>“ befand, sondern sich lieber einredete, was gut sei für Deutsc</w:t>
      </w:r>
      <w:r>
        <w:t>h</w:t>
      </w:r>
      <w:r>
        <w:t>land sei auch gut für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w:t>
      </w:r>
    </w:p>
    <w:p w:rsidR="00CF6655" w:rsidRDefault="00CF6655" w:rsidP="009F2254">
      <w:pPr>
        <w:pStyle w:val="Titel3"/>
      </w:pPr>
      <w:bookmarkStart w:id="309" w:name="_Toc122313647"/>
      <w:bookmarkStart w:id="310" w:name="_Toc122313735"/>
      <w:bookmarkStart w:id="311" w:name="_Toc130260743"/>
      <w:bookmarkStart w:id="312" w:name="_Ref325357364"/>
      <w:bookmarkStart w:id="313" w:name="_Ref325357419"/>
      <w:bookmarkStart w:id="314" w:name="_Toc327388043"/>
      <w:bookmarkEnd w:id="286"/>
      <w:bookmarkEnd w:id="287"/>
      <w:r>
        <w:lastRenderedPageBreak/>
        <w:t>Die „Eingeborenenfrage“</w:t>
      </w:r>
      <w:bookmarkEnd w:id="309"/>
      <w:bookmarkEnd w:id="310"/>
      <w:bookmarkEnd w:id="311"/>
      <w:bookmarkEnd w:id="312"/>
      <w:bookmarkEnd w:id="313"/>
      <w:bookmarkEnd w:id="314"/>
    </w:p>
    <w:p w:rsidR="00CF6655" w:rsidRDefault="00CF6655" w:rsidP="009F2254">
      <w:pPr>
        <w:pStyle w:val="Text"/>
        <w:ind w:firstLine="0"/>
      </w:pPr>
      <w:r>
        <w:t>Die Gegensätze in der Eingeborenenfrage sind groß, wie sich beispielhaft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zeigt, wo Spiecker bei Leutnant Stübel zu Besuch ist: „Ich sprach die Hoffnung aus, daß nie ein neuer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ausbrechen werde, wenn die Eingeb</w:t>
      </w:r>
      <w:r>
        <w:t>o</w:t>
      </w:r>
      <w:r>
        <w:t>renen gut behandelt würden. Daran habe es vor dem Aufstand sehr gefehlt. Die Officiere meinten, die Eingeborenen seien vor dem Aufstand verhätschelt wo</w:t>
      </w:r>
      <w:r>
        <w:t>r</w:t>
      </w:r>
      <w:r>
        <w:t>den.“ (849) Bei diesem Treffen beobachtet Spiecker auch ein Interesse der Mil</w:t>
      </w:r>
      <w:r>
        <w:t>i</w:t>
      </w:r>
      <w:r>
        <w:t>tärs an der Fortsetzung des Krieges. Er hofft, dass „kein Feldzug gegen die Ovambo unternommen würde“ und „der Krieg beendigt sei“, fügt aber hinzu: „Das ist natürlich nicht ganz nach dem Sinn der Officiere, die im Krieg am be</w:t>
      </w:r>
      <w:r>
        <w:t>s</w:t>
      </w:r>
      <w:r>
        <w:t>ten vorwärts kommen.“ (850) Die häufig feststellbaren starken Differenzen zur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in der „Eingeborenenfrage“ dürften dabei mehr in Spieckers persönlicher Position als in der Haltung der Mission begründet liegen.</w:t>
      </w:r>
      <w:r>
        <w:rPr>
          <w:rStyle w:val="Funotenzeichen"/>
        </w:rPr>
        <w:footnoteReference w:id="199"/>
      </w:r>
    </w:p>
    <w:p w:rsidR="00CF6655" w:rsidRDefault="00CF6655" w:rsidP="00CF6655">
      <w:pPr>
        <w:pStyle w:val="Text"/>
      </w:pPr>
      <w:r>
        <w:t>Wenn es um das Verhalten der Eingeborenen geht, wird mit zweierlei Maß gemessen, was auch Spiecker auffällt. Er selbst kritisiert nicht nur die Eingeb</w:t>
      </w:r>
      <w:r>
        <w:t>o</w:t>
      </w:r>
      <w:r>
        <w:t>renen, sondern auch die weißen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xml:space="preserve"> (Deutsche wie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Dass nicht alle wie Spiecker denken, zeigt sich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„Mit Br. Blecher</w:t>
      </w:r>
      <w:r w:rsidR="00363C1C">
        <w:fldChar w:fldCharType="begin"/>
      </w:r>
      <w:r w:rsidR="00FD439D">
        <w:instrText xml:space="preserve"> XE "</w:instrText>
      </w:r>
      <w:r w:rsidR="00FD439D" w:rsidRPr="00654614">
        <w:instrText>Blecher, Geschw.</w:instrText>
      </w:r>
      <w:r w:rsidR="00FD439D">
        <w:instrText xml:space="preserve">" </w:instrText>
      </w:r>
      <w:r w:rsidR="00363C1C">
        <w:fldChar w:fldCharType="end"/>
      </w:r>
      <w:r>
        <w:t xml:space="preserve"> hatte ich einen etwas unangenehmen Zusammenstoß wegen seiner politischen Anschauungen. Er pocht mir etwas sehr auf sein Deutschtum und vergißt, wie wenig sich gerade hier im Lande die lieben deutschen Landsleute im besten Lichte gezeigt haben. […] Daß die Namaqua und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nur empfangen, was ihre Taten wert sind, ist ihm selbstverständlich. Hierüber kam ich mit dem sonst so lieben Bruder heft</w:t>
      </w:r>
      <w:r>
        <w:t>i</w:t>
      </w:r>
      <w:r>
        <w:t>ger an einander als mir lieb war.“ (861f) Blechers Einstellung macht deutlich, w</w:t>
      </w:r>
      <w:r>
        <w:t>a</w:t>
      </w:r>
      <w:r>
        <w:t>rum sich die Missionare der brutalen Eingeborenenpolitik während und nach dem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rPr>
          <w:rStyle w:val="Funotenzeichen"/>
        </w:rPr>
        <w:footnoteReference w:id="200"/>
      </w:r>
      <w:r>
        <w:t xml:space="preserve"> nicht entschiedener widersetzten.</w:t>
      </w:r>
    </w:p>
    <w:p w:rsidR="00CF6655" w:rsidRDefault="00CF6655" w:rsidP="00CF6655">
      <w:pPr>
        <w:pStyle w:val="Text"/>
      </w:pPr>
      <w:r>
        <w:lastRenderedPageBreak/>
        <w:t>Da die Militärs die Eingeborenen ganz offensichtlich verachten, kann man ihnen gegenüber mit der schrecklichen Dezimierung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auch der Zivi</w:t>
      </w:r>
      <w:r>
        <w:t>l</w:t>
      </w:r>
      <w:r>
        <w:t>bevölkerung, schlecht argumentieren.</w:t>
      </w:r>
      <w:r>
        <w:rPr>
          <w:rStyle w:val="Funotenzeichen"/>
        </w:rPr>
        <w:footnoteReference w:id="201"/>
      </w:r>
      <w:r>
        <w:t xml:space="preserve"> Besser geht es so: „Ich sagte ihnen aber, daß mir der deutsche Soldat und besonders der Officier zu schade seien für einen Krieg gegen einen militairisch so minderwertigen Feind. Das leuchtete ihnen schon mehr ein.“ (850) Das Argument, die Herero seien zu minderwertig, um von den deutschen Soldaten abgeschlachtet zu werden, fällt bei den wilhelm</w:t>
      </w:r>
      <w:r>
        <w:t>i</w:t>
      </w:r>
      <w:r>
        <w:t>nisch selbstbewussten Soldaten offenbar auf fruchtbaren Boden. Dass sie sich, wenn sie diese strategische Schmeichelei ernstnehmen, vermutlich überschätzen, zeigt das Urteil des 1904 abberufenen Gouverneurs Theodor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xml:space="preserve"> über Henrik Witb</w:t>
      </w:r>
      <w:r w:rsidR="00232E82">
        <w:t>o</w:t>
      </w:r>
      <w:r>
        <w:t>oi</w:t>
      </w:r>
      <w:r w:rsidR="00363C1C">
        <w:fldChar w:fldCharType="begin"/>
      </w:r>
      <w:r w:rsidR="007866A1">
        <w:instrText xml:space="preserve"> XE "</w:instrText>
      </w:r>
      <w:r w:rsidR="007866A1" w:rsidRPr="006A1B36">
        <w:instrText>Witb</w:instrText>
      </w:r>
      <w:r w:rsidR="00232E82">
        <w:instrText>o</w:instrText>
      </w:r>
      <w:r w:rsidR="007866A1" w:rsidRPr="006A1B36">
        <w:instrText>oi, Hendrik</w:instrText>
      </w:r>
      <w:r w:rsidR="007866A1">
        <w:instrText xml:space="preserve">" </w:instrText>
      </w:r>
      <w:r w:rsidR="00363C1C">
        <w:fldChar w:fldCharType="end"/>
      </w:r>
      <w:r>
        <w:t xml:space="preserve"> und seine Leute, der Witb</w:t>
      </w:r>
      <w:r w:rsidR="00232E82">
        <w:t>o</w:t>
      </w:r>
      <w:r>
        <w:t>ois „hartnäckige[n] Widerstand g</w:t>
      </w:r>
      <w:r>
        <w:t>e</w:t>
      </w:r>
      <w:r>
        <w:t>gen das mächtige Deutsche Reich an der Spitze einer kleinen, kriegsgewandten, aber ebenso zerlumpten, wie bettelhaften Schar“ widerstrebend anerkennen musste.</w:t>
      </w:r>
      <w:r>
        <w:rPr>
          <w:rStyle w:val="Funotenzeichen"/>
        </w:rPr>
        <w:footnoteReference w:id="202"/>
      </w:r>
    </w:p>
    <w:p w:rsidR="00CF6655" w:rsidRDefault="00CF6655" w:rsidP="009F2254">
      <w:pPr>
        <w:pStyle w:val="Titel3"/>
      </w:pPr>
      <w:bookmarkStart w:id="315" w:name="_Toc130260744"/>
      <w:bookmarkStart w:id="316" w:name="_Ref325355776"/>
      <w:bookmarkStart w:id="317" w:name="_Ref325356978"/>
      <w:bookmarkStart w:id="318" w:name="_Ref325357221"/>
      <w:bookmarkStart w:id="319" w:name="_Toc327388044"/>
      <w:r>
        <w:t>Friedensvermittlung</w:t>
      </w:r>
      <w:bookmarkEnd w:id="315"/>
      <w:bookmarkEnd w:id="316"/>
      <w:bookmarkEnd w:id="317"/>
      <w:bookmarkEnd w:id="318"/>
      <w:bookmarkEnd w:id="319"/>
    </w:p>
    <w:p w:rsidR="00CF6655" w:rsidRDefault="00CF6655" w:rsidP="009F2254">
      <w:pPr>
        <w:pStyle w:val="Text"/>
        <w:ind w:firstLine="0"/>
      </w:pPr>
      <w:r>
        <w:t>Die Ovamboreise hat auch den Zweck, vielleicht eine Mittlerrolle zwischen K</w:t>
      </w:r>
      <w:r>
        <w:t>o</w:t>
      </w:r>
      <w:r>
        <w:t>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und den dort lebenden Stämmen einnehmen zu können, obwohl Spiecker sich das selbst hartnäckig nicht eingestehen will:</w:t>
      </w:r>
    </w:p>
    <w:p w:rsidR="00CF6655" w:rsidRDefault="00CF6655" w:rsidP="00CF6655">
      <w:pPr>
        <w:pStyle w:val="Zitat"/>
      </w:pPr>
      <w:r>
        <w:t>Ganz ausgeschlossen ist es nicht, daß es mir mit Hilfe der Finnischen Brüder</w:t>
      </w:r>
      <w:r w:rsidR="00363C1C">
        <w:fldChar w:fldCharType="begin"/>
      </w:r>
      <w:r w:rsidR="00BC36F5">
        <w:instrText xml:space="preserve"> XE "</w:instrText>
      </w:r>
      <w:r w:rsidR="00BC36F5" w:rsidRPr="000B62BE">
        <w:instrText>Finnische Brüder (Ovambo</w:instrText>
      </w:r>
      <w:r w:rsidR="00BC36F5">
        <w:instrText>m</w:instrText>
      </w:r>
      <w:r w:rsidR="00BC36F5" w:rsidRPr="000B62BE">
        <w:instrText>ission)</w:instrText>
      </w:r>
      <w:r w:rsidR="00BC36F5">
        <w:instrText xml:space="preserve">" </w:instrText>
      </w:r>
      <w:r w:rsidR="00363C1C">
        <w:fldChar w:fldCharType="end"/>
      </w:r>
      <w:r>
        <w:t xml:space="preserve"> gelingt den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zu bestimmen ein Sühnegeld an die deutsche Regierung zu zahlen. In diesem Fall könnte ich dem deutschen Vaterland und der Mission einen großen Dienst tun. Dies bestimmt mich jedoch in keiner Weise, sondern nur der Gedanke an unsere Missionare und ihre Arbeit. (949)</w:t>
      </w:r>
    </w:p>
    <w:p w:rsidR="00CF6655" w:rsidRDefault="00CF6655" w:rsidP="00B116E6">
      <w:pPr>
        <w:pStyle w:val="Text"/>
        <w:ind w:firstLine="0"/>
      </w:pPr>
      <w:r>
        <w:t>Es geht um den geplanten Ovambofeldzug (850), der so vielleicht noch verhi</w:t>
      </w:r>
      <w:r>
        <w:t>n</w:t>
      </w:r>
      <w:r>
        <w:t>dert werden könnte; Dem Ovambohäuptling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wird die Ermordung des Siedlers Jordan im Jahr 1886 zur Last gelegt. Spiecker hatte aufgrund seiner l</w:t>
      </w:r>
      <w:r>
        <w:t>e</w:t>
      </w:r>
      <w:r>
        <w:t>bensgefährlichen Erkrankung in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xml:space="preserve"> und einem „Anfall von Lungenen</w:t>
      </w:r>
      <w:r>
        <w:t>t</w:t>
      </w:r>
      <w:r>
        <w:t>zündung“ (948), der ihn später auf der Fahrt zwischen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und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ereilt hatte, lange mit sich gekämpft, ob er die Reise antreten sollte (936f, 948ff). Sogar „aus Barmen</w:t>
      </w:r>
      <w:r w:rsidR="00363C1C">
        <w:fldChar w:fldCharType="begin"/>
      </w:r>
      <w:r w:rsidR="00710612">
        <w:instrText xml:space="preserve"> XE "</w:instrText>
      </w:r>
      <w:r w:rsidR="00710612" w:rsidRPr="00433A28">
        <w:instrText>Barmen</w:instrText>
      </w:r>
      <w:r w:rsidR="00710612">
        <w:instrText xml:space="preserve">" </w:instrText>
      </w:r>
      <w:r w:rsidR="00363C1C">
        <w:fldChar w:fldCharType="end"/>
      </w:r>
      <w:r>
        <w:t xml:space="preserve"> kamen in letzter Stunde noch Mahnungen doch ja nicht meine Gesundheit unnötig aufs Spiel zu setzen“ (948).</w:t>
      </w:r>
    </w:p>
    <w:p w:rsidR="00CF6655" w:rsidRDefault="00CF6655" w:rsidP="00CF6655">
      <w:pPr>
        <w:pStyle w:val="Zitat"/>
      </w:pPr>
      <w:r>
        <w:lastRenderedPageBreak/>
        <w:t>Ich fürchte, daß ich etwas versäume, wenn ich die Reise nach dem Amboland unterlasse. Meiner Ansicht nach wünscht der Gouverneur auch sehr, daß ich die Reise mache. Vielleicht gelingt es mir, ihm einen großen Dienst zu leisten durch eine Besprechung mit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Dieser letzte Punkt bestimmt mich aber nicht im </w:t>
      </w:r>
      <w:r w:rsidR="003D245C">
        <w:t>M</w:t>
      </w:r>
      <w:r>
        <w:t>indesten die Reise zu machen. (937)</w:t>
      </w:r>
    </w:p>
    <w:p w:rsidR="00CF6655" w:rsidRDefault="00CF6655" w:rsidP="00B116E6">
      <w:pPr>
        <w:pStyle w:val="Text"/>
        <w:ind w:firstLine="0"/>
      </w:pPr>
      <w:r>
        <w:t>Die wiederholte Ableugnung klingt ein wenig zu forsch, um wahr zu sein. Vie</w:t>
      </w:r>
      <w:r>
        <w:t>l</w:t>
      </w:r>
      <w:r>
        <w:t>leicht will Spiecker sich selbst nicht zugeben, dass er auf politischen ‚Abwegen‘ ist, schließlich hat er ja ausschließlich der Mission zu dienen. Andererseits ist ihm der Schrecken des Krieges zu sehr bewusst und er macht sich Hoffnung, ihn durch ein Eingreifen beenden zu können. Die zweimalige Betonung, er könne vielleicht einen „großen Dienst“ leisten, zeigt: Er ist sich seiner Verhandlungsf</w:t>
      </w:r>
      <w:r>
        <w:t>ä</w:t>
      </w:r>
      <w:r>
        <w:t>higkeiten durchaus bewusst. Wer soll es übernehmen, wenn nicht er? Er weiß, dass er seine Gesundheit riskiert für einen Zweck außerhalb der direkten Miss</w:t>
      </w:r>
      <w:r>
        <w:t>i</w:t>
      </w:r>
      <w:r>
        <w:t>onsarbeit, und das widerspricht seinen Pflichten. Würde er es sich eingestehen, müsste er sich die Reise selbst untersagen, doch dazu ist er nicht bereit. Er hat zuviel Leid und Verwüstung gesehen, um die Chance vorbeigehen zu lassen.</w:t>
      </w:r>
    </w:p>
    <w:p w:rsidR="00CF6655" w:rsidRDefault="00CF6655" w:rsidP="00CF6655">
      <w:pPr>
        <w:pStyle w:val="Text"/>
      </w:pPr>
      <w:r>
        <w:t>Die Ovamboreise verläuft sehr erfolgreich, soweit es die Inspektion der St</w:t>
      </w:r>
      <w:r>
        <w:t>a</w:t>
      </w:r>
      <w:r>
        <w:t>tionen angeht, und Spiecker ist am Ende froh, sie gemacht zu haben. Doch das Gespräch mit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den er auf dem Rückweg nach Süden in Omulanga</w:t>
      </w:r>
      <w:r w:rsidR="00363C1C">
        <w:fldChar w:fldCharType="begin"/>
      </w:r>
      <w:r w:rsidR="00C05598">
        <w:instrText xml:space="preserve"> XE "</w:instrText>
      </w:r>
      <w:r w:rsidR="00C05598" w:rsidRPr="001640EF">
        <w:instrText>Omulanga</w:instrText>
      </w:r>
      <w:r w:rsidR="00C05598">
        <w:instrText xml:space="preserve">" </w:instrText>
      </w:r>
      <w:r w:rsidR="00363C1C">
        <w:fldChar w:fldCharType="end"/>
      </w:r>
      <w:r>
        <w:t xml:space="preserve"> b</w:t>
      </w:r>
      <w:r>
        <w:t>e</w:t>
      </w:r>
      <w:r>
        <w:t>sucht, verläuft enttäuschend:</w:t>
      </w:r>
    </w:p>
    <w:p w:rsidR="00CF6655" w:rsidRDefault="00CF6655" w:rsidP="00CF6655">
      <w:pPr>
        <w:pStyle w:val="Zitat"/>
      </w:pPr>
      <w:r>
        <w:t>Nach den ersten Begrüßungen und nachdem er unsere Geschenke Tabak und von mir eine Jacke entgegengenommen hatte, fragte ich ihn, ob er nicht mit den Deutschen Frieden machen wollte. Er antwortete: Wem gehört denn das Land? Energisch wies er jedes Ansinnen nach dieser Seite ab. Sogar als ich ihn fragte, ob er denn nicht mehr Missionen wünsche, sagte er: Ich hindere sie nicht, aber ich rufe sie auch nicht. Die Christen sind gerade so schlecht wie die anderen. Persönlich war er freundlich. Er ist ein armer verblendeter Mensch. Gehen kann er nicht, da er gelähmt ist und auch sonst ist er krank. Offenbar fürchtet er die Strafe der Deutschen, ist aber zu stolz sich zu demütigen und um Frieden zu bitten. Ich habe ihm gegenüber meine Pflicht nun getan und freue mich auch dort gewesen zu sein. Nun kann ich dem Gouverneur beric</w:t>
      </w:r>
      <w:r>
        <w:t>h</w:t>
      </w:r>
      <w:r>
        <w:t>ten, wie es steht und werde ihn bitten doch um eines solchen Menschen willen keinen Krieg zu beginnen. […] Eventuell ist es auch möglich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zu b</w:t>
      </w:r>
      <w:r>
        <w:t>e</w:t>
      </w:r>
      <w:r>
        <w:t>strafen, ohne mit den anderen Häuptlingen in Konflikt zu kommen. Diese werden ihn aber nicht ausliefern, noch weniger seine Untertanen, die ihn nicht lieben, sondern fürchten. Ein Häuptling ist eine geheiligte, unantastbare Pe</w:t>
      </w:r>
      <w:r>
        <w:t>r</w:t>
      </w:r>
      <w:r>
        <w:t>sönlichkeit. (1211f)</w:t>
      </w:r>
    </w:p>
    <w:p w:rsidR="00CF6655" w:rsidRDefault="00CF6655" w:rsidP="00074F1B">
      <w:pPr>
        <w:pStyle w:val="Text"/>
        <w:ind w:firstLine="0"/>
      </w:pPr>
      <w:r>
        <w:t>Vielleicht sicherte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seinem Volk damit die Freiheit; denn einige andere Stämme wie die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die Verträge geschlossen hatten, wurden 1907 e</w:t>
      </w:r>
      <w:r>
        <w:t>x</w:t>
      </w:r>
      <w:r>
        <w:t>propriiert, obwohl sie sich nicht am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beteiligt hatten. Die Ovambo konnten diesem Schicksal entgehen.</w:t>
      </w:r>
      <w:r>
        <w:rPr>
          <w:rStyle w:val="Funotenzeichen"/>
        </w:rPr>
        <w:footnoteReference w:id="203"/>
      </w:r>
    </w:p>
    <w:p w:rsidR="00CF6655" w:rsidRDefault="00074F1B" w:rsidP="009B1A29">
      <w:pPr>
        <w:pStyle w:val="Text"/>
        <w:ind w:firstLine="0"/>
      </w:pPr>
      <w:r>
        <w:lastRenderedPageBreak/>
        <w:tab/>
      </w:r>
      <w:r w:rsidR="00CF6655">
        <w:t>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rsidR="00CF6655">
        <w:t xml:space="preserve"> sah die Mission als Einfallstor für die Kolonisatoren – wohl zu Recht.</w:t>
      </w:r>
      <w:r w:rsidR="00CF6655">
        <w:rPr>
          <w:rStyle w:val="Funotenzeichen"/>
        </w:rPr>
        <w:footnoteReference w:id="204"/>
      </w:r>
      <w:r w:rsidR="00CF6655">
        <w:t xml:space="preserve"> Spieckers Interpretation ist eine andere: „Er befürchtet, die Mission</w:t>
      </w:r>
      <w:r w:rsidR="00CF6655">
        <w:t>s</w:t>
      </w:r>
      <w:r w:rsidR="00CF6655">
        <w:t>station</w:t>
      </w:r>
      <w:r w:rsidR="00CF6655">
        <w:rPr>
          <w:rStyle w:val="Funotenzeichen"/>
        </w:rPr>
        <w:footnoteReference w:id="205"/>
      </w:r>
      <w:r w:rsidR="00CF6655">
        <w:t xml:space="preserve"> möchte einmal zum Stützpunkt eines feindlichen Angriffes dienen. O</w:t>
      </w:r>
      <w:r w:rsidR="00CF6655">
        <w:t>f</w:t>
      </w:r>
      <w:r w:rsidR="00CF6655">
        <w:t>fenbar hat er kein gutes Gewissen.“ (1213) Spiecker verfällt an dieser Stelle in das paternalistische</w:t>
      </w:r>
      <w:r w:rsidR="00363C1C">
        <w:fldChar w:fldCharType="begin"/>
      </w:r>
      <w:r w:rsidR="00566F67">
        <w:instrText xml:space="preserve"> XE "</w:instrText>
      </w:r>
      <w:r w:rsidR="00566F67" w:rsidRPr="00E02C7A">
        <w:instrText>Paternalismus</w:instrText>
      </w:r>
      <w:r w:rsidR="00566F67">
        <w:instrText xml:space="preserve">" </w:instrText>
      </w:r>
      <w:r w:rsidR="00363C1C">
        <w:fldChar w:fldCharType="end"/>
      </w:r>
      <w:r w:rsidR="00CF6655">
        <w:t xml:space="preserve"> Denken, das bedingungsloses Vertrauen der anderen ve</w:t>
      </w:r>
      <w:r w:rsidR="00CF6655">
        <w:t>r</w:t>
      </w:r>
      <w:r w:rsidR="00CF6655">
        <w:t>langt, ohne sich zu fragen, ob dieses Vertrauen überhaupt gerechtfertigt wäre. Es handelt sich um ein Denken, das jede Vorsichtsmaßnahme der Gegenseite als Hinweis auf ein schlechtes Gewissen – das heißt auf geplante Aggressionen – i</w:t>
      </w:r>
      <w:r w:rsidR="00CF6655">
        <w:t>n</w:t>
      </w:r>
      <w:r w:rsidR="00CF6655">
        <w:t>terpretiert, indem es selbstgerecht davon ausgeht, dass sich die andere Seite der eigenen Beurteilung ihres Handelns vertrauensvoll auszuliefern habe. Es dürfte auch zum Rüstungswettlauf vor dem ersten Weltkrieg beigetragen haben, der auch ein Wettlauf des Misstrauens war, an dessen Ende der Krieg vielen als n</w:t>
      </w:r>
      <w:r w:rsidR="00CF6655">
        <w:t>a</w:t>
      </w:r>
      <w:r w:rsidR="00CF6655">
        <w:t>türliche Konsequenz, ja als Ausweg und einzig mögliche Klärung der Situation erschien.</w:t>
      </w:r>
    </w:p>
    <w:p w:rsidR="00074F1B" w:rsidRDefault="00BC2F1D" w:rsidP="00074F1B">
      <w:pPr>
        <w:pStyle w:val="Text"/>
        <w:ind w:firstLine="0"/>
      </w:pPr>
      <w:r>
        <w:rPr>
          <w:noProof/>
        </w:rPr>
        <w:drawing>
          <wp:inline distT="0" distB="0" distL="0" distR="0">
            <wp:extent cx="4320302" cy="3272790"/>
            <wp:effectExtent l="19050" t="0" r="4048" b="0"/>
            <wp:docPr id="16" name="Abb8.jpg" descr="C:\Users\Martin\Docs\Publikationen\Sprache, Glaube und Macht\Johannes Spiecker in Deutsch-Südwestafrika\Ab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8.jpg"/>
                    <pic:cNvPicPr/>
                  </pic:nvPicPr>
                  <pic:blipFill>
                    <a:blip r:embed="rId22" cstate="print">
                      <a:lum bright="2000" contrast="2000"/>
                    </a:blip>
                    <a:stretch>
                      <a:fillRect/>
                    </a:stretch>
                  </pic:blipFill>
                  <pic:spPr>
                    <a:xfrm>
                      <a:off x="0" y="0"/>
                      <a:ext cx="4320302" cy="3272790"/>
                    </a:xfrm>
                    <a:prstGeom prst="rect">
                      <a:avLst/>
                    </a:prstGeom>
                  </pic:spPr>
                </pic:pic>
              </a:graphicData>
            </a:graphic>
          </wp:inline>
        </w:drawing>
      </w:r>
    </w:p>
    <w:p w:rsidR="00074F1B" w:rsidRDefault="00074F1B" w:rsidP="00074F1B">
      <w:pPr>
        <w:pStyle w:val="Beschriftung"/>
      </w:pPr>
      <w:bookmarkStart w:id="320" w:name="_Toc327393040"/>
      <w:r w:rsidRPr="004C3839">
        <w:rPr>
          <w:b/>
        </w:rPr>
        <w:t xml:space="preserve">Abb. </w:t>
      </w:r>
      <w:r>
        <w:rPr>
          <w:b/>
        </w:rPr>
        <w:t>8</w:t>
      </w:r>
      <w:r>
        <w:tab/>
        <w:t>Häuptling Nechale</w:t>
      </w:r>
      <w:r w:rsidR="00363C1C">
        <w:fldChar w:fldCharType="begin"/>
      </w:r>
      <w:r>
        <w:instrText xml:space="preserve"> XE "</w:instrText>
      </w:r>
      <w:r w:rsidRPr="0093172E">
        <w:instrText>Nechale, Häuptling</w:instrText>
      </w:r>
      <w:r>
        <w:instrText xml:space="preserve">" </w:instrText>
      </w:r>
      <w:r w:rsidR="00363C1C">
        <w:fldChar w:fldCharType="end"/>
      </w:r>
      <w:r>
        <w:t xml:space="preserve"> (links) und andere </w:t>
      </w:r>
      <w:bookmarkEnd w:id="320"/>
      <w:r w:rsidR="00BC2F1D">
        <w:t>Ovambo</w:t>
      </w:r>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074F1B">
      <w:pPr>
        <w:pStyle w:val="Text"/>
        <w:ind w:firstLine="0"/>
      </w:pPr>
      <w:r>
        <w:lastRenderedPageBreak/>
        <w:t xml:space="preserve">Spiecker rät später dem Gouverneur entschieden von einem </w:t>
      </w:r>
      <w:r w:rsidR="00074F1B">
        <w:t xml:space="preserve">Feldzug gegen die Ovambo </w:t>
      </w:r>
      <w:r>
        <w:t>ab:</w:t>
      </w:r>
    </w:p>
    <w:p w:rsidR="00CF6655" w:rsidRDefault="00CF6655" w:rsidP="00CF6655">
      <w:pPr>
        <w:pStyle w:val="Zitat"/>
      </w:pPr>
      <w:r>
        <w:t>Ganz besonders habe ich betont, daß ein Zug gegen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ganz zwecklos und töricht sei. Ich habe mich da noch einmal sehr gefreut, daß ich die Reise nach Amboland gemacht habe. Der Gouverneur erhält von Händlern so viele verlogene Berichte und wäre vielleicht doch noch zu einem Zug nach Amboland gedrängt worden. Ich glaube jetzt kaum, daß er ihn in absehbarer Zeit unternehmen wird. Es ist aber immer eine Freude zum Frieden beizutr</w:t>
      </w:r>
      <w:r>
        <w:t>a</w:t>
      </w:r>
      <w:r>
        <w:t>gen. (1472)</w:t>
      </w:r>
    </w:p>
    <w:p w:rsidR="00CF6655" w:rsidRDefault="00CF6655" w:rsidP="00B116E6">
      <w:pPr>
        <w:pStyle w:val="Text"/>
        <w:ind w:firstLine="0"/>
      </w:pPr>
      <w:r>
        <w:t>Die Militärs sind „natürlich von vornherein alle für einen Kriegszug“, aber wo er welche trifft, tut Spiecker sein Bestes sie umzustimmen (1551).</w:t>
      </w:r>
    </w:p>
    <w:p w:rsidR="00CF6655" w:rsidRDefault="00CF6655" w:rsidP="00B116E6">
      <w:pPr>
        <w:pStyle w:val="Titel3"/>
      </w:pPr>
      <w:bookmarkStart w:id="321" w:name="_Toc122313648"/>
      <w:bookmarkStart w:id="322" w:name="_Toc122313736"/>
      <w:bookmarkStart w:id="323" w:name="_Toc130260745"/>
      <w:bookmarkStart w:id="324" w:name="_Ref325355421"/>
      <w:bookmarkStart w:id="325" w:name="_Ref325356557"/>
      <w:bookmarkStart w:id="326" w:name="_Ref325357347"/>
      <w:bookmarkStart w:id="327" w:name="_Toc327388045"/>
      <w:r>
        <w:t>Die Pazifizierung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durch die Mission</w:t>
      </w:r>
      <w:bookmarkEnd w:id="321"/>
      <w:bookmarkEnd w:id="322"/>
      <w:bookmarkEnd w:id="323"/>
      <w:bookmarkEnd w:id="324"/>
      <w:bookmarkEnd w:id="325"/>
      <w:bookmarkEnd w:id="326"/>
      <w:bookmarkEnd w:id="327"/>
    </w:p>
    <w:p w:rsidR="00CF6655" w:rsidRDefault="00CF6655" w:rsidP="00B116E6">
      <w:pPr>
        <w:pStyle w:val="Text"/>
        <w:ind w:firstLine="0"/>
      </w:pPr>
      <w:r>
        <w:t>Spiecker erklärt sich den „über Erwarten günstig[en]“ Verlauf des wichtigen G</w:t>
      </w:r>
      <w:r>
        <w:t>e</w:t>
      </w:r>
      <w:r>
        <w:t>sprächs mit dem Gouverneur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„Die Erfolge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und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haben ihm offenbar imponiert.“ (791) Gemeint sind die dortigen Sammelstellen</w:t>
      </w:r>
      <w:r w:rsidR="00363C1C">
        <w:fldChar w:fldCharType="begin"/>
      </w:r>
      <w:r w:rsidR="00E01EA7">
        <w:instrText xml:space="preserve"> XE "</w:instrText>
      </w:r>
      <w:r w:rsidR="00E01EA7" w:rsidRPr="00542402">
        <w:instrText>Sammelstelle</w:instrText>
      </w:r>
      <w:r w:rsidR="00E01EA7">
        <w:instrText xml:space="preserve">" </w:instrText>
      </w:r>
      <w:r w:rsidR="00363C1C">
        <w:fldChar w:fldCharType="end"/>
      </w:r>
      <w:r>
        <w:t xml:space="preserve"> für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Mit diesem „Einsammeln“ von Aufständischen leistet die Mission der Regierung große Dienste:</w:t>
      </w:r>
    </w:p>
    <w:p w:rsidR="00CF6655" w:rsidRDefault="00CF6655" w:rsidP="00CF6655">
      <w:pPr>
        <w:pStyle w:val="Zitat"/>
      </w:pPr>
      <w:r>
        <w:t>In dem großen und weit verzweigten Erongogebirge, das wir immer in der Fe</w:t>
      </w:r>
      <w:r>
        <w:t>r</w:t>
      </w:r>
      <w:r>
        <w:t>ne zur Rechten hatten, sollen noch tausende von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sitzen. Wenn unsere Mission resp. die von ihnen gesandten Leute (Christen) sie nicht holen, hat die Regierung noch Jahre mit diesen Banden zu tun, wenn sie überhaupt je mit i</w:t>
      </w:r>
      <w:r>
        <w:t>h</w:t>
      </w:r>
      <w:r>
        <w:t>nen fertig wird. (678)</w:t>
      </w:r>
      <w:r>
        <w:rPr>
          <w:rStyle w:val="Funotenzeichen"/>
        </w:rPr>
        <w:footnoteReference w:id="206"/>
      </w:r>
    </w:p>
    <w:p w:rsidR="00CF6655" w:rsidRDefault="00CF6655" w:rsidP="004E39C3">
      <w:pPr>
        <w:pStyle w:val="Text"/>
        <w:ind w:firstLine="0"/>
      </w:pPr>
      <w:r>
        <w:t>Diese Verdienste werden von der Regierung öffentlich nur zurückhaltend ane</w:t>
      </w:r>
      <w:r>
        <w:t>r</w:t>
      </w:r>
      <w:r>
        <w:t>kannt (585f), auch wenn man sich in persönlichen Gesprächen dankbar zeigt. Trotzdem hat die Mission Vorteile:</w:t>
      </w:r>
    </w:p>
    <w:p w:rsidR="00CF6655" w:rsidRDefault="00CF6655" w:rsidP="00CF6655">
      <w:pPr>
        <w:pStyle w:val="Zitat"/>
      </w:pPr>
      <w:r>
        <w:t xml:space="preserve">Vor Tisch machten wir </w:t>
      </w:r>
      <w:r w:rsidR="0080293A">
        <w:t>einen Besuch bei den</w:t>
      </w:r>
      <w:r>
        <w:t xml:space="preserve"> Leitern der Otavibahngesellschaft […]. Ich bedankte mich bei den Herren für das uns bisher bewiesene Entg</w:t>
      </w:r>
      <w:r>
        <w:t>e</w:t>
      </w:r>
      <w:r>
        <w:t>genkommen und hatte dann verschiedene Bitten vorzubringen, die sehr berei</w:t>
      </w:r>
      <w:r>
        <w:t>t</w:t>
      </w:r>
      <w:r>
        <w:t xml:space="preserve">willig gewährt wurden. Diese Herren, die im Dienst der Firma Arthur Koppel stehen, erkennen die Dienste der Mission bei der Pacifizierung des Landes und </w:t>
      </w:r>
      <w:r>
        <w:lastRenderedPageBreak/>
        <w:t>der Hereinbringung der Eingeborenen in vollem Maße an und sind uns deshalb in allen Stücken sehr entgegenkommend. (585)</w:t>
      </w:r>
    </w:p>
    <w:p w:rsidR="00CF6655" w:rsidRDefault="00CF6655" w:rsidP="004E39C3">
      <w:pPr>
        <w:pStyle w:val="Text"/>
        <w:ind w:firstLine="0"/>
      </w:pPr>
      <w:r>
        <w:t>Die problematische Seite der „Einbringung“ (613)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durch die Mission wird aus folgendem Zitat deutlich, worin auf die schlechte Behandlung der Her</w:t>
      </w:r>
      <w:r>
        <w:t>e</w:t>
      </w:r>
      <w:r>
        <w:t>ro in den Gefangenenlagern angespielt wird:</w:t>
      </w:r>
    </w:p>
    <w:p w:rsidR="00CF6655" w:rsidRDefault="00CF6655" w:rsidP="00CF6655">
      <w:pPr>
        <w:pStyle w:val="Zitat"/>
      </w:pPr>
      <w:r>
        <w:t>Die Leute kommen mit Kuhlmanns Boten, die der sehr geschickt ausgewählt hat, u. die ihm unbedingt vertrauen.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xml:space="preserve"> ist aber das Herz schwer im Gedanken an die Zukunft der Leute, da er sie nicht lange hier behalten kann, weil es an Lebensmitteln fehlt. Sie werden dann nach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und von da nach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und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gesandt, wo viele sterben werden. […] Wenn nur der Gouverneur für gute Behandlung der Leute seinem Versprechen gemäß sorgt. Bei ihm scheinen sich in sehr verderblicher Weise die Einflüsse des Militairs, der Ansiedler und der Römischen geltend zu machen. (612f)</w:t>
      </w:r>
    </w:p>
    <w:p w:rsidR="00CF6655" w:rsidRDefault="00CF6655" w:rsidP="004E39C3">
      <w:pPr>
        <w:pStyle w:val="Text"/>
        <w:ind w:firstLine="0"/>
      </w:pPr>
      <w:r>
        <w:t>Die von der Mission durch jene Boten, die ihnen sicherlich eine faire Behandlung versprechen, aus den Gebieten der Aufständischen herbeigelockten Menschen haben eine ungewisse Zukunft vor sich. In den Gefangenenlagern sind die B</w:t>
      </w:r>
      <w:r>
        <w:t>e</w:t>
      </w:r>
      <w:r>
        <w:t>dingungen so schlecht, dass viele die Zwangsarbeit</w:t>
      </w:r>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r>
        <w:t xml:space="preserve"> in dem ungewohnt rauhen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nicht überleben werden (763); anfangs sind sogar Ketten für die Zwang</w:t>
      </w:r>
      <w:r>
        <w:t>s</w:t>
      </w:r>
      <w:r>
        <w:t>arbeiter vorgesehen.</w:t>
      </w:r>
      <w:r>
        <w:rPr>
          <w:rStyle w:val="Funotenzeichen"/>
        </w:rPr>
        <w:footnoteReference w:id="207"/>
      </w:r>
      <w:r>
        <w:t xml:space="preserve">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xml:space="preserve"> drückt seine Sorgen am 7. Feb. 1906 in einem Brief an den Gouverneur aus: „Vor allem aber bittet er keine Frauen und Kinder mehr nach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zu senden, da dort so viele sterben.“ (616) Spiecker teilt seine Bedenken, hält aber die Arbeit grundsätzlich für sinnvoll und redet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xml:space="preserve"> entsprechend zu: „Ich suche ihn zu beruhigen mit dem Hinweis d</w:t>
      </w:r>
      <w:r>
        <w:t>a</w:t>
      </w:r>
      <w:r>
        <w:t>rauf, daß die Leute in Gottes Hand stehen.“ (613) Während seiner Zeit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kann Spiecker nicht vergessen, welches Schicksal den dort durch die Mission versammelten Menschen droht.</w:t>
      </w:r>
      <w:r>
        <w:rPr>
          <w:rStyle w:val="Funotenzeichen"/>
        </w:rPr>
        <w:footnoteReference w:id="208"/>
      </w:r>
      <w:r>
        <w:t xml:space="preserve"> Deutlich wird aber auch, wie das Mil</w:t>
      </w:r>
      <w:r>
        <w:t>i</w:t>
      </w:r>
      <w:r>
        <w:t>tär dieselbe Aufgabe gerne erledigen würde:</w:t>
      </w:r>
    </w:p>
    <w:p w:rsidR="00CF6655" w:rsidRDefault="00CF6655" w:rsidP="00CF6655">
      <w:pPr>
        <w:pStyle w:val="Zitat"/>
      </w:pPr>
      <w:r>
        <w:t>Im September wollen sie aber jedenfalls das Land von herumschweifenden H</w:t>
      </w:r>
      <w:r>
        <w:t>e</w:t>
      </w:r>
      <w:r>
        <w:t>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säubern durch Militairpatrouillen. Ich sprach immer wieder die Hoffnung aus, daß dies auf friedlichem Wege würde erreicht werden, und daß das Militair nicht mehr einzugreifen brauche. (805)</w:t>
      </w:r>
    </w:p>
    <w:p w:rsidR="00CF6655" w:rsidRDefault="00CF6655" w:rsidP="00AB2803">
      <w:pPr>
        <w:pStyle w:val="Text"/>
        <w:ind w:firstLine="0"/>
      </w:pPr>
      <w:r>
        <w:lastRenderedPageBreak/>
        <w:t>Wie man sich diese Säuberungen vorzustellen hat, lässt sich auch an von Trothas</w:t>
      </w:r>
      <w:r w:rsidR="00363C1C">
        <w:fldChar w:fldCharType="begin"/>
      </w:r>
      <w:r w:rsidR="000311E8">
        <w:instrText xml:space="preserve"> XE "</w:instrText>
      </w:r>
      <w:r w:rsidR="000311E8" w:rsidRPr="00877269">
        <w:instrText>Trotha, Lothar von</w:instrText>
      </w:r>
      <w:r w:rsidR="000311E8">
        <w:instrText xml:space="preserve">" </w:instrText>
      </w:r>
      <w:r w:rsidR="00363C1C">
        <w:fldChar w:fldCharType="end"/>
      </w:r>
      <w:r>
        <w:t xml:space="preserve"> Willen zur „gänzlichen Vernichtung“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erkennen, den er in einem A</w:t>
      </w:r>
      <w:r>
        <w:t>r</w:t>
      </w:r>
      <w:r>
        <w:t xml:space="preserve">tikel in der </w:t>
      </w:r>
      <w:r>
        <w:rPr>
          <w:i/>
          <w:iCs/>
        </w:rPr>
        <w:t xml:space="preserve">Trierer Landeszeitung </w:t>
      </w:r>
      <w:r>
        <w:t>äußert (542). Damit ist klar, dass das Herbe</w:t>
      </w:r>
      <w:r>
        <w:t>i</w:t>
      </w:r>
      <w:r>
        <w:t>holen der Herero durch die Mission für sie die bessere Lösung ist, obwohl in G</w:t>
      </w:r>
      <w:r>
        <w:t>e</w:t>
      </w:r>
      <w:r>
        <w:t>fangenschaft „viele sterben werden“ (613).</w:t>
      </w:r>
    </w:p>
    <w:p w:rsidR="00CF6655" w:rsidRDefault="00CF6655" w:rsidP="00CF6655">
      <w:pPr>
        <w:pStyle w:val="Text"/>
      </w:pPr>
      <w:r>
        <w:t>Der Unterschied zwischen Deserteuren und Zivilisten ist bei den Menschen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und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schwer zu machen. Viele der Weggelaufenen hatten ja ihre ganzen Familien dabei. Die meisten würden nach heutigen Maßstäben als Kriegsflüchtlinge gelten, die „von Heimweh getrieben“ (916) dem Ruf der Mi</w:t>
      </w:r>
      <w:r>
        <w:t>s</w:t>
      </w:r>
      <w:r>
        <w:t>sion gefolgt sind, da sie hofften, auf ihr früheres Land zurückkehren zu können. Die Art, in der hier ein ganzes Volk als Feind behandelt wurde, widerlegt einmal mehr die Mär vom ‚guten Besatzer‘ und von ‚Schutzgebieten‘. Dass Spiecker über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xml:space="preserve"> ironisch bemerkt: „Und so ein Held wird mit dem höchsten Orden geschmückt und mit Ehren überhäuft. […] Hier kann einem für die Z</w:t>
      </w:r>
      <w:r>
        <w:t>u</w:t>
      </w:r>
      <w:r>
        <w:t>kunft des Vaterlandes angst und bange werden“ (543), wirft nicht nur ein Schla</w:t>
      </w:r>
      <w:r>
        <w:t>g</w:t>
      </w:r>
      <w:r>
        <w:t>licht auf die Zustände. Es verweist angesichts der später im Zweiten Weltkrieg vom deutschen Militär systematisch begangenen Verbrechen in den Kriegsgebi</w:t>
      </w:r>
      <w:r>
        <w:t>e</w:t>
      </w:r>
      <w:r>
        <w:t>ten, die bis heute oft verkleinert werden, auf eine traurige Kontinuität.</w:t>
      </w:r>
    </w:p>
    <w:p w:rsidR="00CF6655" w:rsidRDefault="00CF6655" w:rsidP="00AB2803">
      <w:pPr>
        <w:pStyle w:val="Titel2"/>
      </w:pPr>
      <w:bookmarkStart w:id="328" w:name="_Toc130260746"/>
      <w:bookmarkStart w:id="329" w:name="_Ref325355006"/>
      <w:bookmarkStart w:id="330" w:name="_Ref325355884"/>
      <w:bookmarkStart w:id="331" w:name="_Ref325357152"/>
      <w:bookmarkStart w:id="332" w:name="_Ref325357330"/>
      <w:bookmarkStart w:id="333" w:name="_Ref325358210"/>
      <w:bookmarkStart w:id="334" w:name="_Toc327388046"/>
      <w:r>
        <w:t>Das importierte Patriarchat</w:t>
      </w:r>
      <w:bookmarkEnd w:id="328"/>
      <w:bookmarkEnd w:id="329"/>
      <w:bookmarkEnd w:id="330"/>
      <w:bookmarkEnd w:id="331"/>
      <w:bookmarkEnd w:id="332"/>
      <w:bookmarkEnd w:id="333"/>
      <w:bookmarkEnd w:id="334"/>
      <w:r w:rsidR="00363C1C">
        <w:fldChar w:fldCharType="begin"/>
      </w:r>
      <w:r w:rsidR="00AF5591">
        <w:instrText xml:space="preserve"> XE "</w:instrText>
      </w:r>
      <w:r w:rsidR="00AF5591" w:rsidRPr="00EA372E">
        <w:instrText>Patriarchat</w:instrText>
      </w:r>
      <w:r w:rsidR="00AF5591">
        <w:instrText xml:space="preserve">" </w:instrText>
      </w:r>
      <w:r w:rsidR="00363C1C">
        <w:fldChar w:fldCharType="end"/>
      </w:r>
    </w:p>
    <w:p w:rsidR="00CF6655" w:rsidRDefault="00CF6655" w:rsidP="00AB2803">
      <w:pPr>
        <w:pStyle w:val="Titel3"/>
      </w:pPr>
      <w:bookmarkStart w:id="335" w:name="_Toc130260747"/>
      <w:bookmarkStart w:id="336" w:name="_Toc327388047"/>
      <w:r>
        <w:t>Vorüberlegung: Eine Männersache</w:t>
      </w:r>
      <w:bookmarkEnd w:id="335"/>
      <w:bookmarkEnd w:id="336"/>
    </w:p>
    <w:p w:rsidR="00CF6655" w:rsidRDefault="00CF6655" w:rsidP="00AB2803">
      <w:pPr>
        <w:pStyle w:val="Text"/>
        <w:ind w:firstLine="0"/>
      </w:pPr>
      <w:r>
        <w:rPr>
          <w:lang w:val="en-GB"/>
        </w:rPr>
        <w:t xml:space="preserve">Robert Young schreibt: „Colonialism, in short, was not only a machine of war and </w:t>
      </w:r>
      <w:proofErr w:type="gramStart"/>
      <w:r>
        <w:rPr>
          <w:lang w:val="en-GB"/>
        </w:rPr>
        <w:t>administration,</w:t>
      </w:r>
      <w:proofErr w:type="gramEnd"/>
      <w:r>
        <w:rPr>
          <w:lang w:val="en-GB"/>
        </w:rPr>
        <w:t xml:space="preserve"> it was also a desiring machine. This desiring machine, with its unlimited appetite for territorial expansion, […] continuously forced disp</w:t>
      </w:r>
      <w:r>
        <w:rPr>
          <w:lang w:val="en-GB"/>
        </w:rPr>
        <w:t>a</w:t>
      </w:r>
      <w:r>
        <w:rPr>
          <w:lang w:val="en-GB"/>
        </w:rPr>
        <w:t xml:space="preserve">rate territories, histories and people to be thrust together like foreign bodies in the night.“ </w:t>
      </w:r>
      <w:r>
        <w:t>(Young: 98) Auch wenn die metaphorische Ausdrucksweise als etwas kühn erscheint, so hilft sie doch Young, einen entscheidenden Punkt herausz</w:t>
      </w:r>
      <w:r>
        <w:t>u</w:t>
      </w:r>
      <w:r>
        <w:t>stellen: Die sexuelle Beherrschung kann nicht isoliert vom System des Koloni</w:t>
      </w:r>
      <w:r>
        <w:t>a</w:t>
      </w:r>
      <w:r>
        <w:t>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verstanden werden; sie drückt sein zugleich unmenschliches und allz</w:t>
      </w:r>
      <w:r>
        <w:t>u</w:t>
      </w:r>
      <w:r>
        <w:t>menschliches Wesen vollkommen aus. Der Kolonialismus behandelte, wie das Zitat von Young zeigt, Menschen wie Maschinenteile, aus denen man nach der abstrakten Logik des Imperialismus, des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xml:space="preserve"> und der wirtschaftlichen Notwendigkeit die Maschinerie der Kolonialimperien zusammensetzte. Ernie</w:t>
      </w:r>
      <w:r>
        <w:t>d</w:t>
      </w:r>
      <w:r>
        <w:t>rigung, Verdinglichung und Demütigung gingen dabei Hand in Hand. All dies, und insbesondere die damit einhergehende Entmenschlichung, findet sich exemplarisch in der sexuellen Ausbeutung wieder, wobei die offiziell abgeleugn</w:t>
      </w:r>
      <w:r>
        <w:t>e</w:t>
      </w:r>
      <w:r>
        <w:t>ten menschlichen Bedürfnisse sich heimlich und oft in brutaler Form entladen.</w:t>
      </w:r>
    </w:p>
    <w:p w:rsidR="00CF6655" w:rsidRDefault="00CF6655" w:rsidP="00CF6655">
      <w:pPr>
        <w:pStyle w:val="Text"/>
      </w:pPr>
      <w:r>
        <w:t>Eingeborene Frauen werden in dieser Welt des Machismo doppelt zum O</w:t>
      </w:r>
      <w:r>
        <w:t>p</w:t>
      </w:r>
      <w:r>
        <w:t xml:space="preserve">fer: zum einen als europäische „Andere“, zum anderen als Frauen. Denn Frauen </w:t>
      </w:r>
      <w:r>
        <w:lastRenderedPageBreak/>
        <w:t>werden generell Ziel einer leisen, unausgesprochenen Verachtung, die die imp</w:t>
      </w:r>
      <w:r>
        <w:t>e</w:t>
      </w:r>
      <w:r>
        <w:t>riale Geste der männlichen Überlegenheit, die ihr Echo im kraftmeierischen Au</w:t>
      </w:r>
      <w:r>
        <w:t>f</w:t>
      </w:r>
      <w:r>
        <w:t>treten nationaler Befreiungsbewegungen findet, ihnen auferlegt. In dieser Welt, die – unausgesprochen, aber dennoch immer präsent – auf einem Akt des „Recht des Stärkeren“, nämlich der letztlich unbegründbaren Landnahme, basiert, we</w:t>
      </w:r>
      <w:r>
        <w:t>r</w:t>
      </w:r>
      <w:r>
        <w:t>den als weiblich angesehene Qualitäten zu einem Luxus, den man sich nicht lei</w:t>
      </w:r>
      <w:r>
        <w:t>s</w:t>
      </w:r>
      <w:r>
        <w:t>ten kann: Die Kolonisatoren nicht, weil sie dann Gefahr laufen, durch die jede</w:t>
      </w:r>
      <w:r>
        <w:t>r</w:t>
      </w:r>
      <w:r>
        <w:t>zeit erwartete und gefürchtete Rebellion alles zu verlieren; und die Kolonisierten nicht, weil sie sie mit dem Opferstatus gleichsetzen, den man ihnen zugeordnet hat.</w:t>
      </w:r>
    </w:p>
    <w:p w:rsidR="00CF6655" w:rsidRDefault="00CF6655" w:rsidP="00CF6655">
      <w:pPr>
        <w:pStyle w:val="Text"/>
      </w:pPr>
      <w:r>
        <w:t>Durch die Verdrängung der weiblichen Komponente wird dieses Modell der Hyper-Männlichkeit jedoch auf sich selbst zurückgeworfen; so wird die Welt des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zu einer Welt der unterschwelligen Homoerotik.</w:t>
      </w:r>
      <w:r>
        <w:rPr>
          <w:rStyle w:val="Funotenzeichen"/>
        </w:rPr>
        <w:footnoteReference w:id="209"/>
      </w:r>
    </w:p>
    <w:p w:rsidR="00CF6655" w:rsidRDefault="00CF6655" w:rsidP="00AB2803">
      <w:pPr>
        <w:pStyle w:val="Titel3"/>
      </w:pPr>
      <w:bookmarkStart w:id="337" w:name="_Toc130260748"/>
      <w:r>
        <w:t xml:space="preserve"> </w:t>
      </w:r>
      <w:bookmarkStart w:id="338" w:name="_Toc327388048"/>
      <w:r>
        <w:t>„… schicken wir eine Frau weg“: der Zynismus der Moral</w:t>
      </w:r>
      <w:bookmarkEnd w:id="337"/>
      <w:bookmarkEnd w:id="338"/>
    </w:p>
    <w:p w:rsidR="00CF6655" w:rsidRDefault="00CF6655" w:rsidP="00AB2803">
      <w:pPr>
        <w:pStyle w:val="Text"/>
        <w:ind w:firstLine="0"/>
      </w:pPr>
      <w:r>
        <w:t>Es darf jedoch nicht vergessen werden, dass die Unterdrückung der Frauen nicht nur von den Kolonisatoren ausging. Deshalb betont die feministische Richtung der postkolonialen Theorie, dass Frauen in den Kolonien zum Opfer gleich zweier patriarchalischer</w:t>
      </w:r>
      <w:r w:rsidR="00363C1C">
        <w:fldChar w:fldCharType="begin"/>
      </w:r>
      <w:r w:rsidR="00AF5591">
        <w:instrText xml:space="preserve"> XE "</w:instrText>
      </w:r>
      <w:r w:rsidR="00AF5591" w:rsidRPr="0060058C">
        <w:instrText>Patriarchat</w:instrText>
      </w:r>
      <w:r w:rsidR="00AF5591">
        <w:instrText xml:space="preserve">" </w:instrText>
      </w:r>
      <w:r w:rsidR="00363C1C">
        <w:fldChar w:fldCharType="end"/>
      </w:r>
      <w:r>
        <w:t xml:space="preserve"> Herrschaftssysteme wurden, die beide auf Hierarchien, steter Gewaltbereitschaft und der alltäglichen Unterdrückung der Frau beruhten. Allerdings muss sie dabei vorsichtig sein, denn bei mangelnder Differenzierung kann eine solche Perspektive zu einer Stilisierung der (post)kolonialen Frau zum „archetypischen Opfer“ führen, die Frauen zu bloßen Objekten der Geschichte und Gesellschaft macht und sie dabei als subversive politische Kraft, als manc</w:t>
      </w:r>
      <w:r>
        <w:t>h</w:t>
      </w:r>
      <w:r>
        <w:t>mal mehr, manchmal weniger sichtbare ‚Agentinnen des Wandels‘ aus dem Blick verliert.</w:t>
      </w:r>
      <w:r>
        <w:rPr>
          <w:rStyle w:val="Funotenzeichen"/>
        </w:rPr>
        <w:footnoteReference w:id="210"/>
      </w:r>
    </w:p>
    <w:p w:rsidR="00CF6655" w:rsidRDefault="00CF6655" w:rsidP="00CF6655">
      <w:pPr>
        <w:pStyle w:val="Text"/>
      </w:pPr>
      <w:r>
        <w:lastRenderedPageBreak/>
        <w:t>Ohne in diese Falle zu tappen, muss man jedoch die Vorstellung der Miss</w:t>
      </w:r>
      <w:r>
        <w:t>i</w:t>
      </w:r>
      <w:r>
        <w:t>onare, die mit einer Einführung der europäischen Ehe und Sexualmoral auch eine Verbesserung der Lebensverhältnisse der Frauen sahen, in ihrer Einseitigkeit kr</w:t>
      </w:r>
      <w:r>
        <w:t>i</w:t>
      </w:r>
      <w:r>
        <w:t>tisieren; sie übersahen, wie so oft, die Nachteile für die solcherart Beglückten und kamen sicherlich nicht auf die Idee, dass sie eine bestimmte Form der patr</w:t>
      </w:r>
      <w:r>
        <w:t>i</w:t>
      </w:r>
      <w:r>
        <w:t>archalischen</w:t>
      </w:r>
      <w:r w:rsidR="00363C1C">
        <w:fldChar w:fldCharType="begin"/>
      </w:r>
      <w:r w:rsidR="00AF5591">
        <w:instrText xml:space="preserve"> XE "</w:instrText>
      </w:r>
      <w:r w:rsidR="00AF5591" w:rsidRPr="004E6A7C">
        <w:instrText>Patriarchat</w:instrText>
      </w:r>
      <w:r w:rsidR="00AF5591">
        <w:instrText xml:space="preserve">" </w:instrText>
      </w:r>
      <w:r w:rsidR="00363C1C">
        <w:fldChar w:fldCharType="end"/>
      </w:r>
      <w:r>
        <w:t xml:space="preserve"> Herrschaft durch eine andere ersetzten. Andererseits konnten sich die verheirateten Frauen in den christlichen Missionsgemeinden tatsächlich auf Rechte berufen, die ihnen sonst nicht zustanden. Vor diesem komplexen Hi</w:t>
      </w:r>
      <w:r>
        <w:t>n</w:t>
      </w:r>
      <w:r>
        <w:t>tergrund muss man amüsant und beiläufig erzählte Anekdoten wie die folgende sehen, aus denen zugleich doch immer der unzweifelhafte Glaube an die Mi</w:t>
      </w:r>
      <w:r>
        <w:t>n</w:t>
      </w:r>
      <w:r>
        <w:t>derwertigkeit des Vorgefundenen spricht:</w:t>
      </w:r>
    </w:p>
    <w:p w:rsidR="00CF6655" w:rsidRDefault="00CF6655" w:rsidP="00CF6655">
      <w:pPr>
        <w:pStyle w:val="Zitat"/>
      </w:pPr>
      <w:r>
        <w:t>Eine so malerische Gruppe habe ich noch nie gesehen. […] Ich fragte die Mä</w:t>
      </w:r>
      <w:r>
        <w:t>n</w:t>
      </w:r>
      <w:r>
        <w:t>ner, wie es käme, dass mehr Frauen da seien, wie Männer. Da sagten sie: Wir haben 2 Frauen. Wenn eine krank ist muß die andere für uns arbeiten. Als ich sagte: Das will aber Gott nicht haben, antworteten sie: Das wissen wir, wenn wir uns bekehren, schicken wir eine Frau weg. Das hörten die besseren Hälften mit ganz freundlichem Gesicht an. Sie sind die reinen Sklavinnen des Mannes. (608)</w:t>
      </w:r>
    </w:p>
    <w:p w:rsidR="00CF6655" w:rsidRDefault="00CF6655" w:rsidP="00AB2803">
      <w:pPr>
        <w:pStyle w:val="Text"/>
        <w:ind w:firstLine="0"/>
      </w:pPr>
      <w:r>
        <w:t>Zwischen Theorie und Praxis gibt es in der Frage der Polygamie</w:t>
      </w:r>
      <w:r w:rsidR="00363C1C">
        <w:fldChar w:fldCharType="begin"/>
      </w:r>
      <w:r w:rsidR="00AD7AF5">
        <w:instrText xml:space="preserve"> XE "</w:instrText>
      </w:r>
      <w:r w:rsidR="00AD7AF5" w:rsidRPr="002B4B94">
        <w:instrText>Polygamie</w:instrText>
      </w:r>
      <w:r w:rsidR="00AD7AF5">
        <w:instrText xml:space="preserve">" </w:instrText>
      </w:r>
      <w:r w:rsidR="00363C1C">
        <w:fldChar w:fldCharType="end"/>
      </w:r>
      <w:r>
        <w:t xml:space="preserve"> bei der Rhein</w:t>
      </w:r>
      <w:r>
        <w:t>i</w:t>
      </w:r>
      <w:r>
        <w:t>schen Missionsgesellschaft eine merkwürdige Divergenz: die Praxis ist hier strenger als die Theorie. Lothar Engel merkt an:</w:t>
      </w:r>
    </w:p>
    <w:p w:rsidR="00CF6655" w:rsidRDefault="00CF6655" w:rsidP="00AB2803">
      <w:pPr>
        <w:pStyle w:val="ZitatAbsto"/>
      </w:pPr>
      <w:r>
        <w:t>Nach dem Kirchenordnungsentwurf von 1848 soll der polygame Ehemann, der getauft werden will, bis auf eine Frau alle anderen entlassen. Doch kann von dieser Bestimmung in Einzelfällen abgesehen werden […]. An diese flexible Bestimmung haben sich die Missionare aber nicht gehalten und eine sog. stre</w:t>
      </w:r>
      <w:r>
        <w:t>n</w:t>
      </w:r>
      <w:r>
        <w:t>gere Praxis eingeführt. […]</w:t>
      </w:r>
    </w:p>
    <w:p w:rsidR="00CF6655" w:rsidRDefault="00CF6655" w:rsidP="00AB2803">
      <w:pPr>
        <w:pStyle w:val="ZitatMitte"/>
      </w:pPr>
      <w:r>
        <w:t>Auf zwei Missionarskonferenzen steht die Polygamiefrage zur Diskussion. 1863 erklären die Namamissionare, dass sie sich nie an den entsprechenden Kirchenordnungsparagraphen gehalten haben, der ihnen „zu lax war und dem Heidenthum zu viel Raum bot“. Wollte ein Heide die übrigen Frauen oder se</w:t>
      </w:r>
      <w:r>
        <w:t>i</w:t>
      </w:r>
      <w:r>
        <w:t>ne zweite Frau nicht wegschicken, „so wurde er als Taufcandidaten für untau</w:t>
      </w:r>
      <w:r>
        <w:t>g</w:t>
      </w:r>
      <w:r>
        <w:t>lich erklärt.“</w:t>
      </w:r>
    </w:p>
    <w:p w:rsidR="00CF6655" w:rsidRDefault="00CF6655" w:rsidP="00AB2803">
      <w:pPr>
        <w:pStyle w:val="ZitatAbstu"/>
      </w:pPr>
      <w:r>
        <w:t>[…]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antwortet darauf, dass sie im Gegensatz zur Auffa</w:t>
      </w:r>
      <w:r>
        <w:t>s</w:t>
      </w:r>
      <w:r>
        <w:t>sung der Konferenz immer für die „mildere“ Praxis gewesen ist.</w:t>
      </w:r>
      <w:r>
        <w:rPr>
          <w:rStyle w:val="Funotenzeichen"/>
        </w:rPr>
        <w:footnoteReference w:id="211"/>
      </w:r>
    </w:p>
    <w:p w:rsidR="00CF6655" w:rsidRDefault="00CF6655" w:rsidP="00AB2803">
      <w:pPr>
        <w:pStyle w:val="Text"/>
        <w:ind w:firstLine="0"/>
      </w:pPr>
      <w:r>
        <w:t>Interessanterweise ändert sich an diesem missionsinternen Dissens auch in sp</w:t>
      </w:r>
      <w:r>
        <w:t>ä</w:t>
      </w:r>
      <w:r>
        <w:t>teren Jahren nichts.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spricht sich in einer ‚realpolitisch‘ anmute</w:t>
      </w:r>
      <w:r>
        <w:t>n</w:t>
      </w:r>
      <w:r>
        <w:t>den Sprachregelung „für die Duldung vor der Taufe</w:t>
      </w:r>
      <w:r w:rsidR="00363C1C">
        <w:fldChar w:fldCharType="begin"/>
      </w:r>
      <w:r w:rsidR="007079A3">
        <w:instrText xml:space="preserve"> XE "</w:instrText>
      </w:r>
      <w:r w:rsidR="007079A3" w:rsidRPr="00E34942">
        <w:instrText>Taufe</w:instrText>
      </w:r>
      <w:r w:rsidR="007079A3">
        <w:instrText xml:space="preserve">" </w:instrText>
      </w:r>
      <w:r w:rsidR="00363C1C">
        <w:fldChar w:fldCharType="end"/>
      </w:r>
      <w:r>
        <w:t xml:space="preserve"> bestandener polygamer Ve</w:t>
      </w:r>
      <w:r>
        <w:t>r</w:t>
      </w:r>
      <w:r>
        <w:t>hältnisse aus, ohne jedoch die Polygamie</w:t>
      </w:r>
      <w:r w:rsidR="00363C1C">
        <w:fldChar w:fldCharType="begin"/>
      </w:r>
      <w:r w:rsidR="00AD7AF5">
        <w:instrText xml:space="preserve"> XE "</w:instrText>
      </w:r>
      <w:r w:rsidR="00AD7AF5" w:rsidRPr="002B4B94">
        <w:instrText>Polygamie</w:instrText>
      </w:r>
      <w:r w:rsidR="00AD7AF5">
        <w:instrText xml:space="preserve">" </w:instrText>
      </w:r>
      <w:r w:rsidR="00363C1C">
        <w:fldChar w:fldCharType="end"/>
      </w:r>
      <w:r>
        <w:t xml:space="preserve"> als eine christlich zu verantwortende Eheform zu befürworten.“</w:t>
      </w:r>
      <w:r>
        <w:rPr>
          <w:rStyle w:val="Funotenzeichen"/>
        </w:rPr>
        <w:footnoteReference w:id="212"/>
      </w:r>
      <w:r>
        <w:t xml:space="preserve"> Hintergrund ist, dass ein rigoroses Durchgreifen viele davon abhält, sich taufen zu lassen.</w:t>
      </w:r>
    </w:p>
    <w:p w:rsidR="00CF6655" w:rsidRDefault="00CF6655" w:rsidP="00CF6655">
      <w:pPr>
        <w:pStyle w:val="Text"/>
      </w:pPr>
      <w:r>
        <w:lastRenderedPageBreak/>
        <w:t>Die Missionare dagegen entwickeln eine Auffassung von Buße, die zynisch erscheint: „Nur der, der bußfertig in dem Sinne ist, dass er bis auf eine seine Frauen entlässt, wird […] getauft“.</w:t>
      </w:r>
      <w:r>
        <w:rPr>
          <w:rStyle w:val="Funotenzeichen"/>
        </w:rPr>
        <w:footnoteReference w:id="213"/>
      </w:r>
      <w:r>
        <w:t xml:space="preserve"> Immerhin hat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Fragen zu dieser Praxis:</w:t>
      </w:r>
    </w:p>
    <w:p w:rsidR="00CF6655" w:rsidRDefault="00CF6655" w:rsidP="00CF6655">
      <w:pPr>
        <w:pStyle w:val="Zitat"/>
      </w:pPr>
      <w:r>
        <w:t>Gegen dieses Verständnis von Buße erhebt die Deputation</w:t>
      </w:r>
      <w:r w:rsidR="00363C1C">
        <w:fldChar w:fldCharType="begin"/>
      </w:r>
      <w:r w:rsidR="003264BA">
        <w:instrText xml:space="preserve"> XE "</w:instrText>
      </w:r>
      <w:r w:rsidR="003264BA" w:rsidRPr="002762AE">
        <w:instrText>Deputation der RMG</w:instrText>
      </w:r>
      <w:r w:rsidR="003264BA">
        <w:instrText xml:space="preserve">" </w:instrText>
      </w:r>
      <w:r w:rsidR="00363C1C">
        <w:fldChar w:fldCharType="end"/>
      </w:r>
      <w:r>
        <w:t xml:space="preserve"> Einspruch, da sie das einfache Weggeben der übrigen Frauen in einem Land, wo dies ohnehin ü</w:t>
      </w:r>
      <w:r>
        <w:t>b</w:t>
      </w:r>
      <w:r>
        <w:t>lich ist, nicht für ein überzeugendes Zeichen von Sinnesänderung halten kann. Außerdem fragt sie Missionare, ob nicht mancher Ehemann, der aus „Pietät“ seine überzähligen Frauen nicht wegschickt, vor Gott nicht „wohlgefälliger“ sei […].</w:t>
      </w:r>
      <w:r>
        <w:rPr>
          <w:rStyle w:val="Funotenzeichen"/>
        </w:rPr>
        <w:footnoteReference w:id="214"/>
      </w:r>
    </w:p>
    <w:p w:rsidR="00CF6655" w:rsidRDefault="00CF6655" w:rsidP="00FD298F">
      <w:pPr>
        <w:pStyle w:val="Text"/>
        <w:ind w:firstLine="0"/>
      </w:pPr>
      <w:r>
        <w:t>Auch hier stellt man fest, dass die Frauen nur als Leerstelle, als ‚Absenz‘ im Di</w:t>
      </w:r>
      <w:r>
        <w:t>s</w:t>
      </w:r>
      <w:r>
        <w:t>kurs</w:t>
      </w:r>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r>
        <w:t xml:space="preserve"> vorhanden sind, als diejenigen, deren Position auf auffällige Art fehlt und deren Wohlergehen unter keinen Umständen ein Argument sein darf. Selbst der zweite der vorgebrachten Einwände gegen die gegebene Praxis der ‚Buße‘ wird wiederum konsequent aus männlicher Sicht verhandelt: Die bessere Behandlung der Frauen kann nur als Mittel zum Seelenheil ihrer Ehemänner thematisiert werden.</w:t>
      </w:r>
    </w:p>
    <w:p w:rsidR="00CF6655" w:rsidRDefault="00CF6655" w:rsidP="00FD298F">
      <w:pPr>
        <w:pStyle w:val="Titel3"/>
      </w:pPr>
      <w:bookmarkStart w:id="339" w:name="_Toc130260749"/>
      <w:bookmarkStart w:id="340" w:name="_Toc327388049"/>
      <w:r>
        <w:t>Die Entmachtung der Frauen</w:t>
      </w:r>
      <w:bookmarkEnd w:id="339"/>
      <w:bookmarkEnd w:id="340"/>
    </w:p>
    <w:p w:rsidR="00CF6655" w:rsidRDefault="00CF6655" w:rsidP="00FD298F">
      <w:pPr>
        <w:pStyle w:val="Text"/>
        <w:ind w:firstLine="0"/>
      </w:pPr>
      <w:r>
        <w:t xml:space="preserve">Die im </w:t>
      </w:r>
      <w:r w:rsidR="002C2346">
        <w:t>A</w:t>
      </w:r>
      <w:r>
        <w:t>llgemeinen konservative Grundhaltung der Missionare der Rheinischen Missionsgesellschaft zeigt sich deutlich bei den Gesetzen, die Mitte des 19. Jah</w:t>
      </w:r>
      <w:r>
        <w:t>r</w:t>
      </w:r>
      <w:r>
        <w:t>hunderts in den neu gegründeten Gemeinden eingeführt wurden. Beispielsweise wurde von Missionar Knudsen im „Ry</w:t>
      </w:r>
      <w:r w:rsidR="00695979">
        <w:t>k</w:t>
      </w:r>
      <w:r>
        <w:t>sboek</w:t>
      </w:r>
      <w:r w:rsidR="00363C1C">
        <w:fldChar w:fldCharType="begin"/>
      </w:r>
      <w:r w:rsidR="005E00D3">
        <w:instrText xml:space="preserve"> XE "</w:instrText>
      </w:r>
      <w:r w:rsidR="005E00D3" w:rsidRPr="00FD1566">
        <w:instrText>Ryksboek (Bethanien)</w:instrText>
      </w:r>
      <w:r w:rsidR="005E00D3">
        <w:instrText xml:space="preserve">" </w:instrText>
      </w:r>
      <w:r w:rsidR="00363C1C">
        <w:fldChar w:fldCharType="end"/>
      </w:r>
      <w:r>
        <w:t>“ von Bethanien</w:t>
      </w:r>
      <w:r w:rsidR="00363C1C">
        <w:fldChar w:fldCharType="begin"/>
      </w:r>
      <w:r w:rsidR="001F21DF">
        <w:instrText xml:space="preserve"> XE "</w:instrText>
      </w:r>
      <w:r w:rsidR="001F21DF" w:rsidRPr="001F21DF">
        <w:instrText>Bethanien</w:instrText>
      </w:r>
      <w:r w:rsidR="001F21DF">
        <w:instrText xml:space="preserve">" </w:instrText>
      </w:r>
      <w:r w:rsidR="00363C1C">
        <w:fldChar w:fldCharType="end"/>
      </w:r>
      <w:r>
        <w:t xml:space="preserve"> (1847), mit dem auch die Todesstrafe</w:t>
      </w:r>
      <w:r w:rsidR="00363C1C">
        <w:fldChar w:fldCharType="begin"/>
      </w:r>
      <w:r w:rsidR="009E4305">
        <w:instrText xml:space="preserve"> XE "</w:instrText>
      </w:r>
      <w:r w:rsidR="009E4305" w:rsidRPr="00E54DE1">
        <w:instrText>Todesstrafe</w:instrText>
      </w:r>
      <w:r w:rsidR="009E4305">
        <w:instrText xml:space="preserve">" </w:instrText>
      </w:r>
      <w:r w:rsidR="00363C1C">
        <w:fldChar w:fldCharType="end"/>
      </w:r>
      <w:r>
        <w:t xml:space="preserve"> eingeführt wurde, festgelegt, dass die Position des Häup</w:t>
      </w:r>
      <w:r>
        <w:t>t</w:t>
      </w:r>
      <w:r>
        <w:t>lings nie an eine Frau übergehen darf und Frauen kein Stimmrecht in der Rat</w:t>
      </w:r>
      <w:r>
        <w:t>s</w:t>
      </w:r>
      <w:r>
        <w:t>versammlung haben. Für Ungehorsam der Frauen werden drakonische Strafen eingeführt: „Wenn aber die Frau ihrem Mann ungehorsam ist, und er sie beim Rat verklagt, so empfängt sie 7 Schläge und muss einen Tag am Schandpfahl st</w:t>
      </w:r>
      <w:r>
        <w:t>e</w:t>
      </w:r>
      <w:r>
        <w:t>hen.“ Frauen werden in klaren Worten zum Schweigen gebracht: „Eine Frau la</w:t>
      </w:r>
      <w:r>
        <w:t>s</w:t>
      </w:r>
      <w:r>
        <w:t>se sich in Stille belehren, in aller Untertänigkeit; doch ich lasse es der Frau nicht zu, dass sie lehre, noch über den Mann herrsche, sondern will, dass sie still sei. Denn Adam ist zuerst geschaffen worden, danach Eva.“</w:t>
      </w:r>
      <w:r>
        <w:rPr>
          <w:rStyle w:val="Funotenzeichen"/>
        </w:rPr>
        <w:footnoteReference w:id="215"/>
      </w:r>
    </w:p>
    <w:p w:rsidR="00CF6655" w:rsidRDefault="00CF6655" w:rsidP="00CF6655">
      <w:pPr>
        <w:pStyle w:val="Text"/>
      </w:pPr>
      <w:r>
        <w:t>Auch ein Verbot der Polygamie</w:t>
      </w:r>
      <w:r w:rsidR="00363C1C">
        <w:fldChar w:fldCharType="begin"/>
      </w:r>
      <w:r w:rsidR="00AD7AF5">
        <w:instrText xml:space="preserve"> XE "</w:instrText>
      </w:r>
      <w:r w:rsidR="00AD7AF5" w:rsidRPr="002B4B94">
        <w:instrText>Polygamie</w:instrText>
      </w:r>
      <w:r w:rsidR="00AD7AF5">
        <w:instrText xml:space="preserve">" </w:instrText>
      </w:r>
      <w:r w:rsidR="00363C1C">
        <w:fldChar w:fldCharType="end"/>
      </w:r>
      <w:r>
        <w:t xml:space="preserve"> wurde ausgesprochen, das </w:t>
      </w:r>
      <w:r w:rsidR="002C2346">
        <w:t>trotz mögliche</w:t>
      </w:r>
      <w:r w:rsidR="002C2346">
        <w:t>r</w:t>
      </w:r>
      <w:r w:rsidR="002C2346">
        <w:t xml:space="preserve">weise guter Absicht </w:t>
      </w:r>
      <w:r>
        <w:t>zunächst einmal Härten für die Frauen beinhaltete. Die R</w:t>
      </w:r>
      <w:r>
        <w:t>e</w:t>
      </w:r>
      <w:r>
        <w:t xml:space="preserve">gelung hieß: „Ein Mann, der mehr als eine Frau hat, soll die älteste heiraten und </w:t>
      </w:r>
      <w:r>
        <w:lastRenderedPageBreak/>
        <w:t>die anderen verlassen.“</w:t>
      </w:r>
      <w:r>
        <w:rPr>
          <w:rStyle w:val="Funotenzeichen"/>
        </w:rPr>
        <w:footnoteReference w:id="216"/>
      </w:r>
      <w:r>
        <w:t xml:space="preserve"> Für die Frauen bedeutete das allerdings oft den Weg ins soziale Abseits; sie verloren Ehemann, Versorger und sozialen Status z</w:t>
      </w:r>
      <w:r>
        <w:t>u</w:t>
      </w:r>
      <w:r>
        <w:t>gleich.</w:t>
      </w:r>
    </w:p>
    <w:p w:rsidR="00CF6655" w:rsidRDefault="00CF6655" w:rsidP="00CF6655">
      <w:pPr>
        <w:pStyle w:val="Text"/>
      </w:pPr>
      <w:r>
        <w:t>Spiecker nimmt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auf diese Praxis missbilligend Bezug, jedoch ohne zu erwähnen, dass sie von der Mission selbst eingeführt und das Wegsch</w:t>
      </w:r>
      <w:r>
        <w:t>i</w:t>
      </w:r>
      <w:r>
        <w:t xml:space="preserve">cken der Frauen damit explizit sanktioniert wurde. (608) Wenn er die Frauen als „die reinen Sklavinnen des Mannes“ bezeichnet, kommt er offenbar nicht auf die Idee, dass die Mission an diesem gegenwärtigen Zustand nicht unschuldig ist. So wird ihm die zuerst von einem Missionar der RMG erlassene Regelung zu einem Beispiel für die Rückständigkeit der Schwarzen. </w:t>
      </w:r>
    </w:p>
    <w:p w:rsidR="00CF6655" w:rsidRDefault="00F44641" w:rsidP="00CF6655">
      <w:pPr>
        <w:pStyle w:val="Text"/>
      </w:pPr>
      <w:r>
        <w:t>In Windhu</w:t>
      </w:r>
      <w:r w:rsidR="00CF6655">
        <w:t>k</w:t>
      </w:r>
      <w:r w:rsidR="00363C1C">
        <w:fldChar w:fldCharType="begin"/>
      </w:r>
      <w:r w:rsidR="00695979">
        <w:instrText xml:space="preserve"> XE "</w:instrText>
      </w:r>
      <w:r>
        <w:instrText>Windhu</w:instrText>
      </w:r>
      <w:r w:rsidR="00695979" w:rsidRPr="00EB5F1C">
        <w:instrText>k</w:instrText>
      </w:r>
      <w:r w:rsidR="00695979">
        <w:instrText xml:space="preserve">" </w:instrText>
      </w:r>
      <w:r w:rsidR="00363C1C">
        <w:fldChar w:fldCharType="end"/>
      </w:r>
      <w:r w:rsidR="00CF6655">
        <w:t xml:space="preserve"> wird, wie Ursula Trüper feststellt, durch </w:t>
      </w:r>
      <w:r w:rsidR="00695979">
        <w:t xml:space="preserve">den </w:t>
      </w:r>
      <w:r w:rsidR="00CF6655">
        <w:t>Missionar Klei</w:t>
      </w:r>
      <w:r w:rsidR="00CF6655">
        <w:t>n</w:t>
      </w:r>
      <w:r w:rsidR="00CF6655">
        <w:t>schmidt</w:t>
      </w:r>
      <w:r w:rsidR="00363C1C">
        <w:fldChar w:fldCharType="begin"/>
      </w:r>
      <w:r w:rsidR="00695979">
        <w:instrText xml:space="preserve"> XE "</w:instrText>
      </w:r>
      <w:r w:rsidR="00695979" w:rsidRPr="00803A59">
        <w:instrText>Kleinschmidt, Br.</w:instrText>
      </w:r>
      <w:r w:rsidR="00695979">
        <w:instrText xml:space="preserve">" </w:instrText>
      </w:r>
      <w:r w:rsidR="00363C1C">
        <w:fldChar w:fldCharType="end"/>
      </w:r>
      <w:r w:rsidR="00CF6655">
        <w:t xml:space="preserve"> eine Neuordnung des Geschlechterverhältnisses vorgenommen; jedoch geschieht dies zunächst aus kulturellem Unverständnis. Kleinschmidt</w:t>
      </w:r>
      <w:r w:rsidR="00363C1C">
        <w:fldChar w:fldCharType="begin"/>
      </w:r>
      <w:r w:rsidR="00695979">
        <w:instrText xml:space="preserve"> XE "</w:instrText>
      </w:r>
      <w:r w:rsidR="00695979" w:rsidRPr="00803A59">
        <w:instrText>Kleinschmidt, Br.</w:instrText>
      </w:r>
      <w:r w:rsidR="00695979">
        <w:instrText xml:space="preserve">" </w:instrText>
      </w:r>
      <w:r w:rsidR="00363C1C">
        <w:fldChar w:fldCharType="end"/>
      </w:r>
      <w:r w:rsidR="00CF6655">
        <w:t>, der g</w:t>
      </w:r>
      <w:r w:rsidR="00CF6655">
        <w:t>e</w:t>
      </w:r>
      <w:r w:rsidR="00CF6655">
        <w:t>lernter Schreiner ist, zeigt den Männern, wie man Häuser aus Stein und Holz baut. Darüber kommt es zum Konflikt mit den Frauen, die kollektiv den Platz verlassen – denn das Bauen der Mattenhütten ist bei den Khoikhoi</w:t>
      </w:r>
      <w:r w:rsidR="00363C1C">
        <w:fldChar w:fldCharType="begin"/>
      </w:r>
      <w:r w:rsidR="009621ED">
        <w:instrText xml:space="preserve"> XE "</w:instrText>
      </w:r>
      <w:r w:rsidR="009621ED" w:rsidRPr="00853527">
        <w:instrText>Khoikhoi</w:instrText>
      </w:r>
      <w:r w:rsidR="009621ED">
        <w:instrText xml:space="preserve">" </w:instrText>
      </w:r>
      <w:r w:rsidR="00363C1C">
        <w:fldChar w:fldCharType="end"/>
      </w:r>
      <w:r w:rsidR="00004A81">
        <w:rPr>
          <w:rStyle w:val="Funotenzeichen"/>
        </w:rPr>
        <w:footnoteReference w:id="217"/>
      </w:r>
      <w:r w:rsidR="00CF6655">
        <w:t xml:space="preserve"> traditionell die Arbeit der Frauen, denen die Hütten dann auch gehören. Es kommt zu e</w:t>
      </w:r>
      <w:r w:rsidR="00CF6655">
        <w:t>i</w:t>
      </w:r>
      <w:r w:rsidR="00CF6655">
        <w:t>nem eskalierenden Konflikt zwischen den Geschlechtern; und da sich Häuptling (Jonker Afrikaner</w:t>
      </w:r>
      <w:r w:rsidR="00363C1C">
        <w:fldChar w:fldCharType="begin"/>
      </w:r>
      <w:r w:rsidR="005A705C">
        <w:instrText xml:space="preserve"> XE "</w:instrText>
      </w:r>
      <w:r w:rsidR="005A705C" w:rsidRPr="00F134AC">
        <w:instrText>Jonker Afrikaner, Häuptling</w:instrText>
      </w:r>
      <w:r w:rsidR="005A705C">
        <w:instrText xml:space="preserve">" </w:instrText>
      </w:r>
      <w:r w:rsidR="00363C1C">
        <w:fldChar w:fldCharType="end"/>
      </w:r>
      <w:r w:rsidR="00CF6655">
        <w:t xml:space="preserve">) und Missionar hier ganz einig sind, wird die am lautesten Protestierende (die Schwester des Häuptlings) nach der Predigt öffentlich von der Gemeinde ausgeschlossen! Vom Rat wird ein neues Gesetz erlassen, das „zankende Frauen“ mit Stockschlägen bestraft. Diese Vorgänge sind </w:t>
      </w:r>
      <w:proofErr w:type="gramStart"/>
      <w:r w:rsidR="00CF6655">
        <w:t>um so</w:t>
      </w:r>
      <w:proofErr w:type="gramEnd"/>
      <w:r w:rsidR="00CF6655">
        <w:t xml:space="preserve"> b</w:t>
      </w:r>
      <w:r w:rsidR="00CF6655">
        <w:t>e</w:t>
      </w:r>
      <w:r w:rsidR="00CF6655">
        <w:t>merkenswerter, als Jonker Afrikaner</w:t>
      </w:r>
      <w:r w:rsidR="00363C1C">
        <w:fldChar w:fldCharType="begin"/>
      </w:r>
      <w:r w:rsidR="005A705C">
        <w:instrText xml:space="preserve"> XE "</w:instrText>
      </w:r>
      <w:r w:rsidR="005A705C" w:rsidRPr="00F134AC">
        <w:instrText>Jonker Afrikaner, Häuptling</w:instrText>
      </w:r>
      <w:r w:rsidR="005A705C">
        <w:instrText xml:space="preserve">" </w:instrText>
      </w:r>
      <w:r w:rsidR="00363C1C">
        <w:fldChar w:fldCharType="end"/>
      </w:r>
      <w:r w:rsidR="00CF6655">
        <w:t xml:space="preserve"> im Allgemeinen als fähiger Stammesführer betrachtet wird, der viele Reformen durchführte. Die Einschränkung der Frauen gestaltete sich hier also als aktive Neuordnung des Gemeinwesens.</w:t>
      </w:r>
      <w:r w:rsidR="00CF6655">
        <w:rPr>
          <w:rStyle w:val="Funotenzeichen"/>
        </w:rPr>
        <w:footnoteReference w:id="218"/>
      </w:r>
    </w:p>
    <w:p w:rsidR="00CF6655" w:rsidRDefault="00CF6655" w:rsidP="009D50E3">
      <w:pPr>
        <w:pStyle w:val="Titel"/>
      </w:pPr>
      <w:bookmarkStart w:id="341" w:name="_Toc122313671"/>
      <w:bookmarkStart w:id="342" w:name="_Toc122313759"/>
      <w:bookmarkStart w:id="343" w:name="_Toc130260750"/>
      <w:bookmarkStart w:id="344" w:name="_Toc327388050"/>
      <w:r>
        <w:t>Die Kolonisat</w:t>
      </w:r>
      <w:bookmarkEnd w:id="341"/>
      <w:bookmarkEnd w:id="342"/>
      <w:r>
        <w:t>ion</w:t>
      </w:r>
      <w:bookmarkEnd w:id="343"/>
      <w:bookmarkEnd w:id="344"/>
    </w:p>
    <w:p w:rsidR="00CF6655" w:rsidRDefault="00CF6655" w:rsidP="009D50E3">
      <w:pPr>
        <w:pStyle w:val="Text"/>
        <w:ind w:firstLine="0"/>
      </w:pPr>
      <w:r>
        <w:t>Spieckers Blick auf das Kolonialsystem muss vor dem Hintergrund des zwiespä</w:t>
      </w:r>
      <w:r>
        <w:t>l</w:t>
      </w:r>
      <w:r>
        <w:t>tigen Verhältnisses gesehen werden, dass die Mission zur Kolonisation hatte. Es ist bereits erläutert worden, dass Mission und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für die Rechtfert</w:t>
      </w:r>
      <w:r>
        <w:t>i</w:t>
      </w:r>
      <w:r>
        <w:t xml:space="preserve">gung der Kolonisation eine wichtige Rolle spielten (vgl. Abschnitt </w:t>
      </w:r>
      <w:r w:rsidR="00363C1C">
        <w:fldChar w:fldCharType="begin"/>
      </w:r>
      <w:r w:rsidR="00AC5289">
        <w:instrText xml:space="preserve"> REF _Ref325355968 \r \h </w:instrText>
      </w:r>
      <w:r w:rsidR="00363C1C">
        <w:fldChar w:fldCharType="separate"/>
      </w:r>
      <w:r w:rsidR="00216538">
        <w:t>2.4.1</w:t>
      </w:r>
      <w:r w:rsidR="00363C1C">
        <w:fldChar w:fldCharType="end"/>
      </w:r>
      <w:r>
        <w:t xml:space="preserve"> und </w:t>
      </w:r>
      <w:r w:rsidR="00363C1C">
        <w:fldChar w:fldCharType="begin"/>
      </w:r>
      <w:r w:rsidR="00AC5289">
        <w:instrText xml:space="preserve"> REF _Ref325355978 \r \h </w:instrText>
      </w:r>
      <w:r w:rsidR="00363C1C">
        <w:fldChar w:fldCharType="separate"/>
      </w:r>
      <w:r w:rsidR="00216538">
        <w:t>2.4.2</w:t>
      </w:r>
      <w:r w:rsidR="00363C1C">
        <w:fldChar w:fldCharType="end"/>
      </w:r>
      <w:r>
        <w:t>). Doch von den ideologischen Zusammenhängen einmal abgesehen, die zwischen Mission und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bestanden, gab es auch den Aspekt der </w:t>
      </w:r>
      <w:r>
        <w:lastRenderedPageBreak/>
        <w:t>konkreten Beeinflussung. Man kann von zwei Machtsystemen sprechen, die im selben Gebiet koexistierten und auf vielfältige Weise interagierten. Zwei zentrale Aspekte sind dabei zu unterscheiden. Mit Horst Gründers Worten:</w:t>
      </w:r>
    </w:p>
    <w:p w:rsidR="00CF6655" w:rsidRDefault="00CF6655" w:rsidP="00CF6655">
      <w:pPr>
        <w:pStyle w:val="Zitat"/>
      </w:pPr>
      <w:r>
        <w:t>Getreu ihren europäischen Normen und Denkvorstellungen erstrebten [die Missionare] „geordnete Verhältnisse“, die ihnen den Aufbau von Gemeinden und eine enge Kooperation von „Staat“ und Kirche ermöglichten. Die anh</w:t>
      </w:r>
      <w:r>
        <w:t>e</w:t>
      </w:r>
      <w:r>
        <w:t>bende deutsche Kolonialexpansion fand daher nicht nur Zustimmung bei den Missionaren vor Ort und von seiten der Missionsleitung in der Heimat, die Festsetzung der Deutschen in Südwestafrika wurde von der Missionsgesel</w:t>
      </w:r>
      <w:r>
        <w:t>l</w:t>
      </w:r>
      <w:r>
        <w:t>schaft durch ihre vielfältigen Vermittlungsdienste und Vorschläge zur Behan</w:t>
      </w:r>
      <w:r>
        <w:t>d</w:t>
      </w:r>
      <w:r>
        <w:t>lung und Gewinnung der Eingeborenen auch entscheidend gefördert. Bis 1897 hat die Mission somit zu einem ganz beträchtlichen Teil dazu beigetragen, daß aus der losen Schutzherrschaft des Reichs ein weitgehend stabilisiertes Kolon</w:t>
      </w:r>
      <w:r>
        <w:t>i</w:t>
      </w:r>
      <w:r>
        <w:t>alregime wurde.</w:t>
      </w:r>
      <w:r>
        <w:rPr>
          <w:rStyle w:val="Funotenzeichen"/>
        </w:rPr>
        <w:footnoteReference w:id="219"/>
      </w:r>
    </w:p>
    <w:p w:rsidR="00CF6655" w:rsidRDefault="00CF6655" w:rsidP="009D50E3">
      <w:pPr>
        <w:pStyle w:val="Text"/>
        <w:ind w:firstLine="0"/>
      </w:pPr>
      <w:r>
        <w:t>Die Voraussetzung für die Bejahung der Kolonisation – der Glaube an die eur</w:t>
      </w:r>
      <w:r>
        <w:t>o</w:t>
      </w:r>
      <w:r>
        <w:t>päische Überlegenheit und die „Last des weißen Mannes“, den Schwarzen die Kultur zu bringen – war also die gleiche. Doch im Gegensatz zur Kolonialregi</w:t>
      </w:r>
      <w:r>
        <w:t>e</w:t>
      </w:r>
      <w:r>
        <w:t>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den Händlern und den Siedlern kommt die Mission nicht in den Verdacht, diese Ideologie sei ein bloßer Vorwand für Machtergreifung, Ausbeutung und Sicherung von Privilegien. Denn für die Mission waren die Afrikaner immer gleichzeitig auch ihre Gemeindemitglieder:</w:t>
      </w:r>
    </w:p>
    <w:p w:rsidR="00CF6655" w:rsidRDefault="00CF6655" w:rsidP="00CF6655">
      <w:pPr>
        <w:pStyle w:val="Zitat"/>
      </w:pPr>
      <w:r>
        <w:t>Die Mission ist es dann allerdings gewesen, die nach der Pazifizierung der K</w:t>
      </w:r>
      <w:r>
        <w:t>o</w:t>
      </w:r>
      <w:r>
        <w:t>lonie auf den fortschreitenden Prozeß der Stammesauflösung und die zune</w:t>
      </w:r>
      <w:r>
        <w:t>h</w:t>
      </w:r>
      <w:r>
        <w:t>mende Resignation bei den Einheimischen verwiesen hat und in – freundlich, aber ausweichend beantworteten – Eingaben an das Auswärtige Amt für die Rechte der Eingeborenen eingetreten ist.</w:t>
      </w:r>
      <w:r>
        <w:rPr>
          <w:rStyle w:val="Funotenzeichen"/>
        </w:rPr>
        <w:footnoteReference w:id="220"/>
      </w:r>
    </w:p>
    <w:p w:rsidR="00CF6655" w:rsidRDefault="00CF6655" w:rsidP="009D50E3">
      <w:pPr>
        <w:pStyle w:val="Text"/>
        <w:ind w:firstLine="0"/>
      </w:pPr>
      <w:r>
        <w:t>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dagegen setzte sich vor allem für die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in zweiter Linie auch für die Händler ein; selbst die Rechte ausländischer (aber weißer) Händler kamen für sie vor denen der Schwarzen, die sie zu regieren beanspruc</w:t>
      </w:r>
      <w:r>
        <w:t>h</w:t>
      </w:r>
      <w:r>
        <w:t>ten. Zu dem Zeitpunkt von Spieckers Reise ist das Verhältnis zwischen Mission und Kolonialsystem daher längst nicht mehr unbelastet. Vor allem aber blieb es durch die beiden gegenläufigen Kräfte, die genannt wurden, von einer fundame</w:t>
      </w:r>
      <w:r>
        <w:t>n</w:t>
      </w:r>
      <w:r>
        <w:t>talen Ambivalenz geprägt. Diese drückt sich auch darin aus, dass Spiecker selten zu einem eindeutigen Urteil über das Kolonialsystem und seine Vertreter kommt; bei entschiedener Kritik bleibt er doch in einer grundsätzlich affirmat</w:t>
      </w:r>
      <w:r>
        <w:t>i</w:t>
      </w:r>
      <w:r>
        <w:t>ven Haltung stehen, so dass er alles in allem seinen Verhandlungspartnern immer wieder von gleich zu gleich, aber auch ohne Zweifel an ihrer oder seiner Legit</w:t>
      </w:r>
      <w:r>
        <w:t>i</w:t>
      </w:r>
      <w:r>
        <w:t>mation gegenüber tritt.</w:t>
      </w:r>
    </w:p>
    <w:p w:rsidR="00CF6655" w:rsidRDefault="00CF6655" w:rsidP="009D50E3">
      <w:pPr>
        <w:pStyle w:val="Titel2"/>
      </w:pPr>
      <w:bookmarkStart w:id="345" w:name="_Toc130260751"/>
      <w:bookmarkStart w:id="346" w:name="_Toc327388051"/>
      <w:r>
        <w:lastRenderedPageBreak/>
        <w:t>Begegnungen mit dem System</w:t>
      </w:r>
      <w:bookmarkEnd w:id="345"/>
      <w:bookmarkEnd w:id="346"/>
    </w:p>
    <w:p w:rsidR="00CF6655" w:rsidRDefault="00CF6655" w:rsidP="009D50E3">
      <w:pPr>
        <w:pStyle w:val="Titel3"/>
      </w:pPr>
      <w:bookmarkStart w:id="347" w:name="_Toc130260752"/>
      <w:bookmarkStart w:id="348" w:name="_Ref325356654"/>
      <w:bookmarkStart w:id="349" w:name="_Ref325357788"/>
      <w:bookmarkStart w:id="350" w:name="_Toc327388052"/>
      <w:r>
        <w:t>Gouverneur von Lindequist</w:t>
      </w:r>
      <w:bookmarkEnd w:id="347"/>
      <w:bookmarkEnd w:id="348"/>
      <w:bookmarkEnd w:id="349"/>
      <w:bookmarkEnd w:id="350"/>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p>
    <w:p w:rsidR="00CF6655" w:rsidRDefault="00CF6655" w:rsidP="009D50E3">
      <w:pPr>
        <w:pStyle w:val="Text"/>
        <w:ind w:firstLine="0"/>
      </w:pPr>
      <w:r>
        <w:t>Bereits auf der Reise von London</w:t>
      </w:r>
      <w:r w:rsidR="00363C1C">
        <w:fldChar w:fldCharType="begin"/>
      </w:r>
      <w:r w:rsidR="00710612">
        <w:instrText xml:space="preserve"> XE "</w:instrText>
      </w:r>
      <w:r w:rsidR="00710612" w:rsidRPr="00710612">
        <w:instrText>London</w:instrText>
      </w:r>
      <w:r w:rsidR="00710612">
        <w:instrText xml:space="preserve">" </w:instrText>
      </w:r>
      <w:r w:rsidR="00363C1C">
        <w:fldChar w:fldCharType="end"/>
      </w:r>
      <w:r>
        <w:t xml:space="preserve"> nach </w:t>
      </w:r>
      <w:r w:rsidR="00710612">
        <w:t>Kapstadt</w:t>
      </w:r>
      <w:r w:rsidR="00363C1C">
        <w:fldChar w:fldCharType="begin"/>
      </w:r>
      <w:r w:rsidR="00710612">
        <w:instrText xml:space="preserve"> XE "Kapstadt" </w:instrText>
      </w:r>
      <w:r w:rsidR="00363C1C">
        <w:fldChar w:fldCharType="end"/>
      </w:r>
      <w:r>
        <w:t xml:space="preserve"> auf dem Schiff „Kenilworth castle“</w:t>
      </w:r>
      <w:r w:rsidR="00581EB2">
        <w:rPr>
          <w:rStyle w:val="Funotenzeichen"/>
        </w:rPr>
        <w:footnoteReference w:id="221"/>
      </w:r>
      <w:r>
        <w:t xml:space="preserve"> trifft Spiecker den neuen Gouverneur von Südafrika, von 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Sein Verhältnis zu diesem Mann verändert sich nach und nach, je mehr er von seiner Politik erfährt, wie die im folgenden chronologisch angeordneten Zitate zeigen.</w:t>
      </w:r>
    </w:p>
    <w:p w:rsidR="00CF6655" w:rsidRDefault="00CF6655" w:rsidP="00CF6655">
      <w:pPr>
        <w:pStyle w:val="Text"/>
      </w:pPr>
      <w:r>
        <w:t>Der Gouverneur wird begleitet vom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der keine diplomatische Zurückhaltung nötig hat und der Klartext redet, wo sein Chef sich diplomatisch zurückhält.</w:t>
      </w:r>
    </w:p>
    <w:p w:rsidR="00CF6655" w:rsidRDefault="00CF6655" w:rsidP="00CF6655">
      <w:pPr>
        <w:pStyle w:val="Zitat"/>
      </w:pPr>
      <w:r>
        <w:t>[19.10.1905:] Heute gab ich dem Gouverneur auch den Report der Eingebor</w:t>
      </w:r>
      <w:r>
        <w:t>e</w:t>
      </w:r>
      <w:r>
        <w:t xml:space="preserve">nen-Kommission (native commission) von Südafrika. Er saß soeben längere Zeit neben mir und las darin, zeigte aber auch durch verschiedene Äußerungen, daß er keine allzu freundliche Gesinnung gegenüber den Eingeborenen hat. Er muß ja jetzt auch gegenüber der den Eingeborenen angeblich zu freundlichen, </w:t>
      </w:r>
      <w:r w:rsidR="00894235">
        <w:t>„</w:t>
      </w:r>
      <w:r>
        <w:t>schwachen</w:t>
      </w:r>
      <w:r w:rsidR="00894235">
        <w:t>“</w:t>
      </w:r>
      <w:r>
        <w:t xml:space="preserve"> Politik eine andere festere einschlagen. Der Herr gebe ihm rech</w:t>
      </w:r>
      <w:r>
        <w:t>t</w:t>
      </w:r>
      <w:r>
        <w:t>zeitig die klare Erkenntnis, daß vom Wohl der Eingeborenen das Wohl der K</w:t>
      </w:r>
      <w:r>
        <w:t>o</w:t>
      </w:r>
      <w:r>
        <w:t>lonie abhängt. Der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fragte mich heute Morgen u</w:t>
      </w:r>
      <w:r>
        <w:t>n</w:t>
      </w:r>
      <w:r>
        <w:t xml:space="preserve">ter anderem […]: </w:t>
      </w:r>
      <w:r w:rsidR="00894235">
        <w:t>„</w:t>
      </w:r>
      <w:r>
        <w:t>Glauben Sie, daß die schwarzen Afrikaner je zur Höhe u</w:t>
      </w:r>
      <w:r>
        <w:t>n</w:t>
      </w:r>
      <w:r>
        <w:t>serer Bildung kommen werden?</w:t>
      </w:r>
      <w:r w:rsidR="00894235">
        <w:t>“</w:t>
      </w:r>
      <w:r>
        <w:t xml:space="preserve"> Ich sagte: </w:t>
      </w:r>
      <w:r w:rsidR="00894235">
        <w:t>„</w:t>
      </w:r>
      <w:r>
        <w:t>Ja, aber es kann vielleicht noch Jahrhunderte dauern.</w:t>
      </w:r>
      <w:r w:rsidR="00894235">
        <w:t>“</w:t>
      </w:r>
      <w:r>
        <w:t xml:space="preserve"> Er hält das natürlich für ganz unmöglich und wünscht es offenbar auch nicht. Daß das Christentum</w:t>
      </w:r>
      <w:r w:rsidR="00363C1C">
        <w:fldChar w:fldCharType="begin"/>
      </w:r>
      <w:r w:rsidR="00307A36">
        <w:instrText xml:space="preserve"> XE "</w:instrText>
      </w:r>
      <w:r w:rsidR="00307A36" w:rsidRPr="00BF407F">
        <w:instrText>Christentum</w:instrText>
      </w:r>
      <w:r w:rsidR="00307A36">
        <w:instrText xml:space="preserve">" </w:instrText>
      </w:r>
      <w:r w:rsidR="00363C1C">
        <w:fldChar w:fldCharType="end"/>
      </w:r>
      <w:r>
        <w:t xml:space="preserve"> ein wesentlicher Faktor bei der E</w:t>
      </w:r>
      <w:r>
        <w:t>r</w:t>
      </w:r>
      <w:r>
        <w:t>ziehung der europäischen Völker zur Höhe der heutigen Kultur gewesen ist, gibt er in keiner Weise zu. (37f)</w:t>
      </w:r>
    </w:p>
    <w:p w:rsidR="00CF6655" w:rsidRDefault="00CF6655" w:rsidP="00CF6655">
      <w:pPr>
        <w:pStyle w:val="Zitat"/>
      </w:pPr>
      <w:r>
        <w:t>[17.11.1905:] Dem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konnte ich dann mit Empfe</w:t>
      </w:r>
      <w:r>
        <w:t>h</w:t>
      </w:r>
      <w:r>
        <w:t>lungen an den Gouverneur noch bestellen, daß die Lage der Gefangenen in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sich nach dem Bericht Bernsmanns doch wesentlich gebessert habe. (172)</w:t>
      </w:r>
    </w:p>
    <w:p w:rsidR="00CF6655" w:rsidRDefault="00CF6655" w:rsidP="003F2BCE">
      <w:pPr>
        <w:pStyle w:val="Text"/>
        <w:ind w:firstLine="0"/>
      </w:pPr>
      <w:r>
        <w:t>Zu diesem Zeitpunkt hat Spiecker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noch gar nicht besucht; er b</w:t>
      </w:r>
      <w:r>
        <w:t>e</w:t>
      </w:r>
      <w:r>
        <w:t>findet sich noch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und verlässt sich auf Bernsmanns</w:t>
      </w:r>
      <w:r w:rsidR="00363C1C">
        <w:fldChar w:fldCharType="begin"/>
      </w:r>
      <w:r w:rsidR="005A0B6D">
        <w:instrText xml:space="preserve"> XE "</w:instrText>
      </w:r>
      <w:r w:rsidR="005A0B6D" w:rsidRPr="001A2A8D">
        <w:instrText>Bernsmann, Br.</w:instrText>
      </w:r>
      <w:r w:rsidR="005A0B6D">
        <w:instrText xml:space="preserve">" </w:instrText>
      </w:r>
      <w:r w:rsidR="00363C1C">
        <w:fldChar w:fldCharType="end"/>
      </w:r>
      <w:r>
        <w:t xml:space="preserve"> Aussagen. Der in Lüderitzbucht stationierte Br.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r>
        <w:t xml:space="preserve"> gibt ihm später vor Ort ein anderes Bild: „Bruder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r>
        <w:t xml:space="preserve"> sieht die ganzen Verhältnisse in Lüderitzbucht in recht dun</w:t>
      </w:r>
      <w:r>
        <w:t>k</w:t>
      </w:r>
      <w:r>
        <w:t>lem Licht.“ (463) Während der Schiffsreise hatte Spiecker die Situation der G</w:t>
      </w:r>
      <w:r>
        <w:t>e</w:t>
      </w:r>
      <w:r>
        <w:t>fangenen wiederholt angesprochen; ist er sich nicht im Klaren darüber, dass er seine intensiven Bemühungen um eine Verbesserung der Situation der Gefang</w:t>
      </w:r>
      <w:r>
        <w:t>e</w:t>
      </w:r>
      <w:r>
        <w:t>nen mit dieser Entwarnung selbst durchkreuzt, da der Gouverneur jetzt noch leichter Spieckers Vorhaltungen ignorieren kann? Hier wird deutlich, dass Spi</w:t>
      </w:r>
      <w:r>
        <w:t>e</w:t>
      </w:r>
      <w:r>
        <w:t xml:space="preserve">cker trotz seiner Verhandlungsstärke der politische Instinkt fehlt. Er erkennt </w:t>
      </w:r>
      <w:r>
        <w:lastRenderedPageBreak/>
        <w:t>nicht, dass es nicht auf einen absolut ausgewogenen Standpunkt ankommt, so</w:t>
      </w:r>
      <w:r>
        <w:t>n</w:t>
      </w:r>
      <w:r>
        <w:t>dern dass man sein Anliegen dringlich machen und der Gegenseite die Relativi</w:t>
      </w:r>
      <w:r>
        <w:t>e</w:t>
      </w:r>
      <w:r>
        <w:t>rung überlassen muss, wenn überhaupt etwas erreicht werden soll.</w:t>
      </w:r>
    </w:p>
    <w:p w:rsidR="00CF6655" w:rsidRDefault="00CF6655" w:rsidP="00CF6655">
      <w:pPr>
        <w:pStyle w:val="Text"/>
      </w:pPr>
      <w:r>
        <w:t>Spiecker sieht einen Zusammenhang zwischen Adel und Unterdrückung</w:t>
      </w:r>
      <w:r>
        <w:t>s</w:t>
      </w:r>
      <w:r>
        <w:t>denken. „Er [der Gouverneur] ist eben Aristokrat und sieht seine Aufgabe o</w:t>
      </w:r>
      <w:r>
        <w:t>f</w:t>
      </w:r>
      <w:r>
        <w:t>fenbar nur darin den besten Weg zu finden, auf dem die Eingeborenen ruhig g</w:t>
      </w:r>
      <w:r>
        <w:t>e</w:t>
      </w:r>
      <w:r>
        <w:t>halten und zu guten Dienern der Weißen gemacht werden können.“ (70) Der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und der Legationsrat von Jacobs</w:t>
      </w:r>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r>
        <w:t>, der den Englä</w:t>
      </w:r>
      <w:r>
        <w:t>n</w:t>
      </w:r>
      <w:r>
        <w:t>dern eine Verhätschelung der Eingeborenen vorwirft (273), bestätigen durch ihre Haltung Spieckers Beobachtung; einige Adlige scheinen die Situation in Afrika als Gelegenheit für einen neuen Feudalismus zu betrachten.</w:t>
      </w:r>
    </w:p>
    <w:p w:rsidR="00CF6655" w:rsidRDefault="00CF6655" w:rsidP="00CF6655">
      <w:pPr>
        <w:pStyle w:val="Text"/>
      </w:pPr>
      <w:r>
        <w:t>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xml:space="preserve"> ist erst 1904 an die Stelle von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xml:space="preserve"> getreten. Trotzdem u</w:t>
      </w:r>
      <w:r>
        <w:t>n</w:t>
      </w:r>
      <w:r>
        <w:t>terschätzt Spiecker wohl dessen Macht, wenn er seine Durchsetzungskraft g</w:t>
      </w:r>
      <w:r>
        <w:t>e</w:t>
      </w:r>
      <w:r>
        <w:t>genüber den Siedlern und dem Militär bezweifelt:</w:t>
      </w:r>
    </w:p>
    <w:p w:rsidR="00CF6655" w:rsidRDefault="00CF6655" w:rsidP="00CF6655">
      <w:pPr>
        <w:pStyle w:val="Zitat"/>
      </w:pPr>
      <w:r>
        <w:t>Mit dem Gouverneur werde ich über die Lage der Leute sprechen, doch kann er schwerlich viel tun. Er wird schon sehr angegriffen wegen seiner Eingeborenen- und Missionsfreundlichkeit. (1312)</w:t>
      </w:r>
    </w:p>
    <w:p w:rsidR="00CF6655" w:rsidRDefault="00CF6655" w:rsidP="00CF6655">
      <w:pPr>
        <w:pStyle w:val="Zitat"/>
      </w:pPr>
      <w:r>
        <w:t>Ein Eingreifen der Militairpatrouillen wünscht der Gouverneur nicht und will Übergriffe und Unbedachtsamkeiten der Militairbehörde entschieden abstellen oder zurückweisen. In dieser Hinsicht unterschätzt er offenbar den passiven Widerstand, den die Offiziere dieser Arbeit entgegensetzen. (925)</w:t>
      </w:r>
    </w:p>
    <w:p w:rsidR="00CF6655" w:rsidRDefault="00CF6655" w:rsidP="003F2BCE">
      <w:pPr>
        <w:pStyle w:val="Text"/>
        <w:ind w:firstLine="0"/>
      </w:pPr>
      <w:r>
        <w:t>Spiecker erklärt sich so die Diskrepanz zwischen der entgegenkommenden Ha</w:t>
      </w:r>
      <w:r>
        <w:t>l</w:t>
      </w:r>
      <w:r>
        <w:t>tung des Gouverneurs und seiner Politik, was ihm ermöglicht, auf das g</w:t>
      </w:r>
      <w:r>
        <w:t>e</w:t>
      </w:r>
      <w:r>
        <w:t>sprächsweise versicherte Wohlwollen gegenüber den Eingeborenen und der Mi</w:t>
      </w:r>
      <w:r>
        <w:t>s</w:t>
      </w:r>
      <w:r>
        <w:t>sion weiterhin bauen zu können.</w:t>
      </w:r>
      <w:r>
        <w:rPr>
          <w:rStyle w:val="Funotenzeichen"/>
        </w:rPr>
        <w:footnoteReference w:id="222"/>
      </w:r>
      <w:r>
        <w:t xml:space="preserve"> Denn der mächtigste Mann Südwestafrikas verspricht viel, ohne sich konkret festzulegen, beispielsweise bei der zweiten B</w:t>
      </w:r>
      <w:r>
        <w:t>e</w:t>
      </w:r>
      <w:r>
        <w:t>sprechung (am 10. Mai 1906): „Der Gouverneur empfing uns in seiner bekan</w:t>
      </w:r>
      <w:r>
        <w:t>n</w:t>
      </w:r>
      <w:r>
        <w:t>ten liebenswürdigen Art. […] Besonders ernstlich besprach ich noch einmal die angeordnete Untersuchung der Frauen [auf Geschlechtskrankheiten</w:t>
      </w:r>
      <w:r w:rsidR="00363C1C">
        <w:fldChar w:fldCharType="begin"/>
      </w:r>
      <w:r w:rsidR="00763E6B">
        <w:instrText xml:space="preserve"> XE "</w:instrText>
      </w:r>
      <w:r w:rsidR="00763E6B" w:rsidRPr="005D4C40">
        <w:instrText>Geschlechtskrankheiten</w:instrText>
      </w:r>
      <w:r w:rsidR="00763E6B">
        <w:instrText xml:space="preserve">" </w:instrText>
      </w:r>
      <w:r w:rsidR="00363C1C">
        <w:fldChar w:fldCharType="end"/>
      </w:r>
      <w:r>
        <w:t>]. Ein bi</w:t>
      </w:r>
      <w:r>
        <w:t>n</w:t>
      </w:r>
      <w:r>
        <w:t>dendes Versprechen die Lage zu ändern erhielt ich nicht, doch sollen Mißstände abgestellt werden.“ (925) „Die Besitztitel für das nicht eingetragene Missionse</w:t>
      </w:r>
      <w:r>
        <w:t>i</w:t>
      </w:r>
      <w:r>
        <w:lastRenderedPageBreak/>
        <w:t>gentum will er gerne geben, doch sei er jetzt noch nicht dazu im Stande. 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und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gedenkt er Eingeborenenreservate vielleicht einz</w:t>
      </w:r>
      <w:r>
        <w:t>u</w:t>
      </w:r>
      <w:r>
        <w:t>richten.“ (926) Dieser machtbewusste Mann zeigt gegenüber dem selbstbewusst auftretenden Missionsinspektor, der immer wieder Missstände in der Eingebor</w:t>
      </w:r>
      <w:r>
        <w:t>e</w:t>
      </w:r>
      <w:r>
        <w:t>nenpolitik, Willkür des Militärs und Vernachlässigung berechtigter Wünsche der Missionare anmahnt (zum Beispiel von Bruder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der in Otjihaënena die H</w:t>
      </w:r>
      <w:r>
        <w:t>e</w:t>
      </w:r>
      <w:r>
        <w:t>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aus dem Kampfgebiet holen lässt; 925), keinen Angriffspunkt. Er ist hö</w:t>
      </w:r>
      <w:r>
        <w:t>f</w:t>
      </w:r>
      <w:r>
        <w:t>lich, erkennt alles an und verspricht in vagen Formulierungen Besserung, wohl wissend, dass Spiecker bald wieder abgereist sein wird. Die lokalen Missionare sind dagegen leicht einzuschüchtern (790).</w:t>
      </w:r>
    </w:p>
    <w:p w:rsidR="00CF6655" w:rsidRDefault="00CF6655" w:rsidP="00CF6655">
      <w:pPr>
        <w:pStyle w:val="Text"/>
      </w:pPr>
      <w:r>
        <w:t>„Bruder Olpp</w:t>
      </w:r>
      <w:r w:rsidR="00363C1C">
        <w:fldChar w:fldCharType="begin"/>
      </w:r>
      <w:r w:rsidR="00FD439D">
        <w:instrText xml:space="preserve"> XE "</w:instrText>
      </w:r>
      <w:r w:rsidR="00FD439D" w:rsidRPr="00FD439D">
        <w:instrText>Olpp, Br.</w:instrText>
      </w:r>
      <w:r w:rsidR="00FD439D">
        <w:instrText xml:space="preserve">" </w:instrText>
      </w:r>
      <w:r w:rsidR="00363C1C">
        <w:fldChar w:fldCharType="end"/>
      </w:r>
      <w:r>
        <w:t>, der mich wiederholt unterstützte und ich waren sehr befri</w:t>
      </w:r>
      <w:r>
        <w:t>e</w:t>
      </w:r>
      <w:r>
        <w:t>digt von der ganzen Besprechung“ (927), bemerkt Spiecker abschließend. Er muss es wissen; doch seine eigenen Notizen über das Gespräch klingen weniger ermutigend. Ist der ‚echt lutherisch</w:t>
      </w:r>
      <w:r w:rsidR="00363C1C">
        <w:fldChar w:fldCharType="begin"/>
      </w:r>
      <w:r w:rsidR="006A7F44">
        <w:instrText xml:space="preserve"> XE "</w:instrText>
      </w:r>
      <w:r w:rsidR="006A7F44" w:rsidRPr="009129CE">
        <w:instrText>lutherisch (Evangelisch-lutherische Kirchen)</w:instrText>
      </w:r>
      <w:r w:rsidR="006A7F44">
        <w:instrText xml:space="preserve">" </w:instrText>
      </w:r>
      <w:r w:rsidR="00363C1C">
        <w:fldChar w:fldCharType="end"/>
      </w:r>
      <w:r>
        <w:t>‘ Aufrechte und Direkte, der mit seiner Me</w:t>
      </w:r>
      <w:r>
        <w:t>i</w:t>
      </w:r>
      <w:r>
        <w:t>nung nie hinter dem Berg hält, vielleicht der Verbindlichkeit des Gouverneurs auf den Leim gegangen? „Auf jeden Fall wünschte er mich zu sprechen, ehe ich nach dem Süden reise.“ (927) Um zu wissen, wann die Luft wieder rein ist – ist man versucht zu sagen.</w:t>
      </w:r>
    </w:p>
    <w:p w:rsidR="00CF6655" w:rsidRDefault="00CF6655" w:rsidP="00CF6655">
      <w:pPr>
        <w:pStyle w:val="Text"/>
      </w:pPr>
      <w:r>
        <w:t>Dass Spieckers Wort beim Gouverneur zumindest während seiner Anw</w:t>
      </w:r>
      <w:r>
        <w:t>e</w:t>
      </w:r>
      <w:r>
        <w:t>senheit etwas zählt, zeigt der Fall Alfreds, eines Boten, den 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aus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nach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geschickt hatte und der dort festgehalten wurde (927). Spiecker wird sofort beim Gouverneur vorstellig und kann Alfred</w:t>
      </w:r>
      <w:r w:rsidR="00363C1C">
        <w:fldChar w:fldCharType="begin"/>
      </w:r>
      <w:r w:rsidR="00067D8E">
        <w:instrText xml:space="preserve"> XE "</w:instrText>
      </w:r>
      <w:r w:rsidR="00067D8E" w:rsidRPr="006C6C87">
        <w:instrText>Alfred von Otjosazu</w:instrText>
      </w:r>
      <w:r w:rsidR="00067D8E">
        <w:instrText xml:space="preserve">" </w:instrText>
      </w:r>
      <w:r w:rsidR="00363C1C">
        <w:fldChar w:fldCharType="end"/>
      </w:r>
      <w:r>
        <w:t xml:space="preserve"> am nächsten Morgen abholen, obwohl dieser als Mörder gilt:</w:t>
      </w:r>
    </w:p>
    <w:p w:rsidR="00CF6655" w:rsidRDefault="00CF6655" w:rsidP="00CF6655">
      <w:pPr>
        <w:pStyle w:val="Zitat"/>
      </w:pPr>
      <w:r>
        <w:t>Weniger angenehm war der Besuch bei Hauptmann Barack</w:t>
      </w:r>
      <w:r w:rsidR="00363C1C">
        <w:fldChar w:fldCharType="begin"/>
      </w:r>
      <w:r w:rsidR="00E2128C">
        <w:instrText xml:space="preserve"> XE "</w:instrText>
      </w:r>
      <w:r w:rsidR="00E2128C" w:rsidRPr="00622541">
        <w:instrText>Barack, Hauptmann</w:instrText>
      </w:r>
      <w:r w:rsidR="00E2128C">
        <w:instrText xml:space="preserve">" </w:instrText>
      </w:r>
      <w:r w:rsidR="00363C1C">
        <w:fldChar w:fldCharType="end"/>
      </w:r>
      <w:r>
        <w:t>, den ich von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xml:space="preserve"> aus kenne. Er hatte gerade den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Alfred auf Befehl des Go</w:t>
      </w:r>
      <w:r>
        <w:t>u</w:t>
      </w:r>
      <w:r>
        <w:t>verneurs freigeben müssen, obwohl Alfred geständig war, daß er auf Befehl se</w:t>
      </w:r>
      <w:r>
        <w:t>i</w:t>
      </w:r>
      <w:r>
        <w:t>nes Vaters, des erhängten Häuptlings Zacharias von Otjosazu</w:t>
      </w:r>
      <w:r w:rsidR="00363C1C">
        <w:fldChar w:fldCharType="begin"/>
      </w:r>
      <w:r w:rsidR="00067D8E">
        <w:instrText xml:space="preserve"> XE "</w:instrText>
      </w:r>
      <w:r w:rsidR="00067D8E" w:rsidRPr="001E67E5">
        <w:instrText xml:space="preserve">Zacharias </w:instrText>
      </w:r>
      <w:r w:rsidR="00BC00E1">
        <w:instrText xml:space="preserve">Kukuri </w:instrText>
      </w:r>
      <w:r w:rsidR="00067D8E" w:rsidRPr="001E67E5">
        <w:instrText>von Otjosazu</w:instrText>
      </w:r>
      <w:r w:rsidR="00067D8E">
        <w:instrText xml:space="preserve">" </w:instrText>
      </w:r>
      <w:r w:rsidR="00363C1C">
        <w:fldChar w:fldCharType="end"/>
      </w:r>
      <w:r>
        <w:t xml:space="preserve"> den Händler Friedrichs ermordet habe. Er war offenbar über die ganze Sache sehr ergrimmt, blieb aber formell höflich und hörte meine Wünsche betreffend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an und machte sich die nötigen Notizen. (928f)</w:t>
      </w:r>
    </w:p>
    <w:p w:rsidR="00CF6655" w:rsidRDefault="00CF6655" w:rsidP="003F2BCE">
      <w:pPr>
        <w:pStyle w:val="Text"/>
        <w:ind w:firstLine="0"/>
      </w:pPr>
      <w:r>
        <w:t>Am nächsten Tag nimmt die Sache eine unerwartete Wendung:</w:t>
      </w:r>
    </w:p>
    <w:p w:rsidR="00CF6655" w:rsidRDefault="00CF6655" w:rsidP="00CF6655">
      <w:pPr>
        <w:pStyle w:val="Zitat"/>
      </w:pPr>
      <w:r>
        <w:t>Major Märker</w:t>
      </w:r>
      <w:r w:rsidR="00363C1C">
        <w:fldChar w:fldCharType="begin"/>
      </w:r>
      <w:r w:rsidR="00E2128C">
        <w:instrText xml:space="preserve"> XE "</w:instrText>
      </w:r>
      <w:r w:rsidR="00E2128C" w:rsidRPr="007605EC">
        <w:instrText>Märker, Major (Windhuk)</w:instrText>
      </w:r>
      <w:r w:rsidR="00E2128C">
        <w:instrText xml:space="preserve">" </w:instrText>
      </w:r>
      <w:r w:rsidR="00363C1C">
        <w:fldChar w:fldCharType="end"/>
      </w:r>
      <w:r>
        <w:t xml:space="preserve"> teilte mir noch mit, daß Br. Diehl</w:t>
      </w:r>
      <w:r w:rsidR="00363C1C">
        <w:fldChar w:fldCharType="begin"/>
      </w:r>
      <w:r w:rsidR="00FD439D">
        <w:instrText xml:space="preserve"> XE "</w:instrText>
      </w:r>
      <w:r w:rsidR="00FD439D" w:rsidRPr="00C77132">
        <w:instrText>Diehl, Br.</w:instrText>
      </w:r>
      <w:r w:rsidR="00FD439D">
        <w:instrText xml:space="preserve">" </w:instrText>
      </w:r>
      <w:r w:rsidR="00363C1C">
        <w:fldChar w:fldCharType="end"/>
      </w:r>
      <w:r>
        <w:t xml:space="preserve"> von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ihm telegr</w:t>
      </w:r>
      <w:r>
        <w:t>a</w:t>
      </w:r>
      <w:r>
        <w:t>phiert habe, er solle den Mörder Alfred von Otjosazu</w:t>
      </w:r>
      <w:r w:rsidR="00363C1C">
        <w:fldChar w:fldCharType="begin"/>
      </w:r>
      <w:r w:rsidR="00067D8E">
        <w:instrText xml:space="preserve"> XE "</w:instrText>
      </w:r>
      <w:r w:rsidR="00067D8E" w:rsidRPr="007E0124">
        <w:instrText>Alfred von Otjosazu</w:instrText>
      </w:r>
      <w:r w:rsidR="00067D8E">
        <w:instrText xml:space="preserve">" </w:instrText>
      </w:r>
      <w:r w:rsidR="00363C1C">
        <w:fldChar w:fldCharType="end"/>
      </w:r>
      <w:r>
        <w:t xml:space="preserve"> nur festhalten, die G</w:t>
      </w:r>
      <w:r>
        <w:t>e</w:t>
      </w:r>
      <w:r>
        <w:t>müter hätten sich beruhigt. Alfred ist aber schon nach Otjihaënena zurückg</w:t>
      </w:r>
      <w:r>
        <w:t>e</w:t>
      </w:r>
      <w:r>
        <w:t>kehrt. Hoffentlich […] ordnet sich die ganze Angelegenheit noch. (931)</w:t>
      </w:r>
    </w:p>
    <w:p w:rsidR="00CF6655" w:rsidRDefault="00CF6655" w:rsidP="003F2BCE">
      <w:pPr>
        <w:pStyle w:val="Text"/>
        <w:ind w:firstLine="0"/>
      </w:pPr>
      <w:r>
        <w:t>Diese Anekdote bestätigt den Eindruck, dass Spiecker überall, wo er auftritt, e</w:t>
      </w:r>
      <w:r>
        <w:t>i</w:t>
      </w:r>
      <w:r>
        <w:t>ne erhebliche Autorität entwickeln kann – sei es gegenüber den Eingeborenen oder den Siedlern, die er gleichermaßen entschieden ‚zur Brust nimmt‘, oder wie hier den Autoritäten des Kolonialsystems.</w:t>
      </w:r>
    </w:p>
    <w:p w:rsidR="00CF6655" w:rsidRDefault="00CF6655" w:rsidP="00204583">
      <w:pPr>
        <w:pStyle w:val="Titel3"/>
      </w:pPr>
      <w:bookmarkStart w:id="351" w:name="_Toc122313674"/>
      <w:bookmarkStart w:id="352" w:name="_Toc122313762"/>
      <w:bookmarkStart w:id="353" w:name="_Toc130260753"/>
      <w:bookmarkStart w:id="354" w:name="_Ref325356585"/>
      <w:bookmarkStart w:id="355" w:name="_Ref325357797"/>
      <w:bookmarkStart w:id="356" w:name="_Ref327378513"/>
      <w:bookmarkStart w:id="357" w:name="_Toc327388053"/>
      <w:r>
        <w:lastRenderedPageBreak/>
        <w:t xml:space="preserve">Generalkonsul </w:t>
      </w:r>
      <w:bookmarkEnd w:id="351"/>
      <w:bookmarkEnd w:id="352"/>
      <w:r>
        <w:t>von Jacobs</w:t>
      </w:r>
      <w:bookmarkEnd w:id="353"/>
      <w:bookmarkEnd w:id="354"/>
      <w:bookmarkEnd w:id="355"/>
      <w:bookmarkEnd w:id="356"/>
      <w:bookmarkEnd w:id="357"/>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p>
    <w:p w:rsidR="00CF6655" w:rsidRDefault="00CF6655" w:rsidP="00CF6655">
      <w:pPr>
        <w:pStyle w:val="Zitat"/>
      </w:pPr>
      <w:r>
        <w:t>Um 11 Uhr besuchte ich mit den Brüdern Meisenholl</w:t>
      </w:r>
      <w:r w:rsidR="00363C1C">
        <w:fldChar w:fldCharType="begin"/>
      </w:r>
      <w:r w:rsidR="00D20257">
        <w:instrText xml:space="preserve"> XE "</w:instrText>
      </w:r>
      <w:r w:rsidR="00D20257" w:rsidRPr="009F60CD">
        <w:instrText>Meisenholl, Geschw.</w:instrText>
      </w:r>
      <w:r w:rsidR="00D20257">
        <w:instrText xml:space="preserve">" </w:instrText>
      </w:r>
      <w:r w:rsidR="00363C1C">
        <w:fldChar w:fldCharType="end"/>
      </w:r>
      <w:r>
        <w:t xml:space="preserve"> und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den hiesigen deutschen Generalkonsul in Vertretung Herrn von Jacobs</w:t>
      </w:r>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r>
        <w:t>. Dieser redete mit einer mir von einem Beamten unbegreiflichen Offenheit und Rücksichtslosi</w:t>
      </w:r>
      <w:r>
        <w:t>g</w:t>
      </w:r>
      <w:r>
        <w:t xml:space="preserve">keit über die Engländer und seine angeblich sehr schlechten Erfahrungen mit ihnen […]. Vor allem raisonnierte er über die </w:t>
      </w:r>
      <w:r w:rsidR="00F31BB5">
        <w:t>„</w:t>
      </w:r>
      <w:r>
        <w:t>Verhätschelung</w:t>
      </w:r>
      <w:r w:rsidR="00F31BB5">
        <w:t>“</w:t>
      </w:r>
      <w:r>
        <w:t xml:space="preserve"> der Eingeb</w:t>
      </w:r>
      <w:r>
        <w:t>o</w:t>
      </w:r>
      <w:r>
        <w:t xml:space="preserve">renen durch die Engländer. Von </w:t>
      </w:r>
      <w:proofErr w:type="gramStart"/>
      <w:r>
        <w:t>den</w:t>
      </w:r>
      <w:proofErr w:type="gramEnd"/>
      <w:r>
        <w:t xml:space="preserve"> Boeren wollte er freilich gar nichts wissen. </w:t>
      </w:r>
      <w:r w:rsidR="00F31BB5">
        <w:t>„</w:t>
      </w:r>
      <w:r>
        <w:t>Wer den Boer kennt, der verachtet ihn</w:t>
      </w:r>
      <w:r w:rsidR="00F31BB5">
        <w:t>“</w:t>
      </w:r>
      <w:r>
        <w:t xml:space="preserve"> so ungefähr äußerte er sich. Ich habe ihm ruhig und sachlich so energisch widersprochen, daß Bruder Meisenholl</w:t>
      </w:r>
      <w:r w:rsidR="00363C1C">
        <w:fldChar w:fldCharType="begin"/>
      </w:r>
      <w:r w:rsidR="00D20257">
        <w:instrText xml:space="preserve"> XE "</w:instrText>
      </w:r>
      <w:r w:rsidR="00D20257" w:rsidRPr="009F60CD">
        <w:instrText>Meisenholl, Geschw.</w:instrText>
      </w:r>
      <w:r w:rsidR="00D20257">
        <w:instrText xml:space="preserve">" </w:instrText>
      </w:r>
      <w:r w:rsidR="00363C1C">
        <w:fldChar w:fldCharType="end"/>
      </w:r>
      <w:r>
        <w:t xml:space="preserve"> zi</w:t>
      </w:r>
      <w:r>
        <w:t>t</w:t>
      </w:r>
      <w:r>
        <w:t>terte, obwohl er sich freute, wie er mir nachher sagte. Herr von Jacobs</w:t>
      </w:r>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r>
        <w:t xml:space="preserve"> ist für eine absolute Unterdrückungspolitik in Deutsch-Südwestafrika. Gerade darin habe ich ihn sehr ernst auf die Folgen einer solchen Politik aufmerksam g</w:t>
      </w:r>
      <w:r>
        <w:t>e</w:t>
      </w:r>
      <w:r>
        <w:t>macht. Wir haben uns etwa eine Stunde über diese Fragen unterhalten. Zum Schluß entschuldigte er sich, daß er sich so freimütig geäußert habe und b</w:t>
      </w:r>
      <w:r>
        <w:t>e</w:t>
      </w:r>
      <w:r>
        <w:t xml:space="preserve">dankte sich sehr für meinen Besuch. </w:t>
      </w:r>
      <w:r w:rsidR="00F31BB5">
        <w:t>„</w:t>
      </w:r>
      <w:r>
        <w:t>Ich werde Sie heute Nachmittag noch auf dem Schiff begrüßen</w:t>
      </w:r>
      <w:r w:rsidR="00F31BB5">
        <w:t>“</w:t>
      </w:r>
      <w:r>
        <w:t>, sagte er. Ich hätte dem Mann nicht so ernst widerspr</w:t>
      </w:r>
      <w:r>
        <w:t>o</w:t>
      </w:r>
      <w:r>
        <w:t>chen, wenn er nicht gesagt hätte, er wolle auch dem Reichskanzler gegenüber diese Stellung vertreten. (273f)</w:t>
      </w:r>
    </w:p>
    <w:p w:rsidR="00CF6655" w:rsidRDefault="00CF6655" w:rsidP="00CF6655">
      <w:pPr>
        <w:pStyle w:val="Zitat"/>
      </w:pPr>
      <w:r>
        <w:t>Als er sich auf Karl Peters</w:t>
      </w:r>
      <w:r w:rsidR="00363C1C">
        <w:fldChar w:fldCharType="begin"/>
      </w:r>
      <w:r w:rsidR="005D672D">
        <w:instrText xml:space="preserve"> XE "</w:instrText>
      </w:r>
      <w:r w:rsidR="005D672D" w:rsidRPr="00F40AAC">
        <w:instrText>Peters, Karl</w:instrText>
      </w:r>
      <w:r w:rsidR="005D672D">
        <w:instrText xml:space="preserve">" </w:instrText>
      </w:r>
      <w:r w:rsidR="00363C1C">
        <w:fldChar w:fldCharType="end"/>
      </w:r>
      <w:r>
        <w:t xml:space="preserve"> berief, sagte ich ihm: Nun dessen Eingeborenenpol</w:t>
      </w:r>
      <w:r>
        <w:t>i</w:t>
      </w:r>
      <w:r>
        <w:t>tik ist doch anerkanntermaßen schändlich.</w:t>
      </w:r>
      <w:r>
        <w:rPr>
          <w:rStyle w:val="Funotenzeichen"/>
        </w:rPr>
        <w:footnoteReference w:id="223"/>
      </w:r>
      <w:r>
        <w:t xml:space="preserve"> Ich fragte ihn auch, ob er von Samassas</w:t>
      </w:r>
      <w:r w:rsidR="00363C1C">
        <w:fldChar w:fldCharType="begin"/>
      </w:r>
      <w:r w:rsidR="00C237FD">
        <w:instrText xml:space="preserve"> XE "</w:instrText>
      </w:r>
      <w:r w:rsidR="00C237FD" w:rsidRPr="00217EB4">
        <w:instrText>Samassa, Paul</w:instrText>
      </w:r>
      <w:r w:rsidR="00C237FD">
        <w:instrText xml:space="preserve">" </w:instrText>
      </w:r>
      <w:r w:rsidR="00363C1C">
        <w:fldChar w:fldCharType="end"/>
      </w:r>
      <w:r>
        <w:rPr>
          <w:rStyle w:val="Funotenzeichen"/>
        </w:rPr>
        <w:footnoteReference w:id="224"/>
      </w:r>
      <w:r>
        <w:t xml:space="preserve"> Klagen über die undeutsche Gesinnung Rheinischer Missionare e</w:t>
      </w:r>
      <w:r>
        <w:t>t</w:t>
      </w:r>
      <w:r>
        <w:t>was gehört habe. Er stellte unseren Missionaren und gerade auch Br.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von Stellenbosch</w:t>
      </w:r>
      <w:r w:rsidR="00363C1C">
        <w:fldChar w:fldCharType="begin"/>
      </w:r>
      <w:r w:rsidR="00710612">
        <w:instrText xml:space="preserve"> XE "</w:instrText>
      </w:r>
      <w:r w:rsidR="00710612" w:rsidRPr="00322A39">
        <w:instrText>Stellenbosch</w:instrText>
      </w:r>
      <w:r w:rsidR="00710612">
        <w:instrText xml:space="preserve">" </w:instrText>
      </w:r>
      <w:r w:rsidR="00363C1C">
        <w:fldChar w:fldCharType="end"/>
      </w:r>
      <w:r>
        <w:t xml:space="preserve"> das beste Zeugnis aus. Er sagte ungefähr: Es ist der größte Unsinn Pro-Boer und deutsch und Pro-Englisch und Antideutsch hinzustellen. Dann wären ja die schmierigsten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die besten Deutschen. (275)</w:t>
      </w:r>
    </w:p>
    <w:p w:rsidR="00CF6655" w:rsidRDefault="00CF6655" w:rsidP="00204583">
      <w:pPr>
        <w:pStyle w:val="Text"/>
        <w:ind w:firstLine="0"/>
      </w:pPr>
      <w:r>
        <w:lastRenderedPageBreak/>
        <w:t>Bei der Beurteilung solcher Aussagen muss man im Auge behalten, dass von J</w:t>
      </w:r>
      <w:r>
        <w:t>a</w:t>
      </w:r>
      <w:r>
        <w:t>cobs</w:t>
      </w:r>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r w:rsidR="005D672D">
        <w:rPr>
          <w:rStyle w:val="Funotenzeichen"/>
        </w:rPr>
        <w:footnoteReference w:id="225"/>
      </w:r>
      <w:r>
        <w:t xml:space="preserve"> stellvertretender Generalkonsul in 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r>
        <w:t xml:space="preserve"> ist, wo die Engländer regi</w:t>
      </w:r>
      <w:r>
        <w:t>e</w:t>
      </w:r>
      <w:r>
        <w:t>ren und Juden</w:t>
      </w:r>
      <w:r w:rsidR="00363C1C">
        <w:fldChar w:fldCharType="begin"/>
      </w:r>
      <w:r w:rsidR="00307A36">
        <w:instrText xml:space="preserve"> XE "</w:instrText>
      </w:r>
      <w:r w:rsidR="00307A36" w:rsidRPr="00D3165C">
        <w:instrText>Juden</w:instrText>
      </w:r>
      <w:r w:rsidR="00307A36">
        <w:instrText xml:space="preserve">" </w:instrText>
      </w:r>
      <w:r w:rsidR="00363C1C">
        <w:fldChar w:fldCharType="end"/>
      </w:r>
      <w:r>
        <w:t xml:space="preserve"> in der höheren Gesellschaft eine wichtige Rolle spielen. Zwei Schlüsse lassen sich daraus ziehen, dass er auf diese Position gelangen konnte: Zum einen steht er mit seinen extremen Ansichten in der politischen Führung des Kaiserreichs offensichtlich nicht allein; zum anderen ließ es die deutsche R</w:t>
      </w:r>
      <w:r>
        <w:t>e</w:t>
      </w:r>
      <w:r>
        <w:t>gierung bei der Besetzung solcher Posten an der grundsätzlichsten diplomat</w:t>
      </w:r>
      <w:r>
        <w:t>i</w:t>
      </w:r>
      <w:r>
        <w:t>schen Rücksicht fehlen.</w:t>
      </w:r>
    </w:p>
    <w:p w:rsidR="00CF6655" w:rsidRDefault="00CF6655" w:rsidP="00CF6655">
      <w:pPr>
        <w:pStyle w:val="Text"/>
      </w:pPr>
      <w:r>
        <w:t>Interessant ist auch die gewandelte Haltung zu den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die in diesem Z</w:t>
      </w:r>
      <w:r>
        <w:t>i</w:t>
      </w:r>
      <w:r>
        <w:t xml:space="preserve">tat zum Ausdruck kommt. </w:t>
      </w:r>
      <w:r w:rsidR="005B126D">
        <w:t>Wenige Jahre zuvor hatte der Zweite Burenkrieg</w:t>
      </w:r>
      <w:r w:rsidR="00363C1C">
        <w:fldChar w:fldCharType="begin"/>
      </w:r>
      <w:r w:rsidR="005E5583">
        <w:instrText xml:space="preserve"> XE "</w:instrText>
      </w:r>
      <w:r w:rsidR="005E5583" w:rsidRPr="00B30A75">
        <w:instrText>Burenkriege</w:instrText>
      </w:r>
      <w:r w:rsidR="005E5583">
        <w:instrText xml:space="preserve">" </w:instrText>
      </w:r>
      <w:r w:rsidR="00363C1C">
        <w:fldChar w:fldCharType="end"/>
      </w:r>
      <w:r w:rsidR="005B126D">
        <w:rPr>
          <w:rStyle w:val="Funotenzeichen"/>
        </w:rPr>
        <w:footnoteReference w:id="226"/>
      </w:r>
      <w:r>
        <w:t xml:space="preserve"> </w:t>
      </w:r>
      <w:r w:rsidR="005B126D">
        <w:t xml:space="preserve">stattgefunden; damals </w:t>
      </w:r>
      <w:r>
        <w:t>hatten sich die Deutschen klar auf die Seite der Buren g</w:t>
      </w:r>
      <w:r>
        <w:t>e</w:t>
      </w:r>
      <w:r>
        <w:t>stellt. Obwohl viele Deutsche, wie Spiecker feststellt, ihre Meinung in den let</w:t>
      </w:r>
      <w:r>
        <w:t>z</w:t>
      </w:r>
      <w:r>
        <w:t>ten Jahren geändert haben und mittlerweile auf kritische Distanz zu den Buren gegangen sind, lässt sich die rapide verschlechterte Stimmung zwischen Deu</w:t>
      </w:r>
      <w:r>
        <w:t>t</w:t>
      </w:r>
      <w:r>
        <w:t>schen und Engländern</w:t>
      </w:r>
      <w:r>
        <w:rPr>
          <w:rStyle w:val="Funotenzeichen"/>
        </w:rPr>
        <w:footnoteReference w:id="227"/>
      </w:r>
      <w:r>
        <w:t xml:space="preserve"> auf den Burenkrieg</w:t>
      </w:r>
      <w:r w:rsidR="00363C1C">
        <w:fldChar w:fldCharType="begin"/>
      </w:r>
      <w:r w:rsidR="005E5583">
        <w:instrText xml:space="preserve"> XE "</w:instrText>
      </w:r>
      <w:r w:rsidR="005E5583" w:rsidRPr="00B30A75">
        <w:instrText>Burenkriege</w:instrText>
      </w:r>
      <w:r w:rsidR="005E5583">
        <w:instrText xml:space="preserve">" </w:instrText>
      </w:r>
      <w:r w:rsidR="00363C1C">
        <w:fldChar w:fldCharType="end"/>
      </w:r>
      <w:r>
        <w:t xml:space="preserve"> zurückführen. Arthur Conan Doyle</w:t>
      </w:r>
      <w:r w:rsidR="00363C1C">
        <w:fldChar w:fldCharType="begin"/>
      </w:r>
      <w:r w:rsidR="002E4ABA">
        <w:instrText xml:space="preserve"> XE "</w:instrText>
      </w:r>
      <w:r w:rsidR="002E4ABA" w:rsidRPr="006E53AD">
        <w:instrText>Doyle, Arthur Conan</w:instrText>
      </w:r>
      <w:r w:rsidR="002E4ABA">
        <w:instrText xml:space="preserve">" </w:instrText>
      </w:r>
      <w:r w:rsidR="00363C1C">
        <w:fldChar w:fldCharType="end"/>
      </w:r>
      <w:r>
        <w:t xml:space="preserve"> bezieht sich darauf in seinem Buch „Der Krieg in Südafrika“, das als Verteid</w:t>
      </w:r>
      <w:r>
        <w:t>i</w:t>
      </w:r>
      <w:r>
        <w:t>gung der englischen Rolle im Burenkrieg</w:t>
      </w:r>
      <w:r w:rsidR="00363C1C">
        <w:fldChar w:fldCharType="begin"/>
      </w:r>
      <w:r w:rsidR="005E5583">
        <w:instrText xml:space="preserve"> XE "</w:instrText>
      </w:r>
      <w:r w:rsidR="005E5583" w:rsidRPr="00B30A75">
        <w:instrText>Burenkriege</w:instrText>
      </w:r>
      <w:r w:rsidR="005E5583">
        <w:instrText xml:space="preserve">" </w:instrText>
      </w:r>
      <w:r w:rsidR="00363C1C">
        <w:fldChar w:fldCharType="end"/>
      </w:r>
      <w:r>
        <w:t xml:space="preserve"> gedacht ist.</w:t>
      </w:r>
      <w:r>
        <w:rPr>
          <w:rStyle w:val="Funotenzeichen"/>
        </w:rPr>
        <w:footnoteReference w:id="228"/>
      </w:r>
      <w:r>
        <w:t xml:space="preserve"> In der vorangestellten Notiz „Ein Wort an die Deutschen“ schreibt Doyle</w:t>
      </w:r>
      <w:r w:rsidR="00363C1C">
        <w:fldChar w:fldCharType="begin"/>
      </w:r>
      <w:r w:rsidR="002E4ABA">
        <w:instrText xml:space="preserve"> XE "</w:instrText>
      </w:r>
      <w:r w:rsidR="002E4ABA" w:rsidRPr="006E53AD">
        <w:instrText>Doyle, Arthur Conan</w:instrText>
      </w:r>
      <w:r w:rsidR="002E4ABA">
        <w:instrText xml:space="preserve">" </w:instrText>
      </w:r>
      <w:r w:rsidR="00363C1C">
        <w:fldChar w:fldCharType="end"/>
      </w:r>
      <w:r>
        <w:t>:</w:t>
      </w:r>
    </w:p>
    <w:p w:rsidR="00CF6655" w:rsidRDefault="00CF6655" w:rsidP="00CF6655">
      <w:pPr>
        <w:pStyle w:val="Zitat"/>
      </w:pPr>
      <w:r>
        <w:t>Deutschland und Grossbritannien sind alte Verbündete. Sie haben oft gemei</w:t>
      </w:r>
      <w:r>
        <w:t>n</w:t>
      </w:r>
      <w:r>
        <w:t xml:space="preserve">sam auf derselben Seite gekämpft und niemals auf entgegengesetzter Seite. In den letzten paar Jahren hat sich diese Stimmung vollständig verändert […]. Der Grund für diese bedauernswerthe Veränderung liegt in der Haltung, welche Deutschland während des Südafrikanischen Krieges eingenommen hat. Wir glauben, dass diese Haltung den falschen Berichten zuzuschreiben ist, womit </w:t>
      </w:r>
      <w:r>
        <w:lastRenderedPageBreak/>
        <w:t>die deutsche Presse, aus unreinen und eigennützigen Quellen schöpfend, for</w:t>
      </w:r>
      <w:r>
        <w:t>t</w:t>
      </w:r>
      <w:r>
        <w:t>während versorgt worden.</w:t>
      </w:r>
      <w:r>
        <w:rPr>
          <w:rStyle w:val="Funotenzeichen"/>
        </w:rPr>
        <w:footnoteReference w:id="229"/>
      </w:r>
    </w:p>
    <w:p w:rsidR="00CF6655" w:rsidRDefault="00CF6655" w:rsidP="00CB48D3">
      <w:pPr>
        <w:pStyle w:val="Text"/>
        <w:ind w:firstLine="0"/>
      </w:pPr>
      <w:r>
        <w:t>Doyle</w:t>
      </w:r>
      <w:r w:rsidR="00363C1C">
        <w:fldChar w:fldCharType="begin"/>
      </w:r>
      <w:r w:rsidR="002E4ABA">
        <w:instrText xml:space="preserve"> XE "</w:instrText>
      </w:r>
      <w:r w:rsidR="002E4ABA" w:rsidRPr="006E53AD">
        <w:instrText>Doyle, Arthur Conan</w:instrText>
      </w:r>
      <w:r w:rsidR="002E4ABA">
        <w:instrText xml:space="preserve">" </w:instrText>
      </w:r>
      <w:r w:rsidR="00363C1C">
        <w:fldChar w:fldCharType="end"/>
      </w:r>
      <w:r>
        <w:t xml:space="preserve"> verteidigt das Vorgehen britischer Truppen, die „Rädelsführer und diej</w:t>
      </w:r>
      <w:r>
        <w:t>e</w:t>
      </w:r>
      <w:r>
        <w:t>nigen, die sich eines Capitalverbrechens schuldig gemacht“ hatten, hinricht</w:t>
      </w:r>
      <w:r>
        <w:t>e</w:t>
      </w:r>
      <w:r>
        <w:t>ten.</w:t>
      </w:r>
      <w:r>
        <w:rPr>
          <w:rStyle w:val="Funotenzeichen"/>
        </w:rPr>
        <w:footnoteReference w:id="230"/>
      </w:r>
      <w:r>
        <w:t xml:space="preserve"> In diesem Zusammenhang erwähnt er „die fortwährende Ermordung harmloser Eingeborener, unter denen sich Kinder befinden“.</w:t>
      </w:r>
      <w:r>
        <w:rPr>
          <w:rStyle w:val="Funotenzeichen"/>
        </w:rPr>
        <w:footnoteReference w:id="231"/>
      </w:r>
      <w:r>
        <w:t xml:space="preserve"> „Da diese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-Banden sich schnell von Ort zu Ort begeben konnten […], drangen sie in der Colonie überall hin […]. Kleine Heeresabtheilungen anzugreifen, militärische oder andere Eisenbahnzüge zum Entgleisen zu bringen, war ihre Hauptbeschä</w:t>
      </w:r>
      <w:r>
        <w:t>f</w:t>
      </w:r>
      <w:r>
        <w:t>tigung. Um ihre Spur zu verdecken, ermordeten sie fortwährend Eingeborene, deren Aussagen sie hätten verrathen können.“</w:t>
      </w:r>
      <w:r>
        <w:rPr>
          <w:rStyle w:val="Funotenzeichen"/>
        </w:rPr>
        <w:footnoteReference w:id="232"/>
      </w:r>
      <w:r>
        <w:t xml:space="preserve"> Von den Engländern wurden diese Verbrechen mit der Erhängung der Mörder bestraft, ein Zusammenhang, der in der deutschen Presse wohl auch aufgrund der Geringschätzung der Eing</w:t>
      </w:r>
      <w:r>
        <w:t>e</w:t>
      </w:r>
      <w:r>
        <w:t>borenen nicht berücksichtigt wurde.</w:t>
      </w:r>
    </w:p>
    <w:p w:rsidR="00CF6655" w:rsidRDefault="00CF6655" w:rsidP="00CF6655">
      <w:pPr>
        <w:pStyle w:val="Text"/>
      </w:pPr>
      <w:r>
        <w:t>Die Einrichtung der in diesem Krieg durch die Engländer erstmals ang</w:t>
      </w:r>
      <w:r>
        <w:t>e</w:t>
      </w:r>
      <w:r>
        <w:t>wandten – und von den Deutschen im Hererokrieg imitierten – Konzentration</w:t>
      </w:r>
      <w:r>
        <w:t>s</w:t>
      </w:r>
      <w:r>
        <w:t>lager</w:t>
      </w:r>
      <w:r w:rsidR="00363C1C">
        <w:fldChar w:fldCharType="begin"/>
      </w:r>
      <w:r w:rsidR="00C221A5">
        <w:instrText xml:space="preserve"> XE "</w:instrText>
      </w:r>
      <w:r w:rsidR="00C221A5" w:rsidRPr="00B24F31">
        <w:instrText>Konzentrationslager</w:instrText>
      </w:r>
      <w:r w:rsidR="00C221A5">
        <w:instrText xml:space="preserve">" </w:instrText>
      </w:r>
      <w:r w:rsidR="00363C1C">
        <w:fldChar w:fldCharType="end"/>
      </w:r>
      <w:r>
        <w:t xml:space="preserve"> rechtfertigt Doyle</w:t>
      </w:r>
      <w:r w:rsidR="00363C1C">
        <w:fldChar w:fldCharType="begin"/>
      </w:r>
      <w:r w:rsidR="002E4ABA">
        <w:instrText xml:space="preserve"> XE "</w:instrText>
      </w:r>
      <w:r w:rsidR="002E4ABA" w:rsidRPr="006E53AD">
        <w:instrText>Doyle, Arthur Conan</w:instrText>
      </w:r>
      <w:r w:rsidR="002E4ABA">
        <w:instrText xml:space="preserve">" </w:instrText>
      </w:r>
      <w:r w:rsidR="00363C1C">
        <w:fldChar w:fldCharType="end"/>
      </w:r>
      <w:r>
        <w:t xml:space="preserve"> für die Männer durch die Wortbrüchigkeit freigelassener Kriegsgefangener, die eine Internierung unausweichlich machte: „Sie sollten nicht noch einmal vor die Alternative gestellt werden, entweder ihren Eid zu brechen oder von ihrem eigenen Volke Strafe zu leiden“.</w:t>
      </w:r>
      <w:r>
        <w:rPr>
          <w:rStyle w:val="Funotenzeichen"/>
        </w:rPr>
        <w:footnoteReference w:id="233"/>
      </w:r>
      <w:r>
        <w:t xml:space="preserve"> Für Frauen und Ki</w:t>
      </w:r>
      <w:r>
        <w:t>n</w:t>
      </w:r>
      <w:r>
        <w:t>der beruft er sich auf den Schutz der Zivilbevölkerung: „Nachdem ausgedehnte Landstriche aller Lebensmittel beraubt waren, um die Bewegungen der Commandos zu schwächen, und eine grosse Anzahl Bauerngüter […] zerstört worden, war es offenbar die Pflicht der Briten, als eines civilisirten Volkes, Z</w:t>
      </w:r>
      <w:r>
        <w:t>u</w:t>
      </w:r>
      <w:r>
        <w:t>fluchtslager für die Frauen und Kinder zu schaffen“.</w:t>
      </w:r>
      <w:r>
        <w:rPr>
          <w:rStyle w:val="Funotenzeichen"/>
        </w:rPr>
        <w:footnoteReference w:id="234"/>
      </w:r>
    </w:p>
    <w:p w:rsidR="00032CED" w:rsidRDefault="00032CED" w:rsidP="00032CED">
      <w:pPr>
        <w:pStyle w:val="Text"/>
      </w:pPr>
      <w:r>
        <w:t>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begegnet Spiecker einem </w:t>
      </w:r>
      <w:r w:rsidR="0097557D">
        <w:t>weiteren</w:t>
      </w:r>
      <w:r>
        <w:t xml:space="preserve"> kolonialen Extremi</w:t>
      </w:r>
      <w:r>
        <w:t>s</w:t>
      </w:r>
      <w:r>
        <w:t>ten:</w:t>
      </w:r>
    </w:p>
    <w:p w:rsidR="00032CED" w:rsidRDefault="00032CED" w:rsidP="00032CED">
      <w:pPr>
        <w:pStyle w:val="Zitat"/>
      </w:pPr>
      <w:r w:rsidRPr="002B27D5">
        <w:t>Dr. Merensky</w:t>
      </w:r>
      <w:r w:rsidR="00363C1C">
        <w:fldChar w:fldCharType="begin"/>
      </w:r>
      <w:r w:rsidR="00177C90">
        <w:instrText xml:space="preserve"> XE "</w:instrText>
      </w:r>
      <w:r w:rsidR="00177C90" w:rsidRPr="00C84BB7">
        <w:instrText>Merensky, Hans</w:instrText>
      </w:r>
      <w:r w:rsidR="00177C90">
        <w:instrText xml:space="preserve">" </w:instrText>
      </w:r>
      <w:r w:rsidR="00363C1C">
        <w:fldChar w:fldCharType="end"/>
      </w:r>
      <w:r w:rsidRPr="002B27D5">
        <w:t>, der Sohn des mir befreundeten Berliner Missions</w:t>
      </w:r>
      <w:r w:rsidR="00667AF8">
        <w:t>inspektors</w:t>
      </w:r>
      <w:r w:rsidR="00363C1C">
        <w:fldChar w:fldCharType="begin"/>
      </w:r>
      <w:r w:rsidR="00017A67">
        <w:instrText xml:space="preserve"> XE "</w:instrText>
      </w:r>
      <w:r w:rsidR="00017A67" w:rsidRPr="00462E69">
        <w:instrText>Berliner Mission</w:instrText>
      </w:r>
      <w:r w:rsidR="00017A67">
        <w:instrText xml:space="preserve">" </w:instrText>
      </w:r>
      <w:r w:rsidR="00363C1C">
        <w:fldChar w:fldCharType="end"/>
      </w:r>
      <w:r w:rsidRPr="002B27D5">
        <w:t xml:space="preserve">. Als dieser seine ultraradikalen </w:t>
      </w:r>
      <w:r w:rsidRPr="00032CED">
        <w:t>Eingeborenenunterdrückungsansichten</w:t>
      </w:r>
      <w:r w:rsidRPr="002B27D5">
        <w:t xml:space="preserve"> entwickelte und unter anderem sagte, jeder Farmer müsse Polizeigewalt über die Eingeb</w:t>
      </w:r>
      <w:r w:rsidRPr="002B27D5">
        <w:t>o</w:t>
      </w:r>
      <w:r w:rsidRPr="002B27D5">
        <w:t>renen haben, hielt ich es für meine Pflicht ihm zu widersprechen. Es entspann sich eine sehr lebhafte Diskussion, an der sich verschiedene Officiere beteili</w:t>
      </w:r>
      <w:r w:rsidRPr="002B27D5">
        <w:t>g</w:t>
      </w:r>
      <w:r w:rsidRPr="002B27D5">
        <w:t>ten, in der ich mich darauf beschränkte hervorzuheben, daß eine reine Unte</w:t>
      </w:r>
      <w:r w:rsidRPr="002B27D5">
        <w:t>r</w:t>
      </w:r>
      <w:r w:rsidRPr="002B27D5">
        <w:t>drückungspolitik das größte Unheil für die kolonisierende Macht herbeiführe.</w:t>
      </w:r>
      <w:r>
        <w:t xml:space="preserve"> (18.11.1906)</w:t>
      </w:r>
    </w:p>
    <w:p w:rsidR="00032CED" w:rsidRDefault="00032CED" w:rsidP="00032CED">
      <w:pPr>
        <w:pStyle w:val="Text"/>
        <w:ind w:firstLine="0"/>
      </w:pPr>
      <w:r>
        <w:lastRenderedPageBreak/>
        <w:t>Es handelt sich offenbar um Hans Merensky</w:t>
      </w:r>
      <w:r w:rsidR="00363C1C">
        <w:fldChar w:fldCharType="begin"/>
      </w:r>
      <w:r w:rsidR="00177C90">
        <w:instrText xml:space="preserve"> XE "</w:instrText>
      </w:r>
      <w:r w:rsidR="00177C90" w:rsidRPr="00C84BB7">
        <w:instrText>Merensky, Hans</w:instrText>
      </w:r>
      <w:r w:rsidR="00177C90">
        <w:instrText xml:space="preserve">" </w:instrText>
      </w:r>
      <w:r w:rsidR="00363C1C">
        <w:fldChar w:fldCharType="end"/>
      </w:r>
      <w:r>
        <w:t>,</w:t>
      </w:r>
      <w:r>
        <w:rPr>
          <w:rStyle w:val="Funotenzeichen"/>
        </w:rPr>
        <w:footnoteReference w:id="235"/>
      </w:r>
      <w:r>
        <w:t xml:space="preserve"> dessen Vater Alexander Merensky</w:t>
      </w:r>
      <w:r w:rsidR="00363C1C">
        <w:fldChar w:fldCharType="begin"/>
      </w:r>
      <w:r w:rsidR="00177C90">
        <w:instrText xml:space="preserve"> XE "</w:instrText>
      </w:r>
      <w:r w:rsidR="00177C90" w:rsidRPr="00C84BB7">
        <w:instrText xml:space="preserve">Merensky, </w:instrText>
      </w:r>
      <w:r w:rsidR="00177C90">
        <w:instrText xml:space="preserve">Alexander" </w:instrText>
      </w:r>
      <w:r w:rsidR="00363C1C">
        <w:fldChar w:fldCharType="end"/>
      </w:r>
      <w:r>
        <w:t xml:space="preserve"> 1883 </w:t>
      </w:r>
      <w:r w:rsidR="00BC7D89">
        <w:t>Inspektor</w:t>
      </w:r>
      <w:r>
        <w:t xml:space="preserve"> der Berliner Mission</w:t>
      </w:r>
      <w:r w:rsidR="00363C1C">
        <w:fldChar w:fldCharType="begin"/>
      </w:r>
      <w:r w:rsidR="000204A2">
        <w:instrText xml:space="preserve"> XE "</w:instrText>
      </w:r>
      <w:r w:rsidR="000204A2" w:rsidRPr="002E7447">
        <w:instrText>Berliner Mission</w:instrText>
      </w:r>
      <w:r w:rsidR="000204A2">
        <w:instrText xml:space="preserve">" </w:instrText>
      </w:r>
      <w:r w:rsidR="00363C1C">
        <w:fldChar w:fldCharType="end"/>
      </w:r>
      <w:r>
        <w:t xml:space="preserve"> wurde. Hans Merensky</w:t>
      </w:r>
      <w:r w:rsidR="00363C1C">
        <w:fldChar w:fldCharType="begin"/>
      </w:r>
      <w:r w:rsidR="00177C90">
        <w:instrText xml:space="preserve"> XE "</w:instrText>
      </w:r>
      <w:r w:rsidR="00177C90" w:rsidRPr="00C84BB7">
        <w:instrText>Merensky, Hans</w:instrText>
      </w:r>
      <w:r w:rsidR="00177C90">
        <w:instrText xml:space="preserve">" </w:instrText>
      </w:r>
      <w:r w:rsidR="00363C1C">
        <w:fldChar w:fldCharType="end"/>
      </w:r>
      <w:r>
        <w:t xml:space="preserve"> wurde als Entdecker gewaltiger Rohstofflagerstätten sehr reich; heute sind die „Hans Merensky</w:t>
      </w:r>
      <w:r w:rsidR="00363C1C">
        <w:fldChar w:fldCharType="begin"/>
      </w:r>
      <w:r w:rsidR="00177C90">
        <w:instrText xml:space="preserve"> XE "</w:instrText>
      </w:r>
      <w:r w:rsidR="00177C90" w:rsidRPr="00C84BB7">
        <w:instrText>Merensky, Hans</w:instrText>
      </w:r>
      <w:r w:rsidR="00177C90">
        <w:instrText xml:space="preserve">" </w:instrText>
      </w:r>
      <w:r w:rsidR="00363C1C">
        <w:fldChar w:fldCharType="end"/>
      </w:r>
      <w:r>
        <w:t xml:space="preserve"> Library“ an der Universität Pretoria, ein Naturreservat und ein Golfkurs nach ihm benannt. Über Merensky</w:t>
      </w:r>
      <w:r w:rsidR="00363C1C">
        <w:fldChar w:fldCharType="begin"/>
      </w:r>
      <w:r w:rsidR="00177C90">
        <w:instrText xml:space="preserve"> XE "</w:instrText>
      </w:r>
      <w:r w:rsidR="00177C90" w:rsidRPr="00C84BB7">
        <w:instrText>Merensky, Hans</w:instrText>
      </w:r>
      <w:r w:rsidR="00177C90">
        <w:instrText xml:space="preserve">" </w:instrText>
      </w:r>
      <w:r w:rsidR="00363C1C">
        <w:fldChar w:fldCharType="end"/>
      </w:r>
      <w:r>
        <w:t xml:space="preserve"> wurde sogar im Jahr 2004 ein dre</w:t>
      </w:r>
      <w:r>
        <w:t>i</w:t>
      </w:r>
      <w:r>
        <w:t>stündiger Fernseh-Zweiteiler gedreht,</w:t>
      </w:r>
      <w:r>
        <w:rPr>
          <w:rStyle w:val="Funotenzeichen"/>
        </w:rPr>
        <w:footnoteReference w:id="236"/>
      </w:r>
      <w:r>
        <w:t xml:space="preserve"> der sein Leben in stark romantisierter Form darstellt. Die von Spiecker berichteten „ultraradikalen Eingeborene</w:t>
      </w:r>
      <w:r>
        <w:t>n</w:t>
      </w:r>
      <w:r>
        <w:t>unterdrückungsansichten“ Merenskys scheinen der Forschung bislang entgangen zu sein.</w:t>
      </w:r>
    </w:p>
    <w:p w:rsidR="00CF6655" w:rsidRDefault="00CF6655" w:rsidP="00CB48D3">
      <w:pPr>
        <w:pStyle w:val="Titel3"/>
      </w:pPr>
      <w:bookmarkStart w:id="358" w:name="_Toc130260754"/>
      <w:bookmarkStart w:id="359" w:name="_Ref325357835"/>
      <w:bookmarkStart w:id="360" w:name="_Toc327388054"/>
      <w:r>
        <w:t>Die koloniale Gesellschaft</w:t>
      </w:r>
      <w:bookmarkEnd w:id="358"/>
      <w:bookmarkEnd w:id="359"/>
      <w:bookmarkEnd w:id="360"/>
    </w:p>
    <w:p w:rsidR="00CF6655" w:rsidRDefault="00CF6655" w:rsidP="00032CED">
      <w:pPr>
        <w:pStyle w:val="Text"/>
        <w:ind w:firstLine="0"/>
      </w:pPr>
      <w:r>
        <w:t xml:space="preserve">Eine Geselligkeit im Gouvernementsgebäude </w:t>
      </w:r>
      <w:r w:rsidR="00080FEA">
        <w:t>in Windhuk</w:t>
      </w:r>
      <w:r w:rsidR="00363C1C">
        <w:fldChar w:fldCharType="begin"/>
      </w:r>
      <w:r w:rsidR="00053CF8">
        <w:instrText xml:space="preserve"> XE "</w:instrText>
      </w:r>
      <w:r w:rsidR="00053CF8" w:rsidRPr="005C0A40">
        <w:instrText>Windhuk</w:instrText>
      </w:r>
      <w:r w:rsidR="00053CF8">
        <w:instrText xml:space="preserve">" </w:instrText>
      </w:r>
      <w:r w:rsidR="00363C1C">
        <w:fldChar w:fldCharType="end"/>
      </w:r>
      <w:r w:rsidR="00080FEA">
        <w:t xml:space="preserve"> </w:t>
      </w:r>
      <w:r>
        <w:t>verläuft ungefähr, wie man sich so etwas vorgestellt hätte. Es wird musiziert und am Rande bleibt G</w:t>
      </w:r>
      <w:r>
        <w:t>e</w:t>
      </w:r>
      <w:r>
        <w:t xml:space="preserve">legenheit, </w:t>
      </w:r>
      <w:r w:rsidR="00A7468A">
        <w:t>politische</w:t>
      </w:r>
      <w:r>
        <w:t xml:space="preserve"> Fragen in entspannter Atmosphäre zu besprechen:</w:t>
      </w:r>
    </w:p>
    <w:p w:rsidR="00CF6655" w:rsidRDefault="00CF6655" w:rsidP="00CF6655">
      <w:pPr>
        <w:pStyle w:val="Zitat"/>
      </w:pPr>
      <w:r>
        <w:t>Über 30 Personen waren in den großen und schönen Räumen […] versammelt. Bis nach 10 Uhr wurde musiciert und etwas Tee rund gereicht. Eine Frau Voigts sang und spielte auf dem Klavier recht gut,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und Legationsrat von Jacobs</w:t>
      </w:r>
      <w:r w:rsidR="00363C1C">
        <w:fldChar w:fldCharType="begin"/>
      </w:r>
      <w:r w:rsidR="00C237FD">
        <w:instrText xml:space="preserve"> XE "</w:instrText>
      </w:r>
      <w:r w:rsidR="00C237FD" w:rsidRPr="00A9760D">
        <w:instrText>Jacobs, Hans von</w:instrText>
      </w:r>
      <w:r w:rsidR="00C237FD">
        <w:instrText xml:space="preserve">" </w:instrText>
      </w:r>
      <w:r w:rsidR="00363C1C">
        <w:fldChar w:fldCharType="end"/>
      </w:r>
      <w:r w:rsidR="000F6004">
        <w:rPr>
          <w:rStyle w:val="Funotenzeichen"/>
        </w:rPr>
        <w:footnoteReference w:id="237"/>
      </w:r>
      <w:r>
        <w:t xml:space="preserve"> spielten Violine, letzterer sehr schlecht. Ich hatte bedeutsame Unterhaltungen mit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und dem Gouverneur, aus denen ich erkannte, daß der Gouve</w:t>
      </w:r>
      <w:r>
        <w:t>r</w:t>
      </w:r>
      <w:r>
        <w:t>neur das Eingreifen des Militairs in die Friedensarbeit unserer Brüder entschi</w:t>
      </w:r>
      <w:r>
        <w:t>e</w:t>
      </w:r>
      <w:r>
        <w:t>den zu vermeiden wünscht. (809)</w:t>
      </w:r>
    </w:p>
    <w:p w:rsidR="00CF6655" w:rsidRDefault="00CF6655" w:rsidP="0097557D">
      <w:pPr>
        <w:pStyle w:val="Text"/>
        <w:ind w:firstLine="0"/>
      </w:pPr>
      <w:r>
        <w:t>Hier gestaltet sich das koloniale Leben als manchmal mehr, manchmal weniger gelungene Kopie der heimischen ‚guten Gesellschaft‘. Man stellt sich als G</w:t>
      </w:r>
      <w:r>
        <w:t>e</w:t>
      </w:r>
      <w:r>
        <w:t>meinschaft dar; alles wird in scheinbar harmonischer Atmosphäre und am lieb</w:t>
      </w:r>
      <w:r>
        <w:t>s</w:t>
      </w:r>
      <w:r>
        <w:t>ten in kleiner Runde besprochen, eine ‚Konfliktkultur‘ mit der Fähigkeit zum Dissens existiert in dieser vordemokratischen Gesellschaft nicht. In Wahrheit sind die Spaltungen zwischen Mission,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und Siedlern tief und müssen immer wieder gekittet oder zumindest übertüncht werden.</w:t>
      </w:r>
    </w:p>
    <w:p w:rsidR="00CF6655" w:rsidRDefault="00CF6655" w:rsidP="00CF6655">
      <w:pPr>
        <w:pStyle w:val="Text"/>
      </w:pPr>
      <w:r>
        <w:t>So ist Spiecker mit den deutschen Gemeinden sehr unglücklich. Manchmal scheint es sogar, als müssten die Einwanderer selbst dringlich missioniert we</w:t>
      </w:r>
      <w:r>
        <w:t>r</w:t>
      </w:r>
      <w:r>
        <w:t>den: „Abends hatte ich mit Br. Vedder</w:t>
      </w:r>
      <w:bookmarkStart w:id="361" w:name="_Ref325357934"/>
      <w:r w:rsidR="00363C1C">
        <w:fldChar w:fldCharType="begin"/>
      </w:r>
      <w:r w:rsidR="00D20257">
        <w:instrText xml:space="preserve"> XE "</w:instrText>
      </w:r>
      <w:r w:rsidR="00D20257" w:rsidRPr="001901EA">
        <w:instrText>Vedder, Br.</w:instrText>
      </w:r>
      <w:r w:rsidR="00D20257">
        <w:instrText xml:space="preserve">" </w:instrText>
      </w:r>
      <w:r w:rsidR="00363C1C">
        <w:fldChar w:fldCharType="end"/>
      </w:r>
      <w:r>
        <w:rPr>
          <w:rStyle w:val="Funotenzeichen"/>
        </w:rPr>
        <w:footnoteReference w:id="238"/>
      </w:r>
      <w:bookmarkEnd w:id="361"/>
      <w:r>
        <w:t xml:space="preserve"> eine Sitzung mit dem Kirchenvorstand </w:t>
      </w:r>
      <w:r>
        <w:lastRenderedPageBreak/>
        <w:t>der deutschen Gemeinde. […] Bezeichnend ist, daß alle Glieder des Kirchenvo</w:t>
      </w:r>
      <w:r>
        <w:t>r</w:t>
      </w:r>
      <w:r>
        <w:t>standes die Kirche nie besuchen mit Ausnahme des Lehrers, der Organist ist und als solcher gut bezahlt wird. […] Man macht sich von der Unkirchlichkeit und religiösen Entfremdung der hiesigen Weißen eben gar keine Vorstellung.“ (1351f) Trotzdem ist der Vorstand ehrgeizig: „Eine schöne große Kirche wollen die Leute hier haben, aber möglichst wenig selbst bezahlen. […] Einer der He</w:t>
      </w:r>
      <w:r>
        <w:t>r</w:t>
      </w:r>
      <w:r>
        <w:t>ren meinte, die Kirche müsse gleich für 4000 Menschen gebaut werden. Jetzt b</w:t>
      </w:r>
      <w:r>
        <w:t>e</w:t>
      </w:r>
      <w:r>
        <w:t>suchen höchstens 20-30 sonntäglich den Gottesdienst.“ (1352)</w:t>
      </w:r>
    </w:p>
    <w:p w:rsidR="00CF6655" w:rsidRDefault="00CF6655" w:rsidP="008E42B8">
      <w:pPr>
        <w:pStyle w:val="Text"/>
      </w:pPr>
      <w:r>
        <w:t>Doch es gibt auch jene Familien, zu denen die Brüder engen Kontakt haben; oft sind es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xml:space="preserve"> der ersten Stunde, wie 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„Nachmittags machten wir zusammen den beiden Familien Redecker</w:t>
      </w:r>
      <w:r w:rsidR="00363C1C">
        <w:fldChar w:fldCharType="begin"/>
      </w:r>
      <w:r w:rsidR="00737A51">
        <w:instrText xml:space="preserve"> XE "</w:instrText>
      </w:r>
      <w:r w:rsidR="00737A51" w:rsidRPr="005407F8">
        <w:instrText>Redecker, Familie</w:instrText>
      </w:r>
      <w:r w:rsidR="00737A51">
        <w:instrText xml:space="preserve">" </w:instrText>
      </w:r>
      <w:r w:rsidR="00363C1C">
        <w:fldChar w:fldCharType="end"/>
      </w:r>
      <w:r>
        <w:t xml:space="preserve"> und Hälbich</w:t>
      </w:r>
      <w:r w:rsidR="00363C1C">
        <w:fldChar w:fldCharType="begin"/>
      </w:r>
      <w:r w:rsidR="00737A51">
        <w:instrText xml:space="preserve"> XE "</w:instrText>
      </w:r>
      <w:r w:rsidR="00737A51" w:rsidRPr="00283E35">
        <w:instrText>Hälbich, Familie</w:instrText>
      </w:r>
      <w:r w:rsidR="00737A51">
        <w:instrText xml:space="preserve">" </w:instrText>
      </w:r>
      <w:r w:rsidR="00363C1C">
        <w:fldChar w:fldCharType="end"/>
      </w:r>
      <w:r>
        <w:t>, die eigentlich ganz zur Mission gehören und deren Wohnungen sich ganz an das Missionsgehöfte anschließen, einen Besuch.“ (723f) Auch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wohnen Hälbichs</w:t>
      </w:r>
      <w:r w:rsidR="00363C1C">
        <w:fldChar w:fldCharType="begin"/>
      </w:r>
      <w:r w:rsidR="00737A51">
        <w:instrText xml:space="preserve"> XE "</w:instrText>
      </w:r>
      <w:r w:rsidR="00737A51" w:rsidRPr="008C1D50">
        <w:instrText>Hälbich (Familie)</w:instrText>
      </w:r>
      <w:r w:rsidR="00737A51">
        <w:instrText xml:space="preserve">" </w:instrText>
      </w:r>
      <w:r w:rsidR="00363C1C">
        <w:fldChar w:fldCharType="end"/>
      </w:r>
      <w:r>
        <w:t>; dort hatte Spiecker sogar den Gottesdienst für die weiße Gemeinde im Haus der Hälbichs</w:t>
      </w:r>
      <w:r w:rsidR="00363C1C">
        <w:fldChar w:fldCharType="begin"/>
      </w:r>
      <w:r w:rsidR="00737A51">
        <w:instrText xml:space="preserve"> XE "</w:instrText>
      </w:r>
      <w:r w:rsidR="00737A51" w:rsidRPr="008C1D50">
        <w:instrText>Hälbich (Familie)</w:instrText>
      </w:r>
      <w:r w:rsidR="00737A51">
        <w:instrText xml:space="preserve">" </w:instrText>
      </w:r>
      <w:r w:rsidR="00363C1C">
        <w:fldChar w:fldCharType="end"/>
      </w:r>
      <w:r>
        <w:t xml:space="preserve"> gehalten (705). In beiden Orten versammelt sich am Abend vor Spieckers A</w:t>
      </w:r>
      <w:r>
        <w:t>b</w:t>
      </w:r>
      <w:r>
        <w:t>fahrt die weiße Gesellschaft auf der Veranda der Hälbichs</w:t>
      </w:r>
      <w:r w:rsidR="00363C1C">
        <w:fldChar w:fldCharType="begin"/>
      </w:r>
      <w:r w:rsidR="00737A51">
        <w:instrText xml:space="preserve"> XE "</w:instrText>
      </w:r>
      <w:r w:rsidR="00737A51" w:rsidRPr="008C1D50">
        <w:instrText>Hälbich (Familie)</w:instrText>
      </w:r>
      <w:r w:rsidR="00737A51">
        <w:instrText xml:space="preserve">" </w:instrText>
      </w:r>
      <w:r w:rsidR="00363C1C">
        <w:fldChar w:fldCharType="end"/>
      </w:r>
      <w:r>
        <w:t xml:space="preserve"> (715, 745).</w:t>
      </w:r>
    </w:p>
    <w:p w:rsidR="00CF6655" w:rsidRDefault="00CF6655" w:rsidP="0097557D">
      <w:pPr>
        <w:pStyle w:val="Titel3"/>
      </w:pPr>
      <w:bookmarkStart w:id="362" w:name="_Toc130260755"/>
      <w:bookmarkStart w:id="363" w:name="_Toc327388055"/>
      <w:r>
        <w:lastRenderedPageBreak/>
        <w:t>Spannungen</w:t>
      </w:r>
      <w:bookmarkEnd w:id="362"/>
      <w:bookmarkEnd w:id="363"/>
    </w:p>
    <w:p w:rsidR="00CF6655" w:rsidRDefault="00CF6655" w:rsidP="0097557D">
      <w:pPr>
        <w:pStyle w:val="Text"/>
        <w:ind w:firstLine="0"/>
      </w:pPr>
      <w:r>
        <w:t>Auch zwischen den einzelnen Gruppen der Kolonisatoren sind die Beziehungen nicht immer gut. Insbesondere die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sind bei vielen Deutschen unbeliebt, obwohl man im Burenkrieg</w:t>
      </w:r>
      <w:r w:rsidR="00363C1C">
        <w:fldChar w:fldCharType="begin"/>
      </w:r>
      <w:r w:rsidR="005E5583">
        <w:instrText xml:space="preserve"> XE "</w:instrText>
      </w:r>
      <w:r w:rsidR="005E5583" w:rsidRPr="00B30A75">
        <w:instrText>Burenkriege</w:instrText>
      </w:r>
      <w:r w:rsidR="005E5583">
        <w:instrText xml:space="preserve">" </w:instrText>
      </w:r>
      <w:r w:rsidR="00363C1C">
        <w:fldChar w:fldCharType="end"/>
      </w:r>
      <w:r>
        <w:t xml:space="preserve"> noch überwiegend auf ihrer Seite gegen die Englä</w:t>
      </w:r>
      <w:r>
        <w:t>n</w:t>
      </w:r>
      <w:r>
        <w:t>der gestanden hatte. Spiecker teilt viele Vorurteile gegen die Buren, ja er lässt kein gutes Haar an ihnen. Doch vor allem ihre Haltung zu den Schwarzen nimmt er ihnen übel. Die Engländer dagegen scheinen für ihn ein System der „guten Kolonisation“ zu verkörpern.</w:t>
      </w:r>
    </w:p>
    <w:p w:rsidR="00CF6655" w:rsidRDefault="00CF6655" w:rsidP="007F4F18">
      <w:pPr>
        <w:pStyle w:val="Titel4"/>
      </w:pPr>
      <w:bookmarkStart w:id="364" w:name="_Toc122313677"/>
      <w:bookmarkStart w:id="365" w:name="_Toc122313765"/>
      <w:bookmarkStart w:id="366" w:name="_Toc130260756"/>
      <w:bookmarkStart w:id="367" w:name="_Ref325354763"/>
      <w:bookmarkStart w:id="368" w:name="_Ref325357243"/>
      <w:bookmarkStart w:id="369" w:name="_Toc327388056"/>
      <w:r>
        <w:t>Die Verachteten … (Buren</w:t>
      </w:r>
      <w:bookmarkEnd w:id="364"/>
      <w:bookmarkEnd w:id="365"/>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w:t>
      </w:r>
      <w:bookmarkEnd w:id="366"/>
      <w:bookmarkEnd w:id="367"/>
      <w:bookmarkEnd w:id="368"/>
      <w:bookmarkEnd w:id="369"/>
    </w:p>
    <w:p w:rsidR="00CF6655" w:rsidRDefault="00CF6655" w:rsidP="007F4F18">
      <w:pPr>
        <w:pStyle w:val="Text"/>
        <w:ind w:firstLine="0"/>
      </w:pPr>
      <w:r>
        <w:t>Spiecker beklagt sich immer wieder über die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und ist selbst dort mit ihnen unzufrieden, wo sie ihn in ihre Häuser einladen. Sie werden seinen Ansprüchen an Ordentlichkeit der Haushaltung und an Fleiß bei der Bebauung des Landes nicht gerecht (325ff, 968). Er wirft ihnen „rücksichtslose Behandlung“ (77) der Eingeborenen vor, sie seien „für möglichste Niederhaltung der Farbigen“ (75). Br. Brokmann</w:t>
      </w:r>
      <w:r w:rsidR="00363C1C">
        <w:fldChar w:fldCharType="begin"/>
      </w:r>
      <w:r w:rsidR="00FD439D">
        <w:instrText xml:space="preserve"> XE "</w:instrText>
      </w:r>
      <w:r w:rsidR="00FD439D" w:rsidRPr="00580840">
        <w:instrText>Brokmann, Geschw.</w:instrText>
      </w:r>
      <w:r w:rsidR="00FD439D">
        <w:instrText xml:space="preserve">" </w:instrText>
      </w:r>
      <w:r w:rsidR="00363C1C">
        <w:fldChar w:fldCharType="end"/>
      </w:r>
      <w:r>
        <w:t xml:space="preserve"> 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muss seinen Vermietern sogar mit der Polizei drohen, so „roh“ behandeln sie ihre schwarzen Dienstboten (999). Auf die Einflüsse von „Proboerenkreisen“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führt Spiecker auch die eingeborene</w:t>
      </w:r>
      <w:r>
        <w:t>n</w:t>
      </w:r>
      <w:r>
        <w:t>feindliche Haltung des Gouverneurs zurück (74f).</w:t>
      </w:r>
    </w:p>
    <w:p w:rsidR="00CF6655" w:rsidRDefault="00CF6655" w:rsidP="00CF6655">
      <w:pPr>
        <w:pStyle w:val="Text"/>
      </w:pPr>
      <w:r>
        <w:t>Andere, nicht ganz so gewichtige Vorwürfe tragen ebenso zu seiner Veru</w:t>
      </w:r>
      <w:r>
        <w:t>r</w:t>
      </w:r>
      <w:r>
        <w:t>teilung der Boeren bei. An den Burenfrauen stört ihn dasselbe wie an den Eing</w:t>
      </w:r>
      <w:r>
        <w:t>e</w:t>
      </w:r>
      <w:r>
        <w:t>borenenfrauen: Sie machen sich schön. „Diese aufgeputzten Bauernfrauen sind keine angenehme Erscheinung. Auch die 15jährige Tochter – ebenso dumm wie ihre Mutter – putzt sich gerne.“ (1010) Bei solchen Missständen kann Spiecker sehr direkt werden, obwohl er gewöhnlich vorsichtig mit abfälligen Bewertungen ist. Über dasselbe Mädchen schreibt er später: „Sie ist ein rechtes Buren</w:t>
      </w:r>
      <w:r w:rsidR="008E42B8">
        <w:softHyphen/>
      </w:r>
      <w:r>
        <w:t>mädchen: dumm &amp; eitel, träge &amp; genußsüchtig.“ (1247) Selbst ein guter Boer ist nur eine Ausnahme von der Regel: „Ein sehr netter Boer fuhr mit uns […]. Man trifft solche nicht oft.“ (781)</w:t>
      </w:r>
    </w:p>
    <w:p w:rsidR="00CF6655" w:rsidRDefault="00CF6655" w:rsidP="00CF6655">
      <w:pPr>
        <w:pStyle w:val="Text"/>
      </w:pPr>
      <w:r>
        <w:t>Die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werden von vielen Deutschen abgelehnt. Bei einem Gespräch mit dem Distriktschef von Grootfontein</w:t>
      </w:r>
      <w:r w:rsidR="00363C1C">
        <w:fldChar w:fldCharType="begin"/>
      </w:r>
      <w:r w:rsidR="00FD439D">
        <w:instrText xml:space="preserve"> XE "</w:instrText>
      </w:r>
      <w:r w:rsidR="00FD439D" w:rsidRPr="00F824E7">
        <w:instrText>Grootfontein</w:instrText>
      </w:r>
      <w:r w:rsidR="00FD439D">
        <w:instrText xml:space="preserve">" </w:instrText>
      </w:r>
      <w:r w:rsidR="00363C1C">
        <w:fldChar w:fldCharType="end"/>
      </w:r>
      <w:r>
        <w:t>, Hauptmann von Oertzen</w:t>
      </w:r>
      <w:r w:rsidR="00363C1C">
        <w:fldChar w:fldCharType="begin"/>
      </w:r>
      <w:r w:rsidR="00053CF8">
        <w:instrText xml:space="preserve"> XE "</w:instrText>
      </w:r>
      <w:r w:rsidR="00053CF8" w:rsidRPr="00847DC7">
        <w:instrText>Oertzen, Hauptmann von</w:instrText>
      </w:r>
      <w:r w:rsidR="00053CF8">
        <w:instrText xml:space="preserve">" </w:instrText>
      </w:r>
      <w:r w:rsidR="00363C1C">
        <w:fldChar w:fldCharType="end"/>
      </w:r>
      <w:r>
        <w:t>, zeigt sich j</w:t>
      </w:r>
      <w:r>
        <w:t>e</w:t>
      </w:r>
      <w:r>
        <w:t>doch, dass die Probleme nicht einseitig verschuldet sind:</w:t>
      </w:r>
    </w:p>
    <w:p w:rsidR="00CF6655" w:rsidRDefault="00CF6655" w:rsidP="00CF6655">
      <w:pPr>
        <w:pStyle w:val="Zitat"/>
      </w:pPr>
      <w:r>
        <w:t>Ganz besonders schlecht ist er auf die zahlreichen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in seinem Bezirk zu sprechen. Er schilderte sie als faul, schmutzig, unordentlich, unsittlich, religiös gleichgiltig oder heuchlerisch, kurz als Leute, die er am liebsten nicht im Lande sähe. Seine anfängliche Burenbegeisterung sei ganz ins Gegenteil umgeschl</w:t>
      </w:r>
      <w:r>
        <w:t>a</w:t>
      </w:r>
      <w:r>
        <w:t>gen. Es geht offenbar vielen im Lande so. Hauptmann von Oertzen</w:t>
      </w:r>
      <w:r w:rsidR="00363C1C">
        <w:fldChar w:fldCharType="begin"/>
      </w:r>
      <w:r w:rsidR="00053CF8">
        <w:instrText xml:space="preserve"> XE "</w:instrText>
      </w:r>
      <w:r w:rsidR="00053CF8" w:rsidRPr="00847DC7">
        <w:instrText>Oertzen, Hauptmann von</w:instrText>
      </w:r>
      <w:r w:rsidR="00053CF8">
        <w:instrText xml:space="preserve">" </w:instrText>
      </w:r>
      <w:r w:rsidR="00363C1C">
        <w:fldChar w:fldCharType="end"/>
      </w:r>
      <w:r>
        <w:t xml:space="preserve"> hat offe</w:t>
      </w:r>
      <w:r>
        <w:t>n</w:t>
      </w:r>
      <w:r>
        <w:t xml:space="preserve">bar sehr ungünstige Erfahrungen mit den Buren gemacht, besonders auch bei seinen Germanisierungsversuchen derselben, bei denen er mir aber zu weit zu gehen scheint. Man sollte die Buren nicht zwingen ihre Kinder in der deutschen Sprache unterrichten zu lassen. Wir errichten ja doch auch möglichst überall in </w:t>
      </w:r>
      <w:r>
        <w:lastRenderedPageBreak/>
        <w:t>fremden Landen deutsche Schulen und suchen unsere Volksgenossen dem Deutschtum zu erhalten. Es ist auf der anderen Seite freilich so, daß die Buren jeder Obrigkeit, die auf Ordnung hält, Schwierigkeiten machen werden, w</w:t>
      </w:r>
      <w:r>
        <w:t>e</w:t>
      </w:r>
      <w:r>
        <w:t>nigstens in der Regel. (970)</w:t>
      </w:r>
    </w:p>
    <w:p w:rsidR="00CF6655" w:rsidRDefault="00CF6655" w:rsidP="007F4F18">
      <w:pPr>
        <w:pStyle w:val="Text"/>
        <w:ind w:firstLine="0"/>
      </w:pPr>
      <w:r>
        <w:t>Aber wie sollten sie sich nicht gegen eine Obrigkeit wehren, die ihnen mit der Sprache auch die Kultur zu nehmen droht und das auch noch mit Zwang durc</w:t>
      </w:r>
      <w:r>
        <w:t>h</w:t>
      </w:r>
      <w:r>
        <w:t>zusetzen versucht? Zahlreiche Minderheitenkonflikte haben sich an diesem Sprachproblem entzündet, beispielsweise ist es gegenwärtig einer der Gründe für den Widerstand der Kurden in der Türkei.</w:t>
      </w:r>
      <w:r>
        <w:rPr>
          <w:rStyle w:val="Funotenzeichen"/>
        </w:rPr>
        <w:footnoteReference w:id="239"/>
      </w:r>
      <w:r>
        <w:t xml:space="preserve"> Im Fall der Buren</w:t>
      </w:r>
      <w:r w:rsidR="00363C1C">
        <w:fldChar w:fldCharType="begin"/>
      </w:r>
      <w:r w:rsidR="00CA3EE6">
        <w:instrText xml:space="preserve"> XE "</w:instrText>
      </w:r>
      <w:r w:rsidR="00CA3EE6" w:rsidRPr="00282394">
        <w:instrText>Buren</w:instrText>
      </w:r>
      <w:r w:rsidR="00CA3EE6">
        <w:instrText xml:space="preserve">" </w:instrText>
      </w:r>
      <w:r w:rsidR="00363C1C">
        <w:fldChar w:fldCharType="end"/>
      </w:r>
      <w:r>
        <w:t xml:space="preserve"> dürfte es eine der Hauptursachen für die beschriebenen Schwierigkeiten gewesen sein.</w:t>
      </w:r>
    </w:p>
    <w:p w:rsidR="00CF6655" w:rsidRDefault="00CF6655" w:rsidP="00CF6655">
      <w:pPr>
        <w:pStyle w:val="Text"/>
      </w:pPr>
      <w:r>
        <w:t>Zu einem weiteren Anlass für Spieckers Verachtung wird die Sprache der Boeren</w:t>
      </w:r>
      <w:r w:rsidR="009A7721">
        <w:t>, das Kapholländisch</w:t>
      </w:r>
      <w:r w:rsidR="00A767E6">
        <w:t>e</w:t>
      </w:r>
      <w:r w:rsidR="00363C1C">
        <w:fldChar w:fldCharType="begin"/>
      </w:r>
      <w:r w:rsidR="00053CF8">
        <w:instrText xml:space="preserve"> XE "</w:instrText>
      </w:r>
      <w:r w:rsidR="00053CF8" w:rsidRPr="00595B69">
        <w:instrText>Kapholländisch (Sprache)</w:instrText>
      </w:r>
      <w:r w:rsidR="00053CF8">
        <w:instrText xml:space="preserve">" </w:instrText>
      </w:r>
      <w:r w:rsidR="00363C1C">
        <w:fldChar w:fldCharType="end"/>
      </w:r>
      <w:r w:rsidR="009A7721">
        <w:t xml:space="preserve"> </w:t>
      </w:r>
      <w:r w:rsidR="00A767E6">
        <w:t>(</w:t>
      </w:r>
      <w:r w:rsidR="00472EAD">
        <w:t xml:space="preserve">das </w:t>
      </w:r>
      <w:r w:rsidR="00A767E6">
        <w:t>heu</w:t>
      </w:r>
      <w:r w:rsidR="00472EAD">
        <w:t>tige</w:t>
      </w:r>
      <w:r w:rsidR="00A767E6">
        <w:t xml:space="preserve"> </w:t>
      </w:r>
      <w:r w:rsidR="009A7721">
        <w:t>Afrikaans</w:t>
      </w:r>
      <w:r w:rsidR="00A767E6">
        <w:t>)</w:t>
      </w:r>
      <w:r>
        <w:t xml:space="preserve">, </w:t>
      </w:r>
      <w:r w:rsidR="009A7721">
        <w:t xml:space="preserve">das </w:t>
      </w:r>
      <w:r>
        <w:t>von Spiecker nur als „ein schlechtes holländisches Platt“ (57) angesehen wird.</w:t>
      </w:r>
      <w:r w:rsidR="009A7721">
        <w:rPr>
          <w:rStyle w:val="Funotenzeichen"/>
        </w:rPr>
        <w:footnoteReference w:id="240"/>
      </w:r>
      <w:r>
        <w:t xml:space="preserve"> </w:t>
      </w:r>
      <w:r w:rsidR="009A7721">
        <w:t xml:space="preserve">Ein </w:t>
      </w:r>
      <w:r>
        <w:t>englische</w:t>
      </w:r>
      <w:r w:rsidR="009A7721">
        <w:t>r</w:t>
      </w:r>
      <w:r>
        <w:t xml:space="preserve"> Geis</w:t>
      </w:r>
      <w:r>
        <w:t>t</w:t>
      </w:r>
      <w:r>
        <w:t>liche</w:t>
      </w:r>
      <w:r w:rsidR="009A7721">
        <w:t>r</w:t>
      </w:r>
      <w:r>
        <w:t>, d</w:t>
      </w:r>
      <w:r w:rsidR="009A7721">
        <w:t>en</w:t>
      </w:r>
      <w:r>
        <w:t xml:space="preserve"> er trifft, </w:t>
      </w:r>
      <w:r w:rsidR="009A7721">
        <w:t xml:space="preserve">zeigt ihm jedoch eine Grammatik, die das Kapholländische bereits </w:t>
      </w:r>
      <w:r>
        <w:t>als selbständige Sprache</w:t>
      </w:r>
      <w:r w:rsidR="00A767E6">
        <w:t xml:space="preserve"> behandelt.</w:t>
      </w:r>
      <w:r>
        <w:t xml:space="preserve"> „Es war mir aber interessant aus di</w:t>
      </w:r>
      <w:r>
        <w:t>e</w:t>
      </w:r>
      <w:r>
        <w:t>ser Grammatik zu ersehen, daß die Engländer sich bemühen auch diese platte Boerensprache kennen zu lernen.“ (57f) „Sie hat z.B. fürs ganze Verb nur eine Form“ (62). Spiecker urteilt: „Sie allein zeugt von einem geistig zurückgeblieb</w:t>
      </w:r>
      <w:r>
        <w:t>e</w:t>
      </w:r>
      <w:r>
        <w:t>nen Volk.“ (68f)</w:t>
      </w:r>
    </w:p>
    <w:p w:rsidR="00CF6655" w:rsidRDefault="00CF6655" w:rsidP="007F4F18">
      <w:pPr>
        <w:pStyle w:val="Titel4"/>
      </w:pPr>
      <w:bookmarkStart w:id="370" w:name="_Toc122313678"/>
      <w:bookmarkStart w:id="371" w:name="_Toc122313766"/>
      <w:bookmarkStart w:id="372" w:name="_Toc130260757"/>
      <w:bookmarkStart w:id="373" w:name="_Toc327388057"/>
      <w:r>
        <w:t>… und die Bewunderten (Engländer</w:t>
      </w:r>
      <w:bookmarkEnd w:id="370"/>
      <w:bookmarkEnd w:id="371"/>
      <w:r>
        <w:t>)</w:t>
      </w:r>
      <w:bookmarkEnd w:id="372"/>
      <w:bookmarkEnd w:id="373"/>
    </w:p>
    <w:p w:rsidR="00CF6655" w:rsidRDefault="00CF6655" w:rsidP="007F4F18">
      <w:pPr>
        <w:pStyle w:val="Text"/>
        <w:ind w:firstLine="0"/>
      </w:pPr>
      <w:r>
        <w:t>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xml:space="preserve"> hat Spiecker gute Erfahrungen mit den britischen Behörden gemacht, und über den englischen Magistrat in Walfishbay</w:t>
      </w:r>
      <w:r w:rsidR="00363C1C">
        <w:fldChar w:fldCharType="begin"/>
      </w:r>
      <w:r w:rsidR="00C05598">
        <w:instrText xml:space="preserve"> XE "</w:instrText>
      </w:r>
      <w:r w:rsidR="00C05598" w:rsidRPr="00C05598">
        <w:instrText>Walfishbay</w:instrText>
      </w:r>
      <w:r w:rsidR="00C05598">
        <w:instrText xml:space="preserve">" </w:instrText>
      </w:r>
      <w:r w:rsidR="00363C1C">
        <w:fldChar w:fldCharType="end"/>
      </w:r>
      <w:r>
        <w:t>, das nahe bei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liegt, aber britisch verwaltet wird, schreibt er: „Solches Verstän</w:t>
      </w:r>
      <w:r>
        <w:t>d</w:t>
      </w:r>
      <w:r>
        <w:t>nis für die Eingeborenenfrage wie bei diesen Engländern habe ich noch bei ke</w:t>
      </w:r>
      <w:r>
        <w:t>i</w:t>
      </w:r>
      <w:r>
        <w:t xml:space="preserve">nem einzigen unserer deutschen Beamten gefunden. Sie fassen die Sache viel </w:t>
      </w:r>
      <w:r>
        <w:lastRenderedPageBreak/>
        <w:t>praktischer an und zeigen den Eingeborenen gegenüber eine viel menschlichere Gesinnung.“ (1338)</w:t>
      </w:r>
    </w:p>
    <w:p w:rsidR="00CF6655" w:rsidRDefault="00CF6655" w:rsidP="00CF6655">
      <w:pPr>
        <w:pStyle w:val="Text"/>
      </w:pPr>
      <w:r>
        <w:t>Den Kontrast zwischen der Politik der Engländer und den traurigen Z</w:t>
      </w:r>
      <w:r>
        <w:t>u</w:t>
      </w:r>
      <w:r>
        <w:t>ständen in Südwestafrika, den Spiecker auch innerhalb der Mission themat</w:t>
      </w:r>
      <w:r>
        <w:t>i</w:t>
      </w:r>
      <w:r>
        <w:t>siert,</w:t>
      </w:r>
      <w:r>
        <w:rPr>
          <w:rStyle w:val="Funotenzeichen"/>
        </w:rPr>
        <w:footnoteReference w:id="241"/>
      </w:r>
      <w:r>
        <w:t xml:space="preserve"> beschreibt er in aller Schärfe und verbindet ihn mit dem Gegensatz eva</w:t>
      </w:r>
      <w:r>
        <w:t>n</w:t>
      </w:r>
      <w:r>
        <w:t>gelisch-katholisch:</w:t>
      </w:r>
    </w:p>
    <w:p w:rsidR="00CF6655" w:rsidRDefault="00CF6655" w:rsidP="00CF6655">
      <w:pPr>
        <w:pStyle w:val="Zitat"/>
      </w:pPr>
      <w:r>
        <w:t>Abends hatte ich eine längere Unterredung mit einem deutschen Herren, der in der Delagoa-Bai</w:t>
      </w:r>
      <w:r w:rsidR="00BF5228">
        <w:rPr>
          <w:rStyle w:val="Funotenzeichen"/>
        </w:rPr>
        <w:footnoteReference w:id="242"/>
      </w:r>
      <w:r>
        <w:t xml:space="preserve"> ein Geschäft hat. Er klagte auch über die liederliche port</w:t>
      </w:r>
      <w:r>
        <w:t>u</w:t>
      </w:r>
      <w:r>
        <w:t>giesische Wirtschaft. Diese einst so starken katholischen Kolonialmächte gehen immer mehr zurück, während das evangelische England seine Macht nicht nur über die ganze Erde ausbreitet, sondern auch überall Ordnung schafft. Aber der Neid läßt es nicht zu, daß dies anerkannt wird von unseren Kolonialherren. Auch Gouverneur von 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xml:space="preserve"> scheint hierin ebenso blind zu sein, wie alle anderen. Er sieht wohl, daß die Eingeborenen in den englischen Kolonien g</w:t>
      </w:r>
      <w:r>
        <w:t>e</w:t>
      </w:r>
      <w:r>
        <w:t xml:space="preserve">deihen und zunehmen, aber er zieht daraus den Schluß: </w:t>
      </w:r>
      <w:r w:rsidR="00805594">
        <w:t>„</w:t>
      </w:r>
      <w:r>
        <w:t>So geht es überall, wo die Eingeborenen unter Europäern leben.</w:t>
      </w:r>
      <w:r w:rsidR="00805594">
        <w:t>“</w:t>
      </w:r>
      <w:r>
        <w:t xml:space="preserve"> Daran hält er fest trotz der traurigen Zustände in Südwestafrika […]. (50f)</w:t>
      </w:r>
    </w:p>
    <w:p w:rsidR="00CF6655" w:rsidRDefault="00CF6655" w:rsidP="00DE535E">
      <w:pPr>
        <w:pStyle w:val="Titel2"/>
      </w:pPr>
      <w:bookmarkStart w:id="374" w:name="_Toc130260758"/>
      <w:bookmarkStart w:id="375" w:name="_Ref325354703"/>
      <w:bookmarkStart w:id="376" w:name="_Ref325354910"/>
      <w:bookmarkStart w:id="377" w:name="_Toc327388058"/>
      <w:r>
        <w:t>Kolonisation und Begehren</w:t>
      </w:r>
      <w:bookmarkEnd w:id="374"/>
      <w:bookmarkEnd w:id="375"/>
      <w:bookmarkEnd w:id="376"/>
      <w:bookmarkEnd w:id="377"/>
    </w:p>
    <w:p w:rsidR="00CF6655" w:rsidRDefault="00CF6655" w:rsidP="00DE535E">
      <w:pPr>
        <w:pStyle w:val="Titel3"/>
      </w:pPr>
      <w:bookmarkStart w:id="378" w:name="_Toc130260759"/>
      <w:bookmarkStart w:id="379" w:name="_Ref325354582"/>
      <w:bookmarkStart w:id="380" w:name="_Toc327388059"/>
      <w:r>
        <w:t>Vorüberlegung: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xml:space="preserve"> und sexuelle Phantasie</w:t>
      </w:r>
      <w:bookmarkEnd w:id="378"/>
      <w:bookmarkEnd w:id="379"/>
      <w:bookmarkEnd w:id="380"/>
    </w:p>
    <w:p w:rsidR="00CF6655" w:rsidRDefault="00CF6655" w:rsidP="00DE535E">
      <w:pPr>
        <w:pStyle w:val="Titel4"/>
      </w:pPr>
      <w:bookmarkStart w:id="381" w:name="_Toc130260760"/>
      <w:bookmarkStart w:id="382" w:name="_Ref325356034"/>
      <w:bookmarkStart w:id="383" w:name="_Ref325356947"/>
      <w:bookmarkStart w:id="384" w:name="_Toc327388060"/>
      <w:r>
        <w:t>Zweideutige Theorien</w:t>
      </w:r>
      <w:bookmarkEnd w:id="381"/>
      <w:bookmarkEnd w:id="382"/>
      <w:bookmarkEnd w:id="383"/>
      <w:bookmarkEnd w:id="384"/>
    </w:p>
    <w:p w:rsidR="00CF6655" w:rsidRDefault="00CF6655" w:rsidP="00DE535E">
      <w:pPr>
        <w:pStyle w:val="Text"/>
        <w:ind w:firstLine="0"/>
      </w:pPr>
      <w:r>
        <w:t>In seinem Buch „Colonial Desire. Hybridity in Theory, Culture and Race“ zeigt Robert Young, dass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xml:space="preserve"> und Sexualität eng zusammenhängen</w:t>
      </w:r>
      <w:r w:rsidR="00F17612">
        <w:t xml:space="preserve"> (Young 1995)</w:t>
      </w:r>
      <w:r>
        <w:t>. Die Rassenlehre</w:t>
      </w:r>
      <w:r w:rsidR="00363C1C">
        <w:fldChar w:fldCharType="begin"/>
      </w:r>
      <w:r w:rsidR="000A039E">
        <w:instrText xml:space="preserve"> XE "</w:instrText>
      </w:r>
      <w:r w:rsidR="000A039E" w:rsidRPr="00616F22">
        <w:instrText>Rassismus</w:instrText>
      </w:r>
      <w:r w:rsidR="000A039E">
        <w:instrText xml:space="preserve">" </w:instrText>
      </w:r>
      <w:r w:rsidR="00363C1C">
        <w:fldChar w:fldCharType="end"/>
      </w:r>
      <w:r>
        <w:t xml:space="preserve"> des 19. Jahrhunderts war von Anfang an in merkwürdiger Weise auf Sexualität zwischen verschiedenen „Rassen“ fixiert. Dies hängt damit zusammen, dass man den einzuführenden Begriff der menschlichen „Rasse“ in </w:t>
      </w:r>
      <w:r>
        <w:lastRenderedPageBreak/>
        <w:t>Analogie zu „Art“ über die Fruchtbarkeit von ‚Mischlings‘-Nachkommen zu d</w:t>
      </w:r>
      <w:r>
        <w:t>e</w:t>
      </w:r>
      <w:r>
        <w:t>finieren versuchte.</w:t>
      </w:r>
    </w:p>
    <w:p w:rsidR="00CF6655" w:rsidRDefault="00CF6655" w:rsidP="00CF6655">
      <w:pPr>
        <w:pStyle w:val="Text"/>
      </w:pPr>
      <w:r>
        <w:t>Aber die ersten Rassisten waren sogar noch weiter gegangen: So versuchte der jamaikanische Sklavenhalter Edward Long 1774, Weiße und Schwarze als u</w:t>
      </w:r>
      <w:r>
        <w:t>n</w:t>
      </w:r>
      <w:r>
        <w:t>terschiedliche Arten zu definieren. Der im 19. Jh. allgemein anerkannte Test für die Unterscheidung von Arten bestand darin, dass sich aus einer Paarung zwar Nachwuchs ergeben konnte, dieser „Hybrid“ genannte Nachwuchs jedoch u</w:t>
      </w:r>
      <w:r>
        <w:t>n</w:t>
      </w:r>
      <w:r>
        <w:t>fruchtbar blieb; ein bekanntes Beispiel dafür ist der Maulesel, die Kreuzung aus Pferd und Esel. Auf diese Art bleiben Arten voneinander getrennt, während sich alle Variationen innerhalb einer Art frei miteinander vermischen können. So au</w:t>
      </w:r>
      <w:r>
        <w:t>f</w:t>
      </w:r>
      <w:r>
        <w:t>fällig sie sein mögen, solche Variationen sind sehr viel kurzlebiger als die in hi</w:t>
      </w:r>
      <w:r>
        <w:t>s</w:t>
      </w:r>
      <w:r>
        <w:t xml:space="preserve">torischer Zeit nicht beobachtbare evolutionäre Veränderung der Arten selbst; </w:t>
      </w:r>
      <w:r w:rsidR="004405EC">
        <w:t xml:space="preserve">überdies </w:t>
      </w:r>
      <w:r>
        <w:t>sind sie gradueller Natur, was eine klare Abgrenzung unmöglich macht.</w:t>
      </w:r>
      <w:r>
        <w:rPr>
          <w:rStyle w:val="Funotenzeichen"/>
        </w:rPr>
        <w:footnoteReference w:id="243"/>
      </w:r>
    </w:p>
    <w:p w:rsidR="00CF6655" w:rsidRDefault="00CF6655" w:rsidP="00CF6655">
      <w:pPr>
        <w:pStyle w:val="Text"/>
      </w:pPr>
      <w:r>
        <w:t xml:space="preserve">Beides war für </w:t>
      </w:r>
      <w:r w:rsidR="00BE366F">
        <w:t xml:space="preserve">die </w:t>
      </w:r>
      <w:r>
        <w:t>Rassen</w:t>
      </w:r>
      <w:r w:rsidR="00BE366F">
        <w:t>ideologen</w:t>
      </w:r>
      <w:r>
        <w:t xml:space="preserve"> von Anfang an ein Hindernis. Zum e</w:t>
      </w:r>
      <w:r>
        <w:t>i</w:t>
      </w:r>
      <w:r>
        <w:t>nen wollten sie die Rassen als übergeschichtliche Tatsache, als unabhängig von historischen Gegebenheiten darstellen; zum anderen jede Vermischung der Ra</w:t>
      </w:r>
      <w:r>
        <w:t>s</w:t>
      </w:r>
      <w:r>
        <w:t>sen als ‚Verirrung‘ und ‚widernatürlich‘ brandmarken. Daher lag es nahe, die Ra</w:t>
      </w:r>
      <w:r>
        <w:t>s</w:t>
      </w:r>
      <w:r>
        <w:t>sen als unterschiedliche Arten anzusehen, wofür man auch nicht vor offensich</w:t>
      </w:r>
      <w:r>
        <w:t>t</w:t>
      </w:r>
      <w:r>
        <w:t>lichen Lügen zurückschreckte. So erklärte Long, beobachtet zu haben, dass Ve</w:t>
      </w:r>
      <w:r>
        <w:t>r</w:t>
      </w:r>
      <w:r>
        <w:t>bindungen zwischen Mulatten häufig unfruchtbar seien; er verglich sie daher mit Mauleseln.</w:t>
      </w:r>
      <w:r>
        <w:rPr>
          <w:rStyle w:val="Funotenzeichen"/>
        </w:rPr>
        <w:footnoteReference w:id="244"/>
      </w:r>
    </w:p>
    <w:p w:rsidR="00CF6655" w:rsidRDefault="00CF6655" w:rsidP="00CF6655">
      <w:pPr>
        <w:pStyle w:val="Text"/>
      </w:pPr>
      <w:r>
        <w:t>Angesichts der in vielen Ländern rasch anwachsenden Mulattenbevölkerung ließ sich die Behauptung der Unfruchtbarkeit nicht gut aufrechterhalten. Man konzentrierte sich daher auf die Annahme einer abnehmenden Fruchtbarkeit, e</w:t>
      </w:r>
      <w:r>
        <w:t>i</w:t>
      </w:r>
      <w:r>
        <w:t>ner graduellen „Degeneration“, womit eines der gefährlichsten Konzepte der Rassenlehre</w:t>
      </w:r>
      <w:r w:rsidR="00363C1C">
        <w:fldChar w:fldCharType="begin"/>
      </w:r>
      <w:r w:rsidR="000A039E">
        <w:instrText xml:space="preserve"> XE "</w:instrText>
      </w:r>
      <w:r w:rsidR="000A039E" w:rsidRPr="00616F22">
        <w:instrText>Rassismus</w:instrText>
      </w:r>
      <w:r w:rsidR="000A039E">
        <w:instrText xml:space="preserve">" </w:instrText>
      </w:r>
      <w:r w:rsidR="00363C1C">
        <w:fldChar w:fldCharType="end"/>
      </w:r>
      <w:r>
        <w:t xml:space="preserve"> eingeführt wurde, das noch in Hitlers</w:t>
      </w:r>
      <w:r w:rsidR="00363C1C">
        <w:fldChar w:fldCharType="begin"/>
      </w:r>
      <w:r w:rsidR="000A039E">
        <w:instrText xml:space="preserve"> XE "</w:instrText>
      </w:r>
      <w:r w:rsidR="000A039E" w:rsidRPr="00B76711">
        <w:instrText>Hitler, Adolf</w:instrText>
      </w:r>
      <w:r w:rsidR="000A039E">
        <w:instrText xml:space="preserve">" </w:instrText>
      </w:r>
      <w:r w:rsidR="00363C1C">
        <w:fldChar w:fldCharType="end"/>
      </w:r>
      <w:r>
        <w:t xml:space="preserve"> „Mein Kampf“ wiederholt werden wird; seine Gefährlichkeit stammt aus seiner Flexibilität, die es letztlich unüberprüfbar machte, da die Geschwindigkeit, mit der die Unfruchtbarkeit sich entwickelte, nicht festgelegt war. Zugleich konnte auf unauffällige Art der b</w:t>
      </w:r>
      <w:r>
        <w:t>e</w:t>
      </w:r>
      <w:r>
        <w:t>hauptete Verfall von der biologischen Unfruchtbarkeit auf weniger überprüfbare Gebiete wie das allgemeine körperliche, seelische und geistige Nachlassen der Kräfte erweitert werden.</w:t>
      </w:r>
      <w:r>
        <w:rPr>
          <w:rStyle w:val="Funotenzeichen"/>
        </w:rPr>
        <w:footnoteReference w:id="245"/>
      </w:r>
    </w:p>
    <w:p w:rsidR="00CF6655" w:rsidRDefault="00CF6655" w:rsidP="00CF6655">
      <w:pPr>
        <w:pStyle w:val="Text"/>
      </w:pPr>
      <w:r>
        <w:t>Zusammen mit der zweiten Kernidee einer „Hierarchie der Rassen“, bei der die Weißen natürlich ganz oben standen und die Schwarzen ganz unten, während man den „gelben Rassen“ und Indianern manchmal eine Mittelstellung einräu</w:t>
      </w:r>
      <w:r>
        <w:t>m</w:t>
      </w:r>
      <w:r>
        <w:lastRenderedPageBreak/>
        <w:t>te,</w:t>
      </w:r>
      <w:r>
        <w:rPr>
          <w:rStyle w:val="Funotenzeichen"/>
        </w:rPr>
        <w:footnoteReference w:id="246"/>
      </w:r>
      <w:r>
        <w:t xml:space="preserve"> war damit das schlichte Arsenal weißen Überlegenheitsdenkens gegeben, das zur Begründung des Imperialismus und des alltäglichen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xml:space="preserve"> der Kol</w:t>
      </w:r>
      <w:r>
        <w:t>o</w:t>
      </w:r>
      <w:r>
        <w:t>nialreiche unabdingbar wurde. In diesem Zusammenhang ist es einer jener merkwürdig vielsagenden Zufälle, dass die von Young zum Ausgangspunkt se</w:t>
      </w:r>
      <w:r>
        <w:t>i</w:t>
      </w:r>
      <w:r>
        <w:t>nes Buchs genommene Etablierung der „Greenwich Mean Time</w:t>
      </w:r>
      <w:r w:rsidR="00363C1C">
        <w:fldChar w:fldCharType="begin"/>
      </w:r>
      <w:r w:rsidR="00FE1AFA">
        <w:instrText xml:space="preserve"> XE "</w:instrText>
      </w:r>
      <w:r w:rsidR="00FE1AFA" w:rsidRPr="00E541C6">
        <w:instrText>Greenwich Mean Time (GMT)</w:instrText>
      </w:r>
      <w:r w:rsidR="00FE1AFA">
        <w:instrText xml:space="preserve">" </w:instrText>
      </w:r>
      <w:r w:rsidR="00363C1C">
        <w:fldChar w:fldCharType="end"/>
      </w:r>
      <w:r>
        <w:t>“ (GMT), die gleichzeitig die Behauptung eines „Nullpunktes“, also eines Zentrums der Welt und ihre Aufteilung in Ost und West bedeutete – der in den Boden eingelassene Nullmeridian aus Messing macht sie symbolisch sichtbar –,</w:t>
      </w:r>
      <w:r>
        <w:rPr>
          <w:rStyle w:val="Funotenzeichen"/>
        </w:rPr>
        <w:footnoteReference w:id="247"/>
      </w:r>
      <w:r>
        <w:t xml:space="preserve"> dass diese zentrale imperiale Geste mit der ersten kolonialen Landnahme des Deutschen Reichs 1884 zusammenfällt.</w:t>
      </w:r>
    </w:p>
    <w:p w:rsidR="00CF6655" w:rsidRDefault="00CF6655" w:rsidP="000E59D1">
      <w:pPr>
        <w:pStyle w:val="Titel4"/>
      </w:pPr>
      <w:bookmarkStart w:id="385" w:name="_Toc130260761"/>
      <w:bookmarkStart w:id="386" w:name="_Toc327388061"/>
      <w:r>
        <w:t>Spuren des Verlangens</w:t>
      </w:r>
      <w:bookmarkEnd w:id="385"/>
      <w:bookmarkEnd w:id="386"/>
    </w:p>
    <w:p w:rsidR="00CF6655" w:rsidRDefault="00CF6655" w:rsidP="000E59D1">
      <w:pPr>
        <w:pStyle w:val="Text"/>
        <w:ind w:firstLine="0"/>
      </w:pPr>
      <w:r>
        <w:t>Doch für die Möglichkeiten der Konzeptualisierung, die ihnen der Geschlecht</w:t>
      </w:r>
      <w:r>
        <w:t>s</w:t>
      </w:r>
      <w:r>
        <w:t>verkehr zwischen den Rassen bot, zahlten die Rassentheoretiker einen hohen Preis: Von Anfang an war der Rassismus</w:t>
      </w:r>
      <w:r w:rsidR="00363C1C">
        <w:fldChar w:fldCharType="begin"/>
      </w:r>
      <w:r w:rsidR="000A039E">
        <w:instrText xml:space="preserve"> XE "</w:instrText>
      </w:r>
      <w:r w:rsidR="000A039E" w:rsidRPr="006B281D">
        <w:instrText>Rassismus</w:instrText>
      </w:r>
      <w:r w:rsidR="000A039E">
        <w:instrText xml:space="preserve">" </w:instrText>
      </w:r>
      <w:r w:rsidR="00363C1C">
        <w:fldChar w:fldCharType="end"/>
      </w:r>
      <w:r>
        <w:t xml:space="preserve"> mit Phantasien inter-rassischer Sexual</w:t>
      </w:r>
      <w:r>
        <w:t>i</w:t>
      </w:r>
      <w:r>
        <w:t>tät untrennbar verbunden. Und vielleicht waren es gerade diese Phantasien und ihre Verdrängung, war es die entstehende seltsame Mischung aus Anziehung und Abstoßung, die mit sublimierter Sexualität so oft einhergeht und die selbst eine Form jener versteckten und verleugneten Hybridität ist, von der das Kolonia</w:t>
      </w:r>
      <w:r>
        <w:t>l</w:t>
      </w:r>
      <w:r>
        <w:t>projekt von Anfang an heimgesucht wurde – waren es gerade diese verbotenen und zugleich lockenden Früchte des Rassismus, die ihn über die Jahrhunderte so anziehend gemacht haben.</w:t>
      </w:r>
      <w:r>
        <w:rPr>
          <w:rStyle w:val="Funotenzeichen"/>
        </w:rPr>
        <w:footnoteReference w:id="248"/>
      </w:r>
    </w:p>
    <w:p w:rsidR="00CF6655" w:rsidRDefault="00CF6655" w:rsidP="00CF6655">
      <w:pPr>
        <w:pStyle w:val="Text"/>
      </w:pPr>
      <w:r>
        <w:t>Young beschreibt, wie auf ‚wissenschaftlichen‘ Tafeln idealisierte ‚europä</w:t>
      </w:r>
      <w:r>
        <w:t>i</w:t>
      </w:r>
      <w:r>
        <w:t xml:space="preserve">sche‘ Gesichter, die klassischen griechischen Idealen wie dem Apollo von </w:t>
      </w:r>
      <w:r>
        <w:lastRenderedPageBreak/>
        <w:t>Belvedere nachempfunden waren, afrikanischen Gesichtern gegenüber gestellt werden, die möglichst nach Affen aussehen sollen und manchmal ins Fratzenha</w:t>
      </w:r>
      <w:r>
        <w:t>f</w:t>
      </w:r>
      <w:r>
        <w:t>te verzerrt sind. Um so erstaunlicher ist es, dass in der behaupteten Abstoßung immer wieder das Element der Anziehung lauert, und zwar mit einer Verve, von der die Verfasser der jeweiligen Texte selbst zu überrascht zu sein scheinen, um die Kontinuität des Textes zu wahren:</w:t>
      </w:r>
      <w:r>
        <w:rPr>
          <w:rStyle w:val="Funotenzeichen"/>
        </w:rPr>
        <w:footnoteReference w:id="249"/>
      </w:r>
    </w:p>
    <w:p w:rsidR="00CF6655" w:rsidRDefault="00CF6655" w:rsidP="00403EB2">
      <w:pPr>
        <w:pStyle w:val="ZitatAbsto"/>
        <w:rPr>
          <w:lang w:val="en-GB"/>
        </w:rPr>
      </w:pPr>
      <w:r>
        <w:rPr>
          <w:lang w:val="en-GB"/>
        </w:rPr>
        <w:t>The repulsion that writers commonly express when describing other races, pa</w:t>
      </w:r>
      <w:r>
        <w:rPr>
          <w:lang w:val="en-GB"/>
        </w:rPr>
        <w:t>r</w:t>
      </w:r>
      <w:r>
        <w:rPr>
          <w:lang w:val="en-GB"/>
        </w:rPr>
        <w:t>ticularly Africans, is, however, often accompanied at other points, with an equal emphasis, sometimes apparently inadvertent, on the beauty, attractiv</w:t>
      </w:r>
      <w:r>
        <w:rPr>
          <w:lang w:val="en-GB"/>
        </w:rPr>
        <w:t>e</w:t>
      </w:r>
      <w:r>
        <w:rPr>
          <w:lang w:val="en-GB"/>
        </w:rPr>
        <w:t>ness or desirability of the racial other. Thomas Hope</w:t>
      </w:r>
      <w:r w:rsidR="00363C1C">
        <w:rPr>
          <w:lang w:val="en-GB"/>
        </w:rPr>
        <w:fldChar w:fldCharType="begin"/>
      </w:r>
      <w:r w:rsidR="00541407" w:rsidRPr="00541407">
        <w:rPr>
          <w:lang w:val="en-US"/>
        </w:rPr>
        <w:instrText xml:space="preserve"> XE "</w:instrText>
      </w:r>
      <w:r w:rsidR="00541407" w:rsidRPr="00D202A2">
        <w:rPr>
          <w:lang w:val="en-GB"/>
        </w:rPr>
        <w:instrText>Hope, Thomas</w:instrText>
      </w:r>
      <w:r w:rsidR="00541407" w:rsidRPr="00541407">
        <w:rPr>
          <w:lang w:val="en-US"/>
        </w:rPr>
        <w:instrText xml:space="preserve">" </w:instrText>
      </w:r>
      <w:r w:rsidR="00363C1C">
        <w:rPr>
          <w:lang w:val="en-GB"/>
        </w:rPr>
        <w:fldChar w:fldCharType="end"/>
      </w:r>
      <w:r>
        <w:rPr>
          <w:lang w:val="en-GB"/>
        </w:rPr>
        <w:t xml:space="preserve">, for example, in </w:t>
      </w:r>
      <w:r>
        <w:rPr>
          <w:i/>
          <w:iCs/>
          <w:lang w:val="en-GB"/>
        </w:rPr>
        <w:t xml:space="preserve">An Essay on the Origin and Prospects of Man </w:t>
      </w:r>
      <w:r>
        <w:rPr>
          <w:lang w:val="en-GB"/>
        </w:rPr>
        <w:t>(1831), after describing some of the black ‘varieties of human races’ with ‘the least cultivation’ as ‘disgusting’, ‘repulsive’, ‘preposterous’ and ‘hideously ugly’ […], suddenly ends with the following paragraph:</w:t>
      </w:r>
    </w:p>
    <w:p w:rsidR="00CF6655" w:rsidRDefault="00CF6655" w:rsidP="00403EB2">
      <w:pPr>
        <w:pStyle w:val="ZitatAbstu"/>
        <w:rPr>
          <w:lang w:val="en-GB"/>
        </w:rPr>
      </w:pPr>
      <w:r>
        <w:rPr>
          <w:lang w:val="en-GB"/>
        </w:rPr>
        <w:t xml:space="preserve">“There are in Africa, to the north of the line, certain Nubian nations, as there are to the south of the line certain Caffre tribes, whose figures, nay even whose features, might in point of form serve as models for those of an Apollo. Their stature is lofty, their frame elegant and powerful. </w:t>
      </w:r>
      <w:proofErr w:type="gramStart"/>
      <w:r>
        <w:rPr>
          <w:lang w:val="en-GB"/>
        </w:rPr>
        <w:t>Their chest open and wide; their extremities muscular and yet delicate.</w:t>
      </w:r>
      <w:proofErr w:type="gramEnd"/>
      <w:r>
        <w:rPr>
          <w:lang w:val="en-GB"/>
        </w:rPr>
        <w:t xml:space="preserve"> […] Their complexion indeed still is dark, but it is the glossy black of marble or of jet, conveying to the touch sensations more voluptuous even than those of the most resplendent white.”</w:t>
      </w:r>
      <w:r>
        <w:rPr>
          <w:rStyle w:val="Funotenzeichen"/>
          <w:lang w:val="en-GB"/>
        </w:rPr>
        <w:footnoteReference w:id="250"/>
      </w:r>
    </w:p>
    <w:p w:rsidR="00CF6655" w:rsidRDefault="00CF6655" w:rsidP="00403EB2">
      <w:pPr>
        <w:pStyle w:val="Text"/>
        <w:ind w:firstLine="0"/>
      </w:pPr>
      <w:r>
        <w:t>Ein ähnliches Moment überraschend aufflackernder Sehnsucht zitiert Tanja Hemme aus dem Reisebericht</w:t>
      </w:r>
      <w:r w:rsidR="00363C1C">
        <w:fldChar w:fldCharType="begin"/>
      </w:r>
      <w:r w:rsidR="003643E8">
        <w:instrText xml:space="preserve"> XE "</w:instrText>
      </w:r>
      <w:r w:rsidR="003643E8" w:rsidRPr="00A82053">
        <w:instrText>Reisebericht</w:instrText>
      </w:r>
      <w:r w:rsidR="003643E8">
        <w:instrText xml:space="preserve">" </w:instrText>
      </w:r>
      <w:r w:rsidR="00363C1C">
        <w:fldChar w:fldCharType="end"/>
      </w:r>
      <w:r>
        <w:t xml:space="preserve"> von Ernst von Weber</w:t>
      </w:r>
      <w:r w:rsidR="00363C1C">
        <w:fldChar w:fldCharType="begin"/>
      </w:r>
      <w:r w:rsidR="00710612">
        <w:instrText xml:space="preserve"> XE "</w:instrText>
      </w:r>
      <w:r w:rsidR="00710612" w:rsidRPr="002C5A3F">
        <w:instrText xml:space="preserve">Weber, </w:instrText>
      </w:r>
      <w:r w:rsidR="00236D9A">
        <w:instrText>Ernst von</w:instrText>
      </w:r>
      <w:r w:rsidR="00710612">
        <w:instrText xml:space="preserve">" </w:instrText>
      </w:r>
      <w:r w:rsidR="00363C1C">
        <w:fldChar w:fldCharType="end"/>
      </w:r>
      <w:r>
        <w:t>, einem Diamantenhändler und wichtigen Befürworter des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im gerade gegründeten deutschen Kaiserreich:</w:t>
      </w:r>
    </w:p>
    <w:p w:rsidR="00CF6655" w:rsidRDefault="00CF6655" w:rsidP="00CF6655">
      <w:pPr>
        <w:pStyle w:val="Zitat"/>
      </w:pPr>
      <w:r>
        <w:t>Namentlich die ältere, etwa 14 Jahr alt, mit einem entzückenden rein griech</w:t>
      </w:r>
      <w:r>
        <w:t>i</w:t>
      </w:r>
      <w:r>
        <w:t xml:space="preserve">schen Profil, schön geschnittenem Mund, feinen vornehmen Gesichtszügen und winzig kleinen Händen und Füßen, dabei von kohlschwarzer Farbe und mit langem, </w:t>
      </w:r>
      <w:proofErr w:type="gramStart"/>
      <w:r>
        <w:t>glänzendschwarzen</w:t>
      </w:r>
      <w:proofErr w:type="gramEnd"/>
      <w:r>
        <w:t xml:space="preserve"> Haar. Ich wünschte, ich hätte das anmuthige Wesen nach meinem Geschmacke costümiren dürfen […].</w:t>
      </w:r>
      <w:r>
        <w:rPr>
          <w:rStyle w:val="Funotenzeichen"/>
        </w:rPr>
        <w:footnoteReference w:id="251"/>
      </w:r>
    </w:p>
    <w:p w:rsidR="00CF6655" w:rsidRDefault="00CF6655" w:rsidP="00E077B9">
      <w:pPr>
        <w:pStyle w:val="Text"/>
        <w:spacing w:after="240"/>
        <w:ind w:firstLine="0"/>
      </w:pPr>
      <w:r>
        <w:t>Von Weber</w:t>
      </w:r>
      <w:r w:rsidR="00363C1C">
        <w:fldChar w:fldCharType="begin"/>
      </w:r>
      <w:r w:rsidR="00710612">
        <w:instrText xml:space="preserve"> XE "</w:instrText>
      </w:r>
      <w:r w:rsidR="00710612" w:rsidRPr="002C5A3F">
        <w:instrText>Weber, Br.</w:instrText>
      </w:r>
      <w:r w:rsidR="00710612">
        <w:instrText xml:space="preserve">" </w:instrText>
      </w:r>
      <w:r w:rsidR="00363C1C">
        <w:fldChar w:fldCharType="end"/>
      </w:r>
      <w:r>
        <w:t xml:space="preserve"> ist zugleich ein führender Kolonialpropagandist gewesen,</w:t>
      </w:r>
      <w:r>
        <w:rPr>
          <w:rStyle w:val="Funotenzeichen"/>
        </w:rPr>
        <w:footnoteReference w:id="252"/>
      </w:r>
      <w:r>
        <w:t xml:space="preserve"> ein „K</w:t>
      </w:r>
      <w:r>
        <w:t>o</w:t>
      </w:r>
      <w:r>
        <w:t>lonialist der ersten Stunde“ wie Friedrich Fabri</w:t>
      </w:r>
      <w:r w:rsidR="00363C1C">
        <w:fldChar w:fldCharType="begin"/>
      </w:r>
      <w:r w:rsidR="00177921">
        <w:instrText xml:space="preserve"> XE "</w:instrText>
      </w:r>
      <w:r w:rsidR="00177921" w:rsidRPr="00397DB6">
        <w:instrText>Fabri, Friedrich</w:instrText>
      </w:r>
      <w:r w:rsidR="00177921">
        <w:instrText xml:space="preserve">" </w:instrText>
      </w:r>
      <w:r w:rsidR="00363C1C">
        <w:fldChar w:fldCharType="end"/>
      </w:r>
      <w:r>
        <w:t>;</w:t>
      </w:r>
      <w:r>
        <w:rPr>
          <w:rStyle w:val="Funotenzeichen"/>
        </w:rPr>
        <w:footnoteReference w:id="253"/>
      </w:r>
      <w:r>
        <w:t xml:space="preserve"> sicherlich ist es kein Zufall, dass jemand, der so offensichtlich eine Leidenschaft für die Kolonialidee hatte und also das ‚Begehren‘ nach dem schwarzen Kontinent als einer der ersten in </w:t>
      </w:r>
      <w:r>
        <w:lastRenderedPageBreak/>
        <w:t>seiner vollen Stärke erfuhr, sich auch dem auf so seltsame Art mit Verachtung gemischten Begehren nach der schwarzen Haut nicht entziehen konnte.</w:t>
      </w:r>
      <w:r>
        <w:rPr>
          <w:rStyle w:val="Funotenzeichen"/>
        </w:rPr>
        <w:footnoteReference w:id="254"/>
      </w:r>
    </w:p>
    <w:p w:rsidR="00E077B9" w:rsidRDefault="00701787" w:rsidP="00403EB2">
      <w:pPr>
        <w:pStyle w:val="Text"/>
        <w:ind w:firstLine="0"/>
      </w:pPr>
      <w:r>
        <w:rPr>
          <w:noProof/>
        </w:rPr>
        <w:drawing>
          <wp:inline distT="0" distB="0" distL="0" distR="0">
            <wp:extent cx="4320540" cy="3273309"/>
            <wp:effectExtent l="19050" t="0" r="3810" b="0"/>
            <wp:docPr id="25" name="Abb9.jpg" descr="C:\Users\Martin\Docs\Publikationen\Sprache, Glaube und Macht\Johannes Spiecker in Deutsch-Südwestafrika\Ab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9.jpg"/>
                    <pic:cNvPicPr/>
                  </pic:nvPicPr>
                  <pic:blipFill>
                    <a:blip r:embed="rId23" cstate="print"/>
                    <a:stretch>
                      <a:fillRect/>
                    </a:stretch>
                  </pic:blipFill>
                  <pic:spPr>
                    <a:xfrm>
                      <a:off x="0" y="0"/>
                      <a:ext cx="4320540" cy="3273309"/>
                    </a:xfrm>
                    <a:prstGeom prst="rect">
                      <a:avLst/>
                    </a:prstGeom>
                  </pic:spPr>
                </pic:pic>
              </a:graphicData>
            </a:graphic>
          </wp:inline>
        </w:drawing>
      </w:r>
    </w:p>
    <w:p w:rsidR="00E077B9" w:rsidRDefault="00E077B9" w:rsidP="00E077B9">
      <w:pPr>
        <w:pStyle w:val="Beschriftung"/>
      </w:pPr>
      <w:bookmarkStart w:id="387" w:name="_Toc327393041"/>
      <w:r w:rsidRPr="004C3839">
        <w:rPr>
          <w:b/>
        </w:rPr>
        <w:t xml:space="preserve">Abb. </w:t>
      </w:r>
      <w:r>
        <w:rPr>
          <w:b/>
        </w:rPr>
        <w:t>9</w:t>
      </w:r>
      <w:r>
        <w:tab/>
        <w:t>Missionarin mit Kindern und Kindermädchen</w:t>
      </w:r>
      <w:bookmarkEnd w:id="387"/>
      <w:r w:rsidR="00363C1C">
        <w:fldChar w:fldCharType="begin"/>
      </w:r>
      <w:r>
        <w:instrText xml:space="preserve"> XE "</w:instrText>
      </w:r>
      <w:r w:rsidRPr="00582DC7">
        <w:instrText>Merkmalsprozess:</w:instrText>
      </w:r>
      <w:r w:rsidRPr="000F46C0">
        <w:rPr>
          <w:i/>
        </w:rPr>
        <w:instrText>Abbildung</w:instrText>
      </w:r>
      <w:r>
        <w:instrText xml:space="preserve">" </w:instrText>
      </w:r>
      <w:r w:rsidR="00363C1C">
        <w:fldChar w:fldCharType="end"/>
      </w:r>
    </w:p>
    <w:p w:rsidR="00CF6655" w:rsidRDefault="00CF6655" w:rsidP="00403EB2">
      <w:pPr>
        <w:pStyle w:val="Titel4"/>
      </w:pPr>
      <w:bookmarkStart w:id="388" w:name="_Toc130260762"/>
      <w:bookmarkStart w:id="389" w:name="_Toc327388062"/>
      <w:r>
        <w:lastRenderedPageBreak/>
        <w:t>Gruppenphantasie und kolonialer Diskurs</w:t>
      </w:r>
      <w:bookmarkEnd w:id="388"/>
      <w:bookmarkEnd w:id="389"/>
      <w:r w:rsidR="00363C1C">
        <w:fldChar w:fldCharType="begin"/>
      </w:r>
      <w:r w:rsidR="00710612">
        <w:instrText xml:space="preserve"> XE "</w:instrText>
      </w:r>
      <w:r w:rsidR="00710612" w:rsidRPr="009E6126">
        <w:instrText>Diskurs</w:instrText>
      </w:r>
      <w:r w:rsidR="00710612">
        <w:instrText xml:space="preserve">" </w:instrText>
      </w:r>
      <w:r w:rsidR="00363C1C">
        <w:fldChar w:fldCharType="end"/>
      </w:r>
    </w:p>
    <w:p w:rsidR="00CF6655" w:rsidRDefault="00CF6655" w:rsidP="00403EB2">
      <w:pPr>
        <w:pStyle w:val="Text"/>
        <w:ind w:firstLine="0"/>
      </w:pPr>
      <w:r>
        <w:t>Wichtig ist jedoch, dass „Begehren“, wenn es im Bereich der postkolonialen Theorie auf Kolonialrelationen angewandt wird, immer in einem Doppelsinn zu verstehen ist, der unter Bezugnahme auf Freud</w:t>
      </w:r>
      <w:r w:rsidR="00363C1C">
        <w:fldChar w:fldCharType="begin"/>
      </w:r>
      <w:r w:rsidR="00EB05D6">
        <w:instrText xml:space="preserve"> XE "</w:instrText>
      </w:r>
      <w:r w:rsidR="00EB05D6" w:rsidRPr="00E84C7E">
        <w:instrText>Freud, Sigmund</w:instrText>
      </w:r>
      <w:r w:rsidR="00EB05D6">
        <w:instrText xml:space="preserve">" </w:instrText>
      </w:r>
      <w:r w:rsidR="00363C1C">
        <w:fldChar w:fldCharType="end"/>
      </w:r>
      <w:r>
        <w:t xml:space="preserve"> als zusammengehörend versta</w:t>
      </w:r>
      <w:r>
        <w:t>n</w:t>
      </w:r>
      <w:r>
        <w:t>den wird. Neben dem direkten physischen Verlangen ist es das Gefühl des Ma</w:t>
      </w:r>
      <w:r>
        <w:t>n</w:t>
      </w:r>
      <w:r>
        <w:t>gels, das sich an bestimmte Objekte in der Welt heften muss, um eine psychische Leerstelle auszufüllen und der Person die Selbstdefinition zu ermöglichen. Dafür kommen Objekte ebenso in Frage wie Sexualpartner, wodurch die Verbindung von kapitalistischer Konzeptualisierung und sexueller Ausbeutung augenfällig wird; es wird einerseits erklärlich, dass Frauen im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xml:space="preserve"> tatsächlich als ‚Sexualobjekte‘ behandelt werden, andererseits, dass gerade im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 wo der Export des Kapitalismus, natürlich in einer asymmetrisch zugunsten der Europäer gestalteten Form, zu den Hauptmotiven der ganzen Unternehmung gehörte –, eine solche Behandlung an der Tagesordnung war. Doch „Begehren“ ist in einem noch grundlegenderen Sinn relevant; es ist zugleich auch die Urs</w:t>
      </w:r>
      <w:r>
        <w:t>a</w:t>
      </w:r>
      <w:r>
        <w:t>che für die ‚Reiselust‘, die Europa in den vergangenen Jahrhunderten erfasste:</w:t>
      </w:r>
    </w:p>
    <w:p w:rsidR="00CF6655" w:rsidRDefault="00CF6655" w:rsidP="00CF6655">
      <w:pPr>
        <w:pStyle w:val="Zitat"/>
        <w:rPr>
          <w:lang w:val="en-GB"/>
        </w:rPr>
      </w:pPr>
      <w:r>
        <w:rPr>
          <w:lang w:val="en-GB"/>
        </w:rPr>
        <w:t>In the first place, Freudian theory turns out to be particularly helpful in unde</w:t>
      </w:r>
      <w:r>
        <w:rPr>
          <w:lang w:val="en-GB"/>
        </w:rPr>
        <w:t>r</w:t>
      </w:r>
      <w:r>
        <w:rPr>
          <w:lang w:val="en-GB"/>
        </w:rPr>
        <w:t>standing some of the motivations for travel and the characteristic ambivalence voiced by many of the travelers […]. Thus, “desire” […] is used both in its commonly accepted and in its specifically psychoanalytic sense. That is, it r</w:t>
      </w:r>
      <w:r>
        <w:rPr>
          <w:lang w:val="en-GB"/>
        </w:rPr>
        <w:t>e</w:t>
      </w:r>
      <w:r>
        <w:rPr>
          <w:lang w:val="en-GB"/>
        </w:rPr>
        <w:t>fers to conscious as well as unconscious desire. With reference to the latter it derives from Freud</w:t>
      </w:r>
      <w:r w:rsidR="00363C1C">
        <w:rPr>
          <w:lang w:val="en-GB"/>
        </w:rPr>
        <w:fldChar w:fldCharType="begin"/>
      </w:r>
      <w:r w:rsidR="00EB05D6" w:rsidRPr="00EB05D6">
        <w:rPr>
          <w:lang w:val="en-US"/>
        </w:rPr>
        <w:instrText xml:space="preserve"> XE "Freud, Sigmund" </w:instrText>
      </w:r>
      <w:r w:rsidR="00363C1C">
        <w:rPr>
          <w:lang w:val="en-GB"/>
        </w:rPr>
        <w:fldChar w:fldCharType="end"/>
      </w:r>
      <w:r>
        <w:rPr>
          <w:lang w:val="en-GB"/>
        </w:rPr>
        <w:t>’s notion of the libido as updated by Lacan</w:t>
      </w:r>
      <w:r w:rsidR="00363C1C">
        <w:rPr>
          <w:lang w:val="en-GB"/>
        </w:rPr>
        <w:fldChar w:fldCharType="begin"/>
      </w:r>
      <w:r w:rsidR="00AA2655" w:rsidRPr="00AA2655">
        <w:rPr>
          <w:lang w:val="en-US"/>
        </w:rPr>
        <w:instrText xml:space="preserve"> XE "Lacan, Jacques" </w:instrText>
      </w:r>
      <w:r w:rsidR="00363C1C">
        <w:rPr>
          <w:lang w:val="en-GB"/>
        </w:rPr>
        <w:fldChar w:fldCharType="end"/>
      </w:r>
      <w:r>
        <w:rPr>
          <w:lang w:val="en-GB"/>
        </w:rPr>
        <w:t>; it embodies the notion of a dynamic but obscure energy within a human subject that insists on satisfactions of a kind the world of objects cannot supply. It is that which we as speaking animals are structurally obliged both to repress and express obliquely through our insertion into language.</w:t>
      </w:r>
      <w:r>
        <w:rPr>
          <w:rStyle w:val="Funotenzeichen"/>
          <w:lang w:val="en-GB"/>
        </w:rPr>
        <w:footnoteReference w:id="255"/>
      </w:r>
    </w:p>
    <w:p w:rsidR="00CF6655" w:rsidRDefault="00CF6655" w:rsidP="00403EB2">
      <w:pPr>
        <w:pStyle w:val="Text"/>
        <w:ind w:firstLine="0"/>
      </w:pPr>
      <w:r>
        <w:t>Und damit wären wir wieder bei der Reiseliteratur</w:t>
      </w:r>
      <w:r w:rsidR="00363C1C">
        <w:fldChar w:fldCharType="begin"/>
      </w:r>
      <w:r w:rsidR="003264BA">
        <w:instrText xml:space="preserve"> XE "</w:instrText>
      </w:r>
      <w:r w:rsidR="003264BA" w:rsidRPr="000D076F">
        <w:instrText>Reiseliteratur</w:instrText>
      </w:r>
      <w:r w:rsidR="003264BA">
        <w:instrText xml:space="preserve">" </w:instrText>
      </w:r>
      <w:r w:rsidR="00363C1C">
        <w:fldChar w:fldCharType="end"/>
      </w:r>
      <w:r>
        <w:t xml:space="preserve"> angekommen, der Faszination des Reisens als Grenzüberschreitung – und der damit zusammenhängenden Fr</w:t>
      </w:r>
      <w:r>
        <w:t>a</w:t>
      </w:r>
      <w:r>
        <w:t>ge, warum von den Kolonisierenden bis zu den Kolonisierten, von den Rasse</w:t>
      </w:r>
      <w:r>
        <w:t>n</w:t>
      </w:r>
      <w:r>
        <w:t>theoretikern über die Literatur der Zeit</w:t>
      </w:r>
      <w:r>
        <w:rPr>
          <w:rStyle w:val="Funotenzeichen"/>
        </w:rPr>
        <w:footnoteReference w:id="256"/>
      </w:r>
      <w:r>
        <w:t xml:space="preserve"> bis zu den Missionaren die Vorstellung der inter-rassischen Sexualität zum Dauerthema wurde:</w:t>
      </w:r>
    </w:p>
    <w:p w:rsidR="00CF6655" w:rsidRDefault="00CF6655" w:rsidP="00CF6655">
      <w:pPr>
        <w:pStyle w:val="Zitat"/>
        <w:rPr>
          <w:lang w:val="en-GB"/>
        </w:rPr>
      </w:pPr>
      <w:r>
        <w:rPr>
          <w:lang w:val="en-GB"/>
        </w:rPr>
        <w:t>[M]ost forms of travel at least cater to desire: they seem to promise or allow us to fantasize the satisfaction of drives that for one reason or another is denied us at home. As a result, not only is travel typically fueled by desire, it also e</w:t>
      </w:r>
      <w:r>
        <w:rPr>
          <w:lang w:val="en-GB"/>
        </w:rPr>
        <w:t>m</w:t>
      </w:r>
      <w:r>
        <w:rPr>
          <w:lang w:val="en-GB"/>
        </w:rPr>
        <w:t xml:space="preserve">bodies powerful transgressive impulses. If, as anthropologists have long since taught us, borders of all kinds are perceived as dangerous as well as exciting </w:t>
      </w:r>
      <w:r>
        <w:rPr>
          <w:lang w:val="en-GB"/>
        </w:rPr>
        <w:lastRenderedPageBreak/>
        <w:t>places, and are associated with taboos, this is no less true of territorial frontiers […].</w:t>
      </w:r>
      <w:r>
        <w:rPr>
          <w:rStyle w:val="Funotenzeichen"/>
          <w:lang w:val="en-GB"/>
        </w:rPr>
        <w:footnoteReference w:id="257"/>
      </w:r>
    </w:p>
    <w:p w:rsidR="00CF6655" w:rsidRDefault="00CF6655" w:rsidP="00403EB2">
      <w:pPr>
        <w:pStyle w:val="Text"/>
        <w:ind w:firstLine="0"/>
      </w:pPr>
      <w:r>
        <w:t>Doch warum ist gerade in Europa der Reiseinstinkt zugleich mit dem kolonialen Drang, der sich als besitzorientierte Form derselben ‚Lust auf das andere‘ ko</w:t>
      </w:r>
      <w:r>
        <w:t>n</w:t>
      </w:r>
      <w:r>
        <w:t>zeptualisieren lässt, so stark geworden? Deleuze</w:t>
      </w:r>
      <w:r w:rsidR="00363C1C">
        <w:fldChar w:fldCharType="begin"/>
      </w:r>
      <w:r w:rsidR="0005000E">
        <w:instrText xml:space="preserve"> XE "</w:instrText>
      </w:r>
      <w:r w:rsidR="0005000E" w:rsidRPr="006753E8">
        <w:instrText>Deleuze, Gilles</w:instrText>
      </w:r>
      <w:r w:rsidR="0005000E">
        <w:instrText xml:space="preserve">" </w:instrText>
      </w:r>
      <w:r w:rsidR="00363C1C">
        <w:fldChar w:fldCharType="end"/>
      </w:r>
      <w:r>
        <w:t xml:space="preserve"> und Guattaris</w:t>
      </w:r>
      <w:r w:rsidR="00363C1C">
        <w:fldChar w:fldCharType="begin"/>
      </w:r>
      <w:r w:rsidR="0005000E">
        <w:instrText xml:space="preserve"> XE "</w:instrText>
      </w:r>
      <w:r w:rsidR="0005000E" w:rsidRPr="00CA5FEA">
        <w:instrText>Guattari, Félix</w:instrText>
      </w:r>
      <w:r w:rsidR="0005000E">
        <w:instrText xml:space="preserve">" </w:instrText>
      </w:r>
      <w:r w:rsidR="00363C1C">
        <w:fldChar w:fldCharType="end"/>
      </w:r>
      <w:r>
        <w:t xml:space="preserve"> „Anti-Ödipus“</w:t>
      </w:r>
      <w:r>
        <w:rPr>
          <w:rStyle w:val="Funotenzeichen"/>
        </w:rPr>
        <w:footnoteReference w:id="258"/>
      </w:r>
      <w:r>
        <w:t xml:space="preserve"> kommt hier ins Spiel. Young fasst den Grundgedanken dieses komplizierten Werks elegant zusammen:</w:t>
      </w:r>
    </w:p>
    <w:p w:rsidR="00CF6655" w:rsidRDefault="00CF6655" w:rsidP="00CF6655">
      <w:pPr>
        <w:pStyle w:val="Zitat"/>
        <w:rPr>
          <w:lang w:val="en-GB"/>
        </w:rPr>
      </w:pPr>
      <w:r>
        <w:rPr>
          <w:lang w:val="en-GB"/>
        </w:rPr>
        <w:t>[I]ts basic paradigm is relatively simple and is derived from Reich</w:t>
      </w:r>
      <w:r w:rsidR="00363C1C">
        <w:rPr>
          <w:lang w:val="en-GB"/>
        </w:rPr>
        <w:fldChar w:fldCharType="begin"/>
      </w:r>
      <w:r w:rsidR="0068056E" w:rsidRPr="0068056E">
        <w:rPr>
          <w:lang w:val="en-US"/>
        </w:rPr>
        <w:instrText xml:space="preserve"> XE "</w:instrText>
      </w:r>
      <w:r w:rsidR="0068056E" w:rsidRPr="00D43EB3">
        <w:rPr>
          <w:lang w:val="en-GB"/>
        </w:rPr>
        <w:instrText>Reich, Wilhelm</w:instrText>
      </w:r>
      <w:r w:rsidR="0068056E" w:rsidRPr="0068056E">
        <w:rPr>
          <w:lang w:val="en-US"/>
        </w:rPr>
        <w:instrText xml:space="preserve">" </w:instrText>
      </w:r>
      <w:r w:rsidR="00363C1C">
        <w:rPr>
          <w:lang w:val="en-GB"/>
        </w:rPr>
        <w:fldChar w:fldCharType="end"/>
      </w:r>
      <w:r>
        <w:rPr>
          <w:lang w:val="en-GB"/>
        </w:rPr>
        <w:t xml:space="preserve">. The </w:t>
      </w:r>
      <w:proofErr w:type="gramStart"/>
      <w:r>
        <w:rPr>
          <w:lang w:val="en-GB"/>
        </w:rPr>
        <w:t>arg</w:t>
      </w:r>
      <w:r>
        <w:rPr>
          <w:lang w:val="en-GB"/>
        </w:rPr>
        <w:t>u</w:t>
      </w:r>
      <w:r>
        <w:rPr>
          <w:lang w:val="en-GB"/>
        </w:rPr>
        <w:t>ment is that the flow of desire, or as Deleuze</w:t>
      </w:r>
      <w:r w:rsidR="00363C1C">
        <w:rPr>
          <w:lang w:val="en-GB"/>
        </w:rPr>
        <w:fldChar w:fldCharType="begin"/>
      </w:r>
      <w:r w:rsidR="0005000E" w:rsidRPr="0005000E">
        <w:rPr>
          <w:lang w:val="en-US"/>
        </w:rPr>
        <w:instrText xml:space="preserve"> XE "Deleuze, Gilles" </w:instrText>
      </w:r>
      <w:r w:rsidR="00363C1C">
        <w:rPr>
          <w:lang w:val="en-GB"/>
        </w:rPr>
        <w:fldChar w:fldCharType="end"/>
      </w:r>
      <w:r>
        <w:rPr>
          <w:lang w:val="en-GB"/>
        </w:rPr>
        <w:t xml:space="preserve"> and Guattari</w:t>
      </w:r>
      <w:r w:rsidR="00363C1C">
        <w:rPr>
          <w:lang w:val="en-GB"/>
        </w:rPr>
        <w:fldChar w:fldCharType="begin"/>
      </w:r>
      <w:r w:rsidR="0005000E" w:rsidRPr="0005000E">
        <w:rPr>
          <w:lang w:val="en-US"/>
        </w:rPr>
        <w:instrText xml:space="preserve"> XE "Guattari, Félix" </w:instrText>
      </w:r>
      <w:r w:rsidR="00363C1C">
        <w:rPr>
          <w:lang w:val="en-GB"/>
        </w:rPr>
        <w:fldChar w:fldCharType="end"/>
      </w:r>
      <w:r>
        <w:rPr>
          <w:lang w:val="en-GB"/>
        </w:rPr>
        <w:t xml:space="preserve"> call</w:t>
      </w:r>
      <w:proofErr w:type="gramEnd"/>
      <w:r>
        <w:rPr>
          <w:lang w:val="en-GB"/>
        </w:rPr>
        <w:t xml:space="preserve"> it in their desu</w:t>
      </w:r>
      <w:r>
        <w:rPr>
          <w:lang w:val="en-GB"/>
        </w:rPr>
        <w:t>b</w:t>
      </w:r>
      <w:r>
        <w:rPr>
          <w:lang w:val="en-GB"/>
        </w:rPr>
        <w:t>jectified version, the desiring machine, has been repressed in our society through the mechanism of the Oedipus complex. The Oedipal triad institutes a structure of authority and blockage that operates not only in the family, but through the family at the level of society in general. [… It is] the primary means of ideological repression in capitalist society.</w:t>
      </w:r>
      <w:r>
        <w:rPr>
          <w:rStyle w:val="Funotenzeichen"/>
          <w:lang w:val="en-GB"/>
        </w:rPr>
        <w:footnoteReference w:id="259"/>
      </w:r>
    </w:p>
    <w:p w:rsidR="00CF6655" w:rsidRDefault="00CF6655" w:rsidP="00403EB2">
      <w:pPr>
        <w:pStyle w:val="Text"/>
        <w:ind w:firstLine="0"/>
      </w:pPr>
      <w:r>
        <w:t>Young weist darauf hin, dass Deleuze</w:t>
      </w:r>
      <w:r w:rsidR="00363C1C">
        <w:fldChar w:fldCharType="begin"/>
      </w:r>
      <w:r w:rsidR="0005000E">
        <w:instrText xml:space="preserve"> XE "</w:instrText>
      </w:r>
      <w:r w:rsidR="0005000E" w:rsidRPr="006753E8">
        <w:instrText>Deleuze, Gilles</w:instrText>
      </w:r>
      <w:r w:rsidR="0005000E">
        <w:instrText xml:space="preserve">" </w:instrText>
      </w:r>
      <w:r w:rsidR="00363C1C">
        <w:fldChar w:fldCharType="end"/>
      </w:r>
      <w:r>
        <w:t xml:space="preserve"> und Guattari</w:t>
      </w:r>
      <w:r w:rsidR="00363C1C">
        <w:fldChar w:fldCharType="begin"/>
      </w:r>
      <w:r w:rsidR="0005000E">
        <w:instrText xml:space="preserve"> XE "</w:instrText>
      </w:r>
      <w:r w:rsidR="0005000E" w:rsidRPr="00C65888">
        <w:instrText>Guattari, Félix</w:instrText>
      </w:r>
      <w:r w:rsidR="0005000E">
        <w:instrText xml:space="preserve">" </w:instrText>
      </w:r>
      <w:r w:rsidR="00363C1C">
        <w:fldChar w:fldCharType="end"/>
      </w:r>
      <w:r>
        <w:t xml:space="preserve"> damit zum ersten Mal eine Theorie des Begehrens aufstellten, die die Opposition zwischen der individuellen Psyche und der Gesellschaft überwand. Sie verbindet dabei das körperliche B</w:t>
      </w:r>
      <w:r>
        <w:t>e</w:t>
      </w:r>
      <w:r>
        <w:t>gehren mit der Logik des Geldes, die eine Logik der beständigen und um jeden Preis erforderlichen Selbstreproduktion ist. Damit gelingt es ihnen, die zwei scheinbar disparaten Hauptphänomene des kolonialen Begehrens in einen log</w:t>
      </w:r>
      <w:r>
        <w:t>i</w:t>
      </w:r>
      <w:r>
        <w:t>schen Zusammenhang zu setzen.</w:t>
      </w:r>
    </w:p>
    <w:p w:rsidR="00CF6655" w:rsidRDefault="00CF6655" w:rsidP="00CF6655">
      <w:pPr>
        <w:pStyle w:val="Text"/>
      </w:pPr>
      <w:r>
        <w:t>Die Begierde nach dem fremden Land, die von Anfang an auch eine monet</w:t>
      </w:r>
      <w:r>
        <w:t>ä</w:t>
      </w:r>
      <w:r>
        <w:t>re Begierde war und durch ihre enge Verbindung mit dem sich entwickelnden Kapitalismus</w:t>
      </w:r>
      <w:r w:rsidR="00363C1C">
        <w:fldChar w:fldCharType="begin"/>
      </w:r>
      <w:r w:rsidR="00211EDA">
        <w:instrText xml:space="preserve"> XE "</w:instrText>
      </w:r>
      <w:r w:rsidR="00211EDA" w:rsidRPr="00A369DF">
        <w:instrText>Kapitalismus</w:instrText>
      </w:r>
      <w:r w:rsidR="00211EDA">
        <w:instrText xml:space="preserve">" </w:instrText>
      </w:r>
      <w:r w:rsidR="00363C1C">
        <w:fldChar w:fldCharType="end"/>
      </w:r>
      <w:r>
        <w:t xml:space="preserve"> erst die spezifische Form der kombinierten Entdeckungs-, Erob</w:t>
      </w:r>
      <w:r>
        <w:t>e</w:t>
      </w:r>
      <w:r>
        <w:t>rungs- und Ausbeutungsfeldzüge hervorbrachte,</w:t>
      </w:r>
      <w:r>
        <w:rPr>
          <w:rStyle w:val="Funotenzeichen"/>
        </w:rPr>
        <w:footnoteReference w:id="260"/>
      </w:r>
      <w:r>
        <w:t xml:space="preserve"> lässt sich nun in Verbindung setzen zu den verschiedenen Formen der sexuellen Begierde, die sich im „</w:t>
      </w:r>
      <w:r w:rsidR="005A6F7F">
        <w:t>Othering</w:t>
      </w:r>
      <w:r w:rsidR="00363C1C">
        <w:fldChar w:fldCharType="begin"/>
      </w:r>
      <w:r w:rsidR="00AA2655">
        <w:instrText xml:space="preserve"> XE "</w:instrText>
      </w:r>
      <w:r w:rsidR="005A6F7F">
        <w:instrText>Othering</w:instrText>
      </w:r>
      <w:r w:rsidR="00AA2655">
        <w:instrText xml:space="preserve">" </w:instrText>
      </w:r>
      <w:r w:rsidR="00363C1C">
        <w:fldChar w:fldCharType="end"/>
      </w:r>
      <w:r>
        <w:t>“ der Fremde (der Prägung zum „Anderen“ und ergänzenden Gege</w:t>
      </w:r>
      <w:r>
        <w:t>n</w:t>
      </w:r>
      <w:r>
        <w:t xml:space="preserve">stück Europas), in den verschiedenen Formen der Sehnsucht und Idealisierung (Rousseau), später in den konkreten Kontakten (s. Abschnitt </w:t>
      </w:r>
      <w:r w:rsidR="00363C1C">
        <w:fldChar w:fldCharType="begin"/>
      </w:r>
      <w:r w:rsidR="00AC5289">
        <w:instrText xml:space="preserve"> REF _Ref325356009 \r \h </w:instrText>
      </w:r>
      <w:r w:rsidR="00363C1C">
        <w:fldChar w:fldCharType="separate"/>
      </w:r>
      <w:r w:rsidR="00216538">
        <w:t>3.2.3</w:t>
      </w:r>
      <w:r w:rsidR="00363C1C">
        <w:fldChar w:fldCharType="end"/>
      </w:r>
      <w:r>
        <w:t>) und schlie</w:t>
      </w:r>
      <w:r>
        <w:t>ß</w:t>
      </w:r>
      <w:r>
        <w:lastRenderedPageBreak/>
        <w:t xml:space="preserve">lich in den von Anfang an mit sexuellen Phantasien durchsetzten Rassentheorien ausdrückte, die tatsächlich im Kern zumeist Theorien inter-rassischer Sexualität waren (s. Abschnitt </w:t>
      </w:r>
      <w:r w:rsidR="00363C1C">
        <w:fldChar w:fldCharType="begin"/>
      </w:r>
      <w:r w:rsidR="00AC5289">
        <w:instrText xml:space="preserve"> REF _Ref325356034 \r \h </w:instrText>
      </w:r>
      <w:r w:rsidR="00363C1C">
        <w:fldChar w:fldCharType="separate"/>
      </w:r>
      <w:r w:rsidR="00216538">
        <w:t>3.2.1.1</w:t>
      </w:r>
      <w:r w:rsidR="00363C1C">
        <w:fldChar w:fldCharType="end"/>
      </w:r>
      <w:r>
        <w:t>).</w:t>
      </w:r>
    </w:p>
    <w:p w:rsidR="00CF6655" w:rsidRDefault="00CF6655" w:rsidP="00CF6655">
      <w:pPr>
        <w:pStyle w:val="Text"/>
      </w:pPr>
      <w:r>
        <w:t>Deleuze</w:t>
      </w:r>
      <w:r w:rsidR="00363C1C">
        <w:fldChar w:fldCharType="begin"/>
      </w:r>
      <w:r w:rsidR="0005000E">
        <w:instrText xml:space="preserve"> XE "</w:instrText>
      </w:r>
      <w:r w:rsidR="0005000E" w:rsidRPr="006753E8">
        <w:instrText>Deleuze, Gilles</w:instrText>
      </w:r>
      <w:r w:rsidR="0005000E">
        <w:instrText xml:space="preserve">" </w:instrText>
      </w:r>
      <w:r w:rsidR="00363C1C">
        <w:fldChar w:fldCharType="end"/>
      </w:r>
      <w:r>
        <w:t xml:space="preserve"> und Guattari</w:t>
      </w:r>
      <w:r w:rsidR="00363C1C">
        <w:fldChar w:fldCharType="begin"/>
      </w:r>
      <w:r w:rsidR="0005000E">
        <w:instrText xml:space="preserve"> XE "</w:instrText>
      </w:r>
      <w:r w:rsidR="0005000E" w:rsidRPr="00C65888">
        <w:instrText>Guattari, Félix</w:instrText>
      </w:r>
      <w:r w:rsidR="0005000E">
        <w:instrText xml:space="preserve">" </w:instrText>
      </w:r>
      <w:r w:rsidR="00363C1C">
        <w:fldChar w:fldCharType="end"/>
      </w:r>
      <w:r>
        <w:t xml:space="preserve"> lassen die in der westlichen Philosophie tief veranke</w:t>
      </w:r>
      <w:r>
        <w:t>r</w:t>
      </w:r>
      <w:r>
        <w:t>te epistemologische Unterscheidung zwischen materieller Welt und individue</w:t>
      </w:r>
      <w:r>
        <w:t>l</w:t>
      </w:r>
      <w:r>
        <w:t>lem Bewusstsein nicht gelten:</w:t>
      </w:r>
    </w:p>
    <w:p w:rsidR="00CF6655" w:rsidRDefault="00CF6655" w:rsidP="00CF6655">
      <w:pPr>
        <w:pStyle w:val="Zitat"/>
        <w:rPr>
          <w:lang w:val="en-GB"/>
        </w:rPr>
      </w:pPr>
      <w:r>
        <w:rPr>
          <w:lang w:val="en-GB"/>
        </w:rPr>
        <w:t>The general thrust of their work is to deny any differentiation between ‘the s</w:t>
      </w:r>
      <w:r>
        <w:rPr>
          <w:lang w:val="en-GB"/>
        </w:rPr>
        <w:t>o</w:t>
      </w:r>
      <w:r>
        <w:rPr>
          <w:lang w:val="en-GB"/>
        </w:rPr>
        <w:t xml:space="preserve">cial production of reality on the one hand, and a desiring production that is mere fantasy on the other’ […]. Desire is a social rather than an individual product; it permeates the infrastructure of society […]. Racism is perhaps the best example through which we can immediately grasp the form of desire, and its antithesis, repulsion, as a social production: ‘thus fantasy is never individual: it is </w:t>
      </w:r>
      <w:r>
        <w:rPr>
          <w:i/>
          <w:iCs/>
          <w:lang w:val="en-GB"/>
        </w:rPr>
        <w:t>group fantasy</w:t>
      </w:r>
      <w:r>
        <w:rPr>
          <w:lang w:val="en-GB"/>
        </w:rPr>
        <w:t>’.</w:t>
      </w:r>
      <w:r>
        <w:rPr>
          <w:rStyle w:val="Funotenzeichen"/>
          <w:lang w:val="en-GB"/>
        </w:rPr>
        <w:footnoteReference w:id="261"/>
      </w:r>
      <w:r>
        <w:rPr>
          <w:lang w:val="en-GB"/>
        </w:rPr>
        <w:t xml:space="preserve"> </w:t>
      </w:r>
    </w:p>
    <w:p w:rsidR="00CF6655" w:rsidRDefault="00CF6655" w:rsidP="00403EB2">
      <w:pPr>
        <w:pStyle w:val="Text"/>
        <w:ind w:firstLine="0"/>
      </w:pPr>
      <w:r>
        <w:t>Die Beschreibung als Gruppenphantasie erklärt gewisse Eigenschaften des kol</w:t>
      </w:r>
      <w:r>
        <w:t>o</w:t>
      </w:r>
      <w:r>
        <w:t>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wie seine verblüffend repetitive Natur, die einen überindiv</w:t>
      </w:r>
      <w:r>
        <w:t>i</w:t>
      </w:r>
      <w:r>
        <w:t>duellen Ursprung nahe legt, wie auch sein Auftauchen (mit Variationen) bei so gut wie jedem, der sich, aus Europa kommend, damals mit den Kolonien b</w:t>
      </w:r>
      <w:r>
        <w:t>e</w:t>
      </w:r>
      <w:r>
        <w:t>schäftigte. Sie macht es möglich, die von der Einzelperson scheinbar ganz una</w:t>
      </w:r>
      <w:r>
        <w:t>b</w:t>
      </w:r>
      <w:r>
        <w:t>hängigen Wertungen, Vorstellungen usw. als kollektiven Ursprungs anzusehen, während das Individuum tatsächlich nur die Möglichkeit hatte, sich gegen die Einbeziehung in die Phantasie zu wehren. Dafür musste jedoch ein erhebliches kritisches Potential vorhanden sein; wir werden sehen, dass dieses bei Spiecker – trotz seiner Menschlichkeit, wenn es um die Behandlung der Eingeborenen geht, und gewisser liberaler Ansätze bei der Interpretation der vorgefundenen Situat</w:t>
      </w:r>
      <w:r>
        <w:t>i</w:t>
      </w:r>
      <w:r>
        <w:t>on – vermutlich aufgrund seiner konservativ-religiösen Prägung nicht stark g</w:t>
      </w:r>
      <w:r>
        <w:t>e</w:t>
      </w:r>
      <w:r>
        <w:t>nug ausgeprägt ist, um sich der Wirkung des kolonialen Diskurses</w:t>
      </w:r>
      <w:r w:rsidR="00363C1C">
        <w:fldChar w:fldCharType="begin"/>
      </w:r>
      <w:r w:rsidR="00710612">
        <w:instrText xml:space="preserve"> XE "</w:instrText>
      </w:r>
      <w:r w:rsidR="00710612" w:rsidRPr="009311CC">
        <w:instrText>Diskurs</w:instrText>
      </w:r>
      <w:r w:rsidR="00710612">
        <w:instrText xml:space="preserve">" </w:instrText>
      </w:r>
      <w:r w:rsidR="00363C1C">
        <w:fldChar w:fldCharType="end"/>
      </w:r>
      <w:r>
        <w:t xml:space="preserve"> gänzlich zu entziehen.</w:t>
      </w:r>
    </w:p>
    <w:p w:rsidR="00CF6655" w:rsidRDefault="00CF6655" w:rsidP="00403EB2">
      <w:pPr>
        <w:pStyle w:val="Titel3"/>
      </w:pPr>
      <w:bookmarkStart w:id="390" w:name="_Toc122313679"/>
      <w:bookmarkStart w:id="391" w:name="_Toc122313767"/>
      <w:bookmarkStart w:id="392" w:name="_Toc130260763"/>
      <w:bookmarkStart w:id="393" w:name="_Toc327388063"/>
      <w:r>
        <w:t>Zwischen Angst und Anziehung: Kontakte zwischen schwarz und weiß</w:t>
      </w:r>
      <w:bookmarkEnd w:id="390"/>
      <w:bookmarkEnd w:id="391"/>
      <w:bookmarkEnd w:id="392"/>
      <w:bookmarkEnd w:id="393"/>
    </w:p>
    <w:p w:rsidR="00CF6655" w:rsidRDefault="00CF6655" w:rsidP="00403EB2">
      <w:pPr>
        <w:pStyle w:val="Titel4"/>
      </w:pPr>
      <w:bookmarkStart w:id="394" w:name="_Toc122313680"/>
      <w:bookmarkStart w:id="395" w:name="_Toc122313768"/>
      <w:bookmarkStart w:id="396" w:name="_Toc130260764"/>
      <w:bookmarkStart w:id="397" w:name="_Toc327388064"/>
      <w:r>
        <w:t>Der gemeinsame Alltag</w:t>
      </w:r>
      <w:bookmarkEnd w:id="394"/>
      <w:bookmarkEnd w:id="395"/>
      <w:bookmarkEnd w:id="396"/>
      <w:bookmarkEnd w:id="397"/>
    </w:p>
    <w:p w:rsidR="00CF6655" w:rsidRDefault="00CF6655" w:rsidP="00403EB2">
      <w:pPr>
        <w:pStyle w:val="Text"/>
        <w:ind w:firstLine="0"/>
      </w:pPr>
      <w:r>
        <w:t>Auch für Spiecker sind die Eingeborenen nicht zu durchschauen, was auch daran liegen könnte, dass er genau wie die meisten weißen Einwanderer ihre Perspekt</w:t>
      </w:r>
      <w:r>
        <w:t>i</w:t>
      </w:r>
      <w:r>
        <w:t>ve der Ereignisse, die ihr Land erschüttern und ihre Lebensweise in Frage stellen, nicht teilen kann:</w:t>
      </w:r>
    </w:p>
    <w:p w:rsidR="00CF6655" w:rsidRDefault="00CF6655" w:rsidP="00CF6655">
      <w:pPr>
        <w:pStyle w:val="Zitat"/>
      </w:pPr>
      <w:r>
        <w:t>Dorthin [zum Bahnhof in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kam Hans Hendrik</w:t>
      </w:r>
      <w:r w:rsidR="00363C1C">
        <w:fldChar w:fldCharType="begin"/>
      </w:r>
      <w:r w:rsidR="00232E82">
        <w:instrText xml:space="preserve"> XE "</w:instrText>
      </w:r>
      <w:r w:rsidR="00232E82" w:rsidRPr="00C039B7">
        <w:instrText>Hendrik, Hans</w:instrText>
      </w:r>
      <w:r w:rsidR="00232E82">
        <w:instrText xml:space="preserve">" </w:instrText>
      </w:r>
      <w:r w:rsidR="00363C1C">
        <w:fldChar w:fldCharType="end"/>
      </w:r>
      <w:r>
        <w:t xml:space="preserve">, der Kapitain der Veldshoendragers mit einem Großmann von Khoes und begrüßte mich. Ich </w:t>
      </w:r>
      <w:r>
        <w:lastRenderedPageBreak/>
        <w:t xml:space="preserve">konnte noch eingehend mit ihm sprechen und sagte ihm vor allem, daß er nun zwar sein irdisches Land und Reich verloren habe, </w:t>
      </w:r>
      <w:proofErr w:type="gramStart"/>
      <w:r>
        <w:t>um so</w:t>
      </w:r>
      <w:proofErr w:type="gramEnd"/>
      <w:r>
        <w:t xml:space="preserve"> mehr solle er nun nach dem Himmelreich trachten, damit er nicht auch dieses verliere. Die Ei</w:t>
      </w:r>
      <w:r>
        <w:t>n</w:t>
      </w:r>
      <w:r>
        <w:t>geborenen stimmen in der Regel zu, ja bedanken sich sogar für ernste Mahnu</w:t>
      </w:r>
      <w:r>
        <w:t>n</w:t>
      </w:r>
      <w:r>
        <w:t>gen und Warnungen, aber man kommt nie dahinter, welche Stellung sie eigen</w:t>
      </w:r>
      <w:r>
        <w:t>t</w:t>
      </w:r>
      <w:r>
        <w:t>lich zu dem Gesagten einnehmen. (935f)</w:t>
      </w:r>
    </w:p>
    <w:p w:rsidR="00CF6655" w:rsidRDefault="00CF6655" w:rsidP="000E04D1">
      <w:pPr>
        <w:pStyle w:val="Text"/>
        <w:ind w:firstLine="0"/>
      </w:pPr>
      <w:r>
        <w:t>Ein bisschen Phantasie hätte in diesem Falle wohl ausgereicht, um zu verstehen, dass dem offensichtlich gläubigen Stammeshäuptling mit diesem geistlichen Rat wenig geholfen ist. Schließlich muss er für sich und sein Volk eine Lösung zw</w:t>
      </w:r>
      <w:r>
        <w:t>i</w:t>
      </w:r>
      <w:r>
        <w:t>schen kultureller Selbstaufgabe und einem gewaltsamen Widerstand finden, der vermutlich die Vernichtung des Stammes zur Folge hätte.</w:t>
      </w:r>
    </w:p>
    <w:p w:rsidR="00CF6655" w:rsidRDefault="00CF6655" w:rsidP="00CF6655">
      <w:pPr>
        <w:pStyle w:val="Text"/>
      </w:pPr>
      <w:r>
        <w:t>Manchmal sind es die kleinen Dinge, die es schwierig machen, sich näher zu kommen:</w:t>
      </w:r>
    </w:p>
    <w:p w:rsidR="00CF6655" w:rsidRDefault="00CF6655" w:rsidP="00CF6655">
      <w:pPr>
        <w:pStyle w:val="Zitat"/>
      </w:pPr>
      <w:r>
        <w:t>Der Älteste Amon [von Okombahe</w:t>
      </w:r>
      <w:r w:rsidR="00363C1C">
        <w:fldChar w:fldCharType="begin"/>
      </w:r>
      <w:r w:rsidR="00FD439D">
        <w:instrText xml:space="preserve"> XE "</w:instrText>
      </w:r>
      <w:r w:rsidR="00FD439D" w:rsidRPr="00042AC3">
        <w:instrText>Okombahe</w:instrText>
      </w:r>
      <w:r w:rsidR="00FD439D">
        <w:instrText xml:space="preserve">" </w:instrText>
      </w:r>
      <w:r w:rsidR="00363C1C">
        <w:fldChar w:fldCharType="end"/>
      </w:r>
      <w:r>
        <w:t>] kam und teilte mit, er gedenke mit nach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zu reisen. Das ist für mich keine gute Botschaft, da das Mitreisen der Eingeborenen, vor allem ihres Geruches wegen, für mich sehr lästig ist, zumal meine Gesundheit doch noch eine gewisse Rücksicht erfordert. Br. Baumann</w:t>
      </w:r>
      <w:r w:rsidR="00363C1C">
        <w:fldChar w:fldCharType="begin"/>
      </w:r>
      <w:r w:rsidR="00FD439D">
        <w:instrText xml:space="preserve"> XE "</w:instrText>
      </w:r>
      <w:r w:rsidR="00FD439D" w:rsidRPr="004572FE">
        <w:instrText>Baumann, Br.</w:instrText>
      </w:r>
      <w:r w:rsidR="00FD439D">
        <w:instrText xml:space="preserve">" </w:instrText>
      </w:r>
      <w:r w:rsidR="00363C1C">
        <w:fldChar w:fldCharType="end"/>
      </w:r>
      <w:r>
        <w:t xml:space="preserve"> scheint mir in solchen Dingen seinen Gemeindegliedern gegenüber zu gutm</w:t>
      </w:r>
      <w:r>
        <w:t>ü</w:t>
      </w:r>
      <w:r>
        <w:t>tig und schwach zu sein. Das ist aber wohl besser, als wenn das Gegenteil der Fall wäre und er die Leute abstoßend behandelte. (672f)</w:t>
      </w:r>
    </w:p>
    <w:p w:rsidR="00CF6655" w:rsidRDefault="00CF6655" w:rsidP="000E04D1">
      <w:pPr>
        <w:pStyle w:val="Text"/>
        <w:ind w:firstLine="0"/>
        <w:rPr>
          <w:i/>
          <w:iCs/>
          <w:sz w:val="26"/>
          <w:szCs w:val="26"/>
        </w:rPr>
      </w:pPr>
      <w:r>
        <w:t>Wenn die Nase protestiert, ist Toleranz sogar für Spiecker nicht einfach. Er ringt sich aber, wie man sieht, doch noch dazu durch.</w:t>
      </w:r>
      <w:r>
        <w:rPr>
          <w:rStyle w:val="Funotenzeichen"/>
        </w:rPr>
        <w:footnoteReference w:id="262"/>
      </w:r>
    </w:p>
    <w:p w:rsidR="00CF6655" w:rsidRDefault="00CF6655" w:rsidP="000E04D1">
      <w:pPr>
        <w:pStyle w:val="Titel4"/>
      </w:pPr>
      <w:bookmarkStart w:id="398" w:name="_Toc122313681"/>
      <w:bookmarkStart w:id="399" w:name="_Toc122313769"/>
      <w:bookmarkStart w:id="400" w:name="_Toc130260765"/>
      <w:bookmarkStart w:id="401" w:name="_Ref325357609"/>
      <w:bookmarkStart w:id="402" w:name="_Toc327388065"/>
      <w:r>
        <w:t>Asymmetrische Verhältnisse</w:t>
      </w:r>
      <w:bookmarkEnd w:id="398"/>
      <w:bookmarkEnd w:id="399"/>
      <w:bookmarkEnd w:id="400"/>
      <w:bookmarkEnd w:id="401"/>
      <w:bookmarkEnd w:id="402"/>
    </w:p>
    <w:p w:rsidR="00CF6655" w:rsidRDefault="00CF6655" w:rsidP="000E04D1">
      <w:pPr>
        <w:pStyle w:val="Text"/>
        <w:ind w:firstLine="0"/>
      </w:pPr>
      <w:r>
        <w:t>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schreibt Spiecker:</w:t>
      </w:r>
    </w:p>
    <w:p w:rsidR="00CF6655" w:rsidRDefault="00CF6655" w:rsidP="00CF6655">
      <w:pPr>
        <w:pStyle w:val="Zitat"/>
      </w:pPr>
      <w:r>
        <w:t>Leider ging aus den Mitteilungen [der Gemeindeältesten] hervor, daß der sittl</w:t>
      </w:r>
      <w:r>
        <w:t>i</w:t>
      </w:r>
      <w:r>
        <w:t>che Zustand der Gemeinde sehr traurig und niedrig ist. Die Eitelkeit der Fra</w:t>
      </w:r>
      <w:r>
        <w:t>u</w:t>
      </w:r>
      <w:r>
        <w:t>en und Mädchen, die mir sonst so sehr entgegentritt, wollten die Ältesten und Br.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r>
        <w:t xml:space="preserve"> weniger wahrgenommen haben, als die Schamlosigkeit vieler, die ganz oder teilweise unbekleidet einhergehen. Die Trunkenheit ist in der Gemeinde sehr verbreitet und viel Versuchung dazu hier am Platze. Die Ältesten wollten die Schuld immer auf die Weißen schieben, die Macht über sie hätten und die sie und ihre Frauen und Mädchen zur Sünde verführten. (756)</w:t>
      </w:r>
    </w:p>
    <w:p w:rsidR="00CF6655" w:rsidRDefault="00CF6655" w:rsidP="00504AE3">
      <w:pPr>
        <w:pStyle w:val="Text"/>
        <w:ind w:firstLine="0"/>
      </w:pPr>
      <w:r>
        <w:t xml:space="preserve">In dem Zitat sind die Grundprobleme (Spiecker nennt sie „Nationalfehler“; 916) der Gemeinden benannt, die immer wieder auftreten: Die Männer können dem </w:t>
      </w:r>
      <w:r>
        <w:lastRenderedPageBreak/>
        <w:t>Alkohol, die Frauen den (weißen) Männern nicht widerstehen.</w:t>
      </w:r>
      <w:r>
        <w:rPr>
          <w:rStyle w:val="Funotenzeichen"/>
        </w:rPr>
        <w:footnoteReference w:id="263"/>
      </w:r>
      <w:r>
        <w:t xml:space="preserve"> Letzteres Ph</w:t>
      </w:r>
      <w:r>
        <w:t>ä</w:t>
      </w:r>
      <w:r>
        <w:t>nomen dürfte durch materielle Gründe, nämlich den relativen Reichtum der Weißen, aber auch durch ihre Position als herrschende Klasse zu erklären sein. Neben der gewöhnlichen Faszination durch das Fremde dürfte sich in der immer wieder festgestellten Bereitwilligkeit der schwarzen Mädchen, sich von Weißen (ohne Heiratsverlangen oder vergleichbare Gegenleistungen) verführen zu la</w:t>
      </w:r>
      <w:r>
        <w:t>s</w:t>
      </w:r>
      <w:r>
        <w:t>sen, und der Stolz auf ihre Mischlingskinder (570) auch eine psychologische Entfremdung von der eigenen Kultur ausdrücken, die durch die Situation der ‚de facto‘-Besatzung und die Aufoktroyierung der fremden Religion und Kultur z</w:t>
      </w:r>
      <w:r>
        <w:t>u</w:t>
      </w:r>
      <w:r>
        <w:t>stande kam.</w:t>
      </w:r>
    </w:p>
    <w:p w:rsidR="00CF6655" w:rsidRDefault="00CF6655" w:rsidP="00CF6655">
      <w:pPr>
        <w:pStyle w:val="Text"/>
      </w:pPr>
      <w:r>
        <w:t>So schreibt Spiecker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über junge schwarze Frauen: „Ihr Ideal ist einen weißen Mann zu heiraten. Die Regierung verbietet solche Ehen und ve</w:t>
      </w:r>
      <w:r>
        <w:t>r</w:t>
      </w:r>
      <w:r>
        <w:t>sagt ihnen die gesetzliche Anerkennung. Deshalb müssen die jungen Mädchen ernstlich gewarnt werden sich mit weißen Männern, deren Frauen sie doch nicht werden können, einzulassen.“ (837) Natürlich nützen weder Verbote noch E</w:t>
      </w:r>
      <w:r>
        <w:t>r</w:t>
      </w:r>
      <w:r>
        <w:t>mahnungen und es kommt zur überall beklagten „Unsittlichkeit“. Dass die schwarzen Männer auf andere Art, nämlich durch häufigen Zuspruch zum Alk</w:t>
      </w:r>
      <w:r>
        <w:t>o</w:t>
      </w:r>
      <w:r>
        <w:t>hol auf diesen kulturellen Selbstverlust reagieren, dürfte auch daran liegen, dass sie zu weißen Frauen in der Regel keinen Zugang hatten.</w:t>
      </w:r>
    </w:p>
    <w:p w:rsidR="00CF6655" w:rsidRDefault="00CF6655" w:rsidP="00CF6655">
      <w:pPr>
        <w:pStyle w:val="Text"/>
      </w:pPr>
      <w:r>
        <w:t>Eine direkte Spiegelung der widersprüchlichen Situation findet sich in den Kleidungsgewohnheiten. Die nackt gehenden Frauen und Mädchen folgen ja nur der eigenen kulturellen Überlieferung, in der Bekleidung nicht üblich war, ihr Verhalten hat also nichts mit „Schamlosigkeit“ zu tun. Die Ältesten dagegen, von denen manche noch als Kinder die Situation vor Ankunft der Weißen erlebt haben dürften, schauen nun verächtlich auf diese Gewohnheit herab; ein Hinweis darauf, wie eifrig sie, die eine Mittlerrolle zwischen den weißen Besatzern und dem schwarzen Volk ergattern konnten, auf die Weihen der dominanten Kultur aspirieren.</w:t>
      </w:r>
    </w:p>
    <w:p w:rsidR="00CF6655" w:rsidRDefault="00CF6655" w:rsidP="00CF6655">
      <w:pPr>
        <w:pStyle w:val="Text"/>
      </w:pPr>
      <w:r>
        <w:t>Neben der „Unsittlichkeit“ ist das am häufigsten erwähnte Problem der A</w:t>
      </w:r>
      <w:r>
        <w:t>l</w:t>
      </w:r>
      <w:r>
        <w:t>kohol. Sein Konsum wird durch die Ausgabe von „permits“, die den Kauf e</w:t>
      </w:r>
      <w:r>
        <w:t>r</w:t>
      </w:r>
      <w:r>
        <w:t>möglichen und den Schwarzmarkt austrocknen sollen, geregelt. Spiecker spricht sich in Rehoboth</w:t>
      </w:r>
      <w:r w:rsidR="00363C1C">
        <w:fldChar w:fldCharType="begin"/>
      </w:r>
      <w:r w:rsidR="00FD439D">
        <w:instrText xml:space="preserve"> XE "</w:instrText>
      </w:r>
      <w:r w:rsidR="00FD439D" w:rsidRPr="00E8657B">
        <w:instrText>Rehoboth</w:instrText>
      </w:r>
      <w:r w:rsidR="00FD439D">
        <w:instrText xml:space="preserve">" </w:instrText>
      </w:r>
      <w:r w:rsidR="00363C1C">
        <w:fldChar w:fldCharType="end"/>
      </w:r>
      <w:r>
        <w:t xml:space="preserve"> gegenüber dem Distrikt</w:t>
      </w:r>
      <w:r w:rsidR="004F1F04">
        <w:t>s</w:t>
      </w:r>
      <w:r>
        <w:t>chef, Leutnant Stübel, gegen die Pe</w:t>
      </w:r>
      <w:r>
        <w:t>r</w:t>
      </w:r>
      <w:r>
        <w:t>mits aus, aber dieser „hielt dafür, es sei besser viele permits zu geben, damit die Leute nicht verbotenerweise an Branntwein zu kommen suchten. Auf solche Weise kann man jede schlechte Sache begründen.“ (845) Es handelt sich um ein allgemeines Problem: „Die Regierung geht mit Verordnungen gegen das Trinken ohne Erfolg vor. Die untergeordneten Beamten geben doch immer wieder die Erlaubnisscheine (permits).“ (836f) Ob die Regierung auf diese permits Steuern oder Gebühren nimmt, erwähnt Spiecker nicht; es ist allerdings anzunehmen.</w:t>
      </w:r>
    </w:p>
    <w:p w:rsidR="00CF6655" w:rsidRDefault="00CF6655" w:rsidP="00504AE3">
      <w:pPr>
        <w:pStyle w:val="Titel4"/>
      </w:pPr>
      <w:bookmarkStart w:id="403" w:name="_Toc122313682"/>
      <w:bookmarkStart w:id="404" w:name="_Toc122313770"/>
      <w:bookmarkStart w:id="405" w:name="_Toc130260766"/>
      <w:bookmarkStart w:id="406" w:name="_Toc327388066"/>
      <w:r>
        <w:lastRenderedPageBreak/>
        <w:t>Rassentrennung</w:t>
      </w:r>
      <w:bookmarkEnd w:id="403"/>
      <w:bookmarkEnd w:id="404"/>
      <w:bookmarkEnd w:id="405"/>
      <w:bookmarkEnd w:id="406"/>
    </w:p>
    <w:p w:rsidR="00CF6655" w:rsidRDefault="00CF6655" w:rsidP="00504AE3">
      <w:pPr>
        <w:pStyle w:val="Text"/>
        <w:ind w:firstLine="0"/>
      </w:pPr>
      <w:r>
        <w:t>Zunehmend werden auch die Friedhöfe nach Rassen getrennt angelegt, wofür dann auch Geld da ist, wie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„[D]er hiesige Distriktschef Oberleutnant Kuhn […] bat mich mit ihm den Kirchhof zu besichtigen. Den hat er sehr schön herrichten lassen und richtete nun nebenan noch einen solchen für die eingeb</w:t>
      </w:r>
      <w:r>
        <w:t>o</w:t>
      </w:r>
      <w:r>
        <w:t>rene Gemeinde ein, während der andere ursprüngliche Friedhof ganz der weißen Gemeinde überlassen bleibt.“ (704) Auch 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wurde der alte, mi</w:t>
      </w:r>
      <w:r>
        <w:t>t</w:t>
      </w:r>
      <w:r>
        <w:t>ten im Dorf liegende Friedhof außer Betrieb genommen zugunsten zwei säube</w:t>
      </w:r>
      <w:r>
        <w:t>r</w:t>
      </w:r>
      <w:r>
        <w:t>lich nach Rassen getrennter, die „ziemlich weit draußen“ liegen (1746); alle drei Friedhöfe sind zu Spieckers Bedauern ungeschützt, da man statt in eine Mauer lieber in die Anlage der neuen Friedhöfe investiert hat.</w:t>
      </w:r>
    </w:p>
    <w:p w:rsidR="00CF6655" w:rsidRDefault="00CF6655" w:rsidP="00CF6655">
      <w:pPr>
        <w:pStyle w:val="Text"/>
      </w:pPr>
      <w:r>
        <w:t>Die Rassentrennung ist ein Konzept für den ganzen Lebenszyklus; wie für die Toten, so wird sie auch für die Kinder 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eingeführt: „Übr</w:t>
      </w:r>
      <w:r>
        <w:t>i</w:t>
      </w:r>
      <w:r>
        <w:t>gens waren auch eine Anzahl weiße und vor allem halbweiße Kinder in der Sch</w:t>
      </w:r>
      <w:r>
        <w:t>u</w:t>
      </w:r>
      <w:r>
        <w:t>le, welch letztere die hiesige weiße Schule besucht haben und aus derselben au</w:t>
      </w:r>
      <w:r>
        <w:t>s</w:t>
      </w:r>
      <w:r>
        <w:t>gewiesen sind. Man will die Rassenscheidung konsequent durchführen. Ob es gelingt?“ (1728)</w:t>
      </w:r>
    </w:p>
    <w:p w:rsidR="00CF6655" w:rsidRDefault="00CF6655" w:rsidP="00CF6655">
      <w:pPr>
        <w:pStyle w:val="Text"/>
      </w:pPr>
      <w:r>
        <w:t>Selbst in der Kapprovinz</w:t>
      </w:r>
      <w:r w:rsidR="00363C1C">
        <w:fldChar w:fldCharType="begin"/>
      </w:r>
      <w:r w:rsidR="00710612">
        <w:instrText xml:space="preserve"> XE "</w:instrText>
      </w:r>
      <w:r w:rsidR="00710612" w:rsidRPr="008615D3">
        <w:instrText>Kapprovinz</w:instrText>
      </w:r>
      <w:r w:rsidR="00710612">
        <w:instrText xml:space="preserve">" </w:instrText>
      </w:r>
      <w:r w:rsidR="00363C1C">
        <w:fldChar w:fldCharType="end"/>
      </w:r>
      <w:r>
        <w:t>, wo die Schwarzen mehr Rechte haben als in Sü</w:t>
      </w:r>
      <w:r>
        <w:t>d</w:t>
      </w:r>
      <w:r>
        <w:t>westafrika, fehlt es vielen an Selbstbewusstsein, wie Spiecker bei seinem Kurzb</w:t>
      </w:r>
      <w:r>
        <w:t>e</w:t>
      </w:r>
      <w:r>
        <w:t>such in Matroosfontein</w:t>
      </w:r>
      <w:r w:rsidR="00363C1C">
        <w:fldChar w:fldCharType="begin"/>
      </w:r>
      <w:r w:rsidR="00E01EA7">
        <w:instrText xml:space="preserve"> XE "</w:instrText>
      </w:r>
      <w:r w:rsidR="00E01EA7" w:rsidRPr="00152619">
        <w:instrText>Matroosfontein</w:instrText>
      </w:r>
      <w:r w:rsidR="00E01EA7">
        <w:instrText xml:space="preserve">" </w:instrText>
      </w:r>
      <w:r w:rsidR="00363C1C">
        <w:fldChar w:fldCharType="end"/>
      </w:r>
      <w:r>
        <w:t xml:space="preserve"> bemerkt, das als Filial von Sarepta</w:t>
      </w:r>
      <w:r w:rsidR="00363C1C">
        <w:fldChar w:fldCharType="begin"/>
      </w:r>
      <w:r w:rsidR="00710612">
        <w:instrText xml:space="preserve"> XE "</w:instrText>
      </w:r>
      <w:r w:rsidR="00710612" w:rsidRPr="00B910A9">
        <w:instrText>Sarepta</w:instrText>
      </w:r>
      <w:r w:rsidR="00710612">
        <w:instrText xml:space="preserve">" </w:instrText>
      </w:r>
      <w:r w:rsidR="00363C1C">
        <w:fldChar w:fldCharType="end"/>
      </w:r>
      <w:r>
        <w:t xml:space="preserve"> über kein eigenes Missionshaus verfügt: „Bei einem Eingeborenen namens Johannes stiegen wir ab. Seine Frau bereitete uns Kaffee. Ihre Stube überließen Johannes und seine Frau Sarah uns ganz. […] Ein Eingeborener nimmt es sich nicht heraus mit einem Weißen sich an einen Tisch zu setzen.“ (2006f)</w:t>
      </w:r>
    </w:p>
    <w:p w:rsidR="00CF6655" w:rsidRDefault="00CF6655" w:rsidP="00CF6655">
      <w:pPr>
        <w:pStyle w:val="Text"/>
      </w:pPr>
      <w:r>
        <w:t>Die Wortwahl („nimmt es sich nicht heraus“) lässt vermuten, dass Spiecker diese Zurückhaltung ihrer Gastgeber nicht als unangenehm empfindet.</w:t>
      </w:r>
      <w:r>
        <w:rPr>
          <w:rStyle w:val="Funotenzeichen"/>
        </w:rPr>
        <w:footnoteReference w:id="264"/>
      </w:r>
      <w:r>
        <w:t xml:space="preserve"> Auch an anderer Stelle wird deutlich, dass er sich der Bewegung innerhalb der weißen Kolonialbevölkerung zu einer strikteren Trennung der Rassen nicht entziehen kann:</w:t>
      </w:r>
    </w:p>
    <w:p w:rsidR="00CF6655" w:rsidRDefault="00CF6655" w:rsidP="00CF6655">
      <w:pPr>
        <w:pStyle w:val="Zitat"/>
      </w:pPr>
      <w:r>
        <w:t>In ganz Südafrika ist gegenwärtig […] bei etwa 90 % der Bevölkerung eine den Eingeborenen und der Mission sehr unfreundliche Stimmung. Das hängt unter anderem wohl auch besonders mit der Aethiopischen Bewegung zusammen. Die Mission tut gut, auf diese Bewegungen und Stimmungen zu achten und d</w:t>
      </w:r>
      <w:r>
        <w:t>a</w:t>
      </w:r>
      <w:r>
        <w:t>raus zu lernen, ohne daß wir unsere prinzipielle Stellung irgendwie aufzugeben brauchen. Es scheint aber doch, daß man von Seiten der Mission vielfach ta</w:t>
      </w:r>
      <w:r>
        <w:t>t</w:t>
      </w:r>
      <w:r>
        <w:t>sächlich den ohne Frage bestehenden Rassenunterschied und die Bedeutung desselben für das tägliche Leben, übersehen hat. (71)</w:t>
      </w:r>
    </w:p>
    <w:p w:rsidR="00CF6655" w:rsidRDefault="00CF6655" w:rsidP="00504AE3">
      <w:pPr>
        <w:pStyle w:val="Text"/>
        <w:ind w:firstLine="0"/>
      </w:pPr>
      <w:r>
        <w:lastRenderedPageBreak/>
        <w:t>Es fällt auf, dass Spiecker in dieser Notiz die Eingeborenen nicht zur Bevölk</w:t>
      </w:r>
      <w:r>
        <w:t>e</w:t>
      </w:r>
      <w:r>
        <w:t>rung rechnet, während er normalerweise in solchen Zusammenhängen von „we</w:t>
      </w:r>
      <w:r>
        <w:t>i</w:t>
      </w:r>
      <w:r>
        <w:t>ßer Bevölkerung“ spricht. Das Zitat drückt ein widerstrebendes Eingeständnis eigener Fehler aus, das wohl weniger in Spieckers Meinung als in seiner Unf</w:t>
      </w:r>
      <w:r>
        <w:t>ä</w:t>
      </w:r>
      <w:r>
        <w:t>higkeit begründet liegt, eine radikale Opposition zur weißen Bevölkerung und zu den bestehenden Verhältnissen zu denken. Da die Reaktionsbewegung gegen die Eingeborenenrechte so stark ist, muss wohl doch etwas daran sein; so scheint die zugrundeliegende Denkfigur zu lauten. Wo Rauch ist, ist auch Feuer. – Die Gründe der Reaktion gegen die Eingeborenen dürften dabei vor allem in der g</w:t>
      </w:r>
      <w:r>
        <w:t>e</w:t>
      </w:r>
      <w:r>
        <w:t>festigten Kolonialherrschaft liegen. In den Jahrzehnten, in denen die Mission durch ihre Arbeit, vor allem durch Sesshaftmachung und Befriedung der Stä</w:t>
      </w:r>
      <w:r>
        <w:t>m</w:t>
      </w:r>
      <w:r>
        <w:t>me, der späteren Kolonisation Vorschub leistete, wäre eine konsequente Behan</w:t>
      </w:r>
      <w:r>
        <w:t>d</w:t>
      </w:r>
      <w:r>
        <w:t>lung der Eingeborenen als Menschen zweiter Klasse nicht durchführbar gewesen. Sie hätte die Missionsarbeit unmöglich gemacht.</w:t>
      </w:r>
    </w:p>
    <w:p w:rsidR="00CF6655" w:rsidRDefault="00CF6655" w:rsidP="00504AE3">
      <w:pPr>
        <w:pStyle w:val="Titel3"/>
      </w:pPr>
      <w:bookmarkStart w:id="407" w:name="_Toc130260767"/>
      <w:bookmarkStart w:id="408" w:name="_Ref325356009"/>
      <w:bookmarkStart w:id="409" w:name="_Ref325356312"/>
      <w:bookmarkStart w:id="410" w:name="_Ref325356495"/>
      <w:bookmarkStart w:id="411" w:name="_Toc327388067"/>
      <w:r>
        <w:t>Sexuelle Beherrschung</w:t>
      </w:r>
      <w:bookmarkEnd w:id="407"/>
      <w:bookmarkEnd w:id="408"/>
      <w:bookmarkEnd w:id="409"/>
      <w:bookmarkEnd w:id="410"/>
      <w:bookmarkEnd w:id="411"/>
    </w:p>
    <w:p w:rsidR="00CF6655" w:rsidRDefault="00CF6655" w:rsidP="00504AE3">
      <w:pPr>
        <w:pStyle w:val="Text"/>
        <w:ind w:firstLine="0"/>
      </w:pPr>
      <w:r>
        <w:t>In der Regel finden die Weißen willige schwarze Frauen, die mit ihnen schlafen, doch nicht immer, und so kommt es zu solchen Vorkommnissen:</w:t>
      </w:r>
    </w:p>
    <w:p w:rsidR="00CF6655" w:rsidRDefault="00CF6655" w:rsidP="00CF6655">
      <w:pPr>
        <w:pStyle w:val="Zitat"/>
      </w:pPr>
      <w:r>
        <w:t>Eine Namafrau (Wittwe und Taufbewerberin) war hier und beklagte sich, der weiße Polizist habe sie gestern Abend geschlagen und gezwungen aus der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mit ihm hier zum Ort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zu gehen und sie dann zu einem weißen Mann (Soldaten, wahrscheinlich Offizier) gebracht und dieser habe sie mit in sein Zimmer eingeschlossen und habe sie zwingen wollen zu sündigen. Sie habe sich aber geweigert, habe aber die ganze Nacht da bleiben müssen und habe heute Morgen die ihr angebotenen 3 Mark Bezahlung nicht angenommen, da sie dem Mann doch nicht zu Willen gewesen sei. Der Polizist habe ihr dann g</w:t>
      </w:r>
      <w:r>
        <w:t>e</w:t>
      </w:r>
      <w:r>
        <w:t>droht, er werde sie ins Gefängnis bringen. (1014)</w:t>
      </w:r>
    </w:p>
    <w:p w:rsidR="00CF6655" w:rsidRDefault="00CF6655" w:rsidP="00504AE3">
      <w:pPr>
        <w:pStyle w:val="Text"/>
        <w:ind w:firstLine="0"/>
      </w:pPr>
      <w:r>
        <w:t>Hauptmann von Wangenheim</w:t>
      </w:r>
      <w:r w:rsidR="00363C1C">
        <w:fldChar w:fldCharType="begin"/>
      </w:r>
      <w:r w:rsidR="00506079">
        <w:instrText xml:space="preserve"> XE "</w:instrText>
      </w:r>
      <w:r w:rsidR="00506079" w:rsidRPr="003559BD">
        <w:instrText>Wangenheim, Hauptmann von</w:instrText>
      </w:r>
      <w:r w:rsidR="00506079">
        <w:instrText xml:space="preserve">" </w:instrText>
      </w:r>
      <w:r w:rsidR="00363C1C">
        <w:fldChar w:fldCharType="end"/>
      </w:r>
      <w:r>
        <w:t xml:space="preserve"> verspricht, der Sache nachzugehen, obwohl das Ereignis wohl nicht so ungewöhnlich ist: „Der Hauptmann, der sehr treu für seine Soldaten eintritt, entwarf ein schreckliches Bild von den sittlichen Zustä</w:t>
      </w:r>
      <w:r>
        <w:t>n</w:t>
      </w:r>
      <w:r>
        <w:t>den unter denselben. Er sagte, da ist keiner, der sich frei hält und die Ärzte em</w:t>
      </w:r>
      <w:r>
        <w:t>p</w:t>
      </w:r>
      <w:r>
        <w:t>fehlen und schützen es noch.“ (1014f) Diese Aussagen scheinen sehr drastisch, stimmen aber mit dem Bild überein, dass an vielen Stellen direkte oder indirekte Bestätigung erfährt.</w:t>
      </w:r>
      <w:r>
        <w:rPr>
          <w:rStyle w:val="Funotenzeichen"/>
        </w:rPr>
        <w:footnoteReference w:id="265"/>
      </w:r>
      <w:r>
        <w:t xml:space="preserve"> Demnach sehen die Weißen, insbesondere natürlich die Soldaten und die unverheirateten Männer, die schwarzen Frauen als ein Rese</w:t>
      </w:r>
      <w:r>
        <w:t>r</w:t>
      </w:r>
      <w:r>
        <w:t>voir an Sexualobjekten an. Unterschiede bestehen hauptsächlich in der Behan</w:t>
      </w:r>
      <w:r>
        <w:t>d</w:t>
      </w:r>
      <w:r>
        <w:t xml:space="preserve">lung der Frauen, die für die weißen Männer bei aller Verachtung der Schwarzen </w:t>
      </w:r>
      <w:r>
        <w:lastRenderedPageBreak/>
        <w:t>eine enorme Anziehungskraft gehabt haben müssen: Sie reichte von langjährigen Partnerschaften und Heirat – die in den Anfangszeiten der Kolonie noch häufig vorkam, aber zunehmend mit größeren Sanktionen belegt wurde – über Prostit</w:t>
      </w:r>
      <w:r>
        <w:t>u</w:t>
      </w:r>
      <w:r>
        <w:t>tion und Verführung Minderjähriger bis hin zur Vergewaltigung</w:t>
      </w:r>
      <w:r w:rsidR="00363C1C">
        <w:fldChar w:fldCharType="begin"/>
      </w:r>
      <w:r w:rsidR="00AF5591">
        <w:instrText xml:space="preserve"> XE "</w:instrText>
      </w:r>
      <w:r w:rsidR="00AF5591" w:rsidRPr="00D21577">
        <w:instrText>Vergewaltigung</w:instrText>
      </w:r>
      <w:r w:rsidR="00AF5591">
        <w:instrText xml:space="preserve">" </w:instrText>
      </w:r>
      <w:r w:rsidR="00363C1C">
        <w:fldChar w:fldCharType="end"/>
      </w:r>
      <w:r>
        <w:t>.</w:t>
      </w:r>
    </w:p>
    <w:p w:rsidR="00CF6655" w:rsidRDefault="00CF6655" w:rsidP="00CF6655">
      <w:pPr>
        <w:pStyle w:val="Text"/>
      </w:pPr>
      <w:r>
        <w:t>Außer von der Mission wird die Praxis dieser sexuellen Kontakte, die wohl nur in seltenen Fällen einigermaßen gleichberechtigt verliefen, überwiegend als selbstverständlich empfunden. Sogar der frühere Gouverneur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xml:space="preserve"> macht keine Ausnahme, wie Spiecker von einem Leutnant erfährt, dem er auf einer Bahnreise von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nach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begegnet: „Wir […] kamen zuletzt in einen geradezu vertraulichen Ton. So erzählte er mir, daß es den Officieren vie</w:t>
      </w:r>
      <w:r>
        <w:t>l</w:t>
      </w:r>
      <w:r>
        <w:t>fach unangenehm gewesen sei, den Gouverneur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wie er verlangte, pr</w:t>
      </w:r>
      <w:r>
        <w:t>i</w:t>
      </w:r>
      <w:r>
        <w:t>vatim zu besuchen wegen seines anstößigen Verkehrs mit seiner Haushälterin.“ (488)</w:t>
      </w:r>
    </w:p>
    <w:p w:rsidR="00CF6655" w:rsidRDefault="00CF6655" w:rsidP="00CF6655">
      <w:pPr>
        <w:pStyle w:val="Text"/>
      </w:pPr>
      <w:r>
        <w:t xml:space="preserve">Den Zusammenhang des Arbeitszwangs (vgl. Abschnitt </w:t>
      </w:r>
      <w:r w:rsidR="00363C1C">
        <w:fldChar w:fldCharType="begin"/>
      </w:r>
      <w:r w:rsidR="001F3A7C">
        <w:instrText xml:space="preserve"> REF _Ref325356141 \r \h </w:instrText>
      </w:r>
      <w:r w:rsidR="00363C1C">
        <w:fldChar w:fldCharType="separate"/>
      </w:r>
      <w:r w:rsidR="00216538">
        <w:t>2.2.4.2</w:t>
      </w:r>
      <w:r w:rsidR="00363C1C">
        <w:fldChar w:fldCharType="end"/>
      </w:r>
      <w:r>
        <w:t xml:space="preserve"> „Erziehung zur Arbeit“) mit der sexuellen Ausbeutung bringt Jürgen Zimmerer auf den Punkt:</w:t>
      </w:r>
    </w:p>
    <w:p w:rsidR="00CF6655" w:rsidRDefault="00CF6655" w:rsidP="00CF6655">
      <w:pPr>
        <w:pStyle w:val="Zitat"/>
      </w:pPr>
      <w:r>
        <w:t>Deckmantel vieler Beziehungen war die Anstellung afrikanischer Frauen und Mädchen als Hausangestellte, wobei es zu den Widersprüchen der deutschen „Eingeborenenpolitik“ gehörte, dass ja alle afrikanischen Frauen, wie auch die Männer zur Arbeit verpflichtet waren, wobei allgemein bekannt war, „daß die Mädchen in diesen Fällen mit geringen Ausnahmen zum geschlechtlichen Ve</w:t>
      </w:r>
      <w:r>
        <w:t>r</w:t>
      </w:r>
      <w:r>
        <w:t>kehr benutzt und für jegliche Arbeit verdorben werden“[…] und dass „fast j</w:t>
      </w:r>
      <w:r>
        <w:t>e</w:t>
      </w:r>
      <w:r>
        <w:t>der Weiße, der nicht verheiratet ist, sich ein eingeborenes Weib anschafft, mit dem er geschlechtlich verkehrt“[…]. „Dass zwischen einem großen Teil der unverheiratenen Dienstgeber und ihrem weiblichen Dienstboten ein G</w:t>
      </w:r>
      <w:r>
        <w:t>e</w:t>
      </w:r>
      <w:r>
        <w:t>schlechtsverkehr besteht“, wusste auch der Eingeborenenkommissar von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zu berichten.</w:t>
      </w:r>
      <w:r>
        <w:rPr>
          <w:rStyle w:val="Funotenzeichen"/>
        </w:rPr>
        <w:footnoteReference w:id="266"/>
      </w:r>
    </w:p>
    <w:p w:rsidR="00CF6655" w:rsidRDefault="00CF6655" w:rsidP="00504AE3">
      <w:pPr>
        <w:pStyle w:val="Text"/>
        <w:ind w:firstLine="0"/>
      </w:pPr>
      <w:r>
        <w:t>Zimmerer betont ferner, dass die Kontakte zwischen den ‚Rassen‘ auch nach den verschiedenen Verordnungen zur Rassentrennung noch allgemein verbreitet w</w:t>
      </w:r>
      <w:r>
        <w:t>a</w:t>
      </w:r>
      <w:r>
        <w:t>ren; die Menschen waren jedoch stärker der Willkür der Beamten ausgesetzt. „Eine latente Sanktionsdrohung, gegen Sexualbeziehungen vorgehen zu können, wann immer man wollte, bedeutete jedoch auf jeden Fall einen wesentlichen Eingriff in das Privatleben aller Betroffenen.“</w:t>
      </w:r>
      <w:r>
        <w:rPr>
          <w:rStyle w:val="Funotenzeichen"/>
        </w:rPr>
        <w:footnoteReference w:id="267"/>
      </w:r>
    </w:p>
    <w:p w:rsidR="00CF6655" w:rsidRDefault="00CF6655" w:rsidP="00CF6655">
      <w:pPr>
        <w:pStyle w:val="Text"/>
      </w:pPr>
      <w:r>
        <w:t>Vor allem in den Städten werden die eingeborenen Frauen mit Geschlecht</w:t>
      </w:r>
      <w:r>
        <w:t>s</w:t>
      </w:r>
      <w:r>
        <w:t>krankheiten</w:t>
      </w:r>
      <w:r w:rsidR="00363C1C">
        <w:fldChar w:fldCharType="begin"/>
      </w:r>
      <w:r w:rsidR="00763E6B">
        <w:instrText xml:space="preserve"> XE "</w:instrText>
      </w:r>
      <w:r w:rsidR="00763E6B" w:rsidRPr="005D4C40">
        <w:instrText>Geschlechtskrankheiten</w:instrText>
      </w:r>
      <w:r w:rsidR="00763E6B">
        <w:instrText xml:space="preserve">" </w:instrText>
      </w:r>
      <w:r w:rsidR="00363C1C">
        <w:fldChar w:fldCharType="end"/>
      </w:r>
      <w:r>
        <w:t xml:space="preserve"> angesteckt, deren Behandlung sie sich nicht leisten können:</w:t>
      </w:r>
    </w:p>
    <w:p w:rsidR="00CF6655" w:rsidRDefault="00CF6655" w:rsidP="00CF6655">
      <w:pPr>
        <w:pStyle w:val="Zitat"/>
      </w:pPr>
      <w:r>
        <w:t xml:space="preserve">In einem Hause war eine erwachsene Tochter mit einem unehelichen Kind. Sie war in </w:t>
      </w:r>
      <w:r w:rsidR="00710612">
        <w:t>Kapstadt</w:t>
      </w:r>
      <w:r w:rsidR="00363C1C">
        <w:fldChar w:fldCharType="begin"/>
      </w:r>
      <w:r w:rsidR="00710612">
        <w:instrText xml:space="preserve"> XE "</w:instrText>
      </w:r>
      <w:r w:rsidR="00710612" w:rsidRPr="00D20257">
        <w:instrText>Kapstadt</w:instrText>
      </w:r>
      <w:r w:rsidR="00710612">
        <w:instrText xml:space="preserve">" </w:instrText>
      </w:r>
      <w:r w:rsidR="00363C1C">
        <w:fldChar w:fldCharType="end"/>
      </w:r>
      <w:r>
        <w:t xml:space="preserve"> gewesen. Da fallen leider so manche Mädchen in Sünde. Dieses </w:t>
      </w:r>
      <w:r>
        <w:lastRenderedPageBreak/>
        <w:t>arme Mädchen muß jetzt eine schwere Leidensschule durchmachen. Sie leidet an Geschwüren im Kopf, die jetzt ausbrechen. Ein Auge hat sie infolgedessen ganz verloren. (219f)</w:t>
      </w:r>
    </w:p>
    <w:p w:rsidR="00CF6655" w:rsidRDefault="00CF6655" w:rsidP="00504AE3">
      <w:pPr>
        <w:pStyle w:val="Text"/>
        <w:ind w:firstLine="0"/>
      </w:pPr>
      <w:r>
        <w:t>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sind die Brüder Meier</w:t>
      </w:r>
      <w:r w:rsidR="00363C1C">
        <w:fldChar w:fldCharType="begin"/>
      </w:r>
      <w:r w:rsidR="00D20257">
        <w:instrText xml:space="preserve"> XE "</w:instrText>
      </w:r>
      <w:r w:rsidR="00D20257" w:rsidRPr="00476C89">
        <w:instrText>Meier, Br.</w:instrText>
      </w:r>
      <w:r w:rsidR="00D20257">
        <w:instrText xml:space="preserve">" </w:instrText>
      </w:r>
      <w:r w:rsidR="00363C1C">
        <w:fldChar w:fldCharType="end"/>
      </w:r>
      <w:r>
        <w:t xml:space="preserve"> und Wandres</w:t>
      </w:r>
      <w:r w:rsidR="00363C1C">
        <w:fldChar w:fldCharType="begin"/>
      </w:r>
      <w:r w:rsidR="00D20257">
        <w:instrText xml:space="preserve"> XE "</w:instrText>
      </w:r>
      <w:r w:rsidR="00D20257" w:rsidRPr="0034069E">
        <w:instrText>Wandres, Br.</w:instrText>
      </w:r>
      <w:r w:rsidR="00D20257">
        <w:instrText xml:space="preserve">" </w:instrText>
      </w:r>
      <w:r w:rsidR="00363C1C">
        <w:fldChar w:fldCharType="end"/>
      </w:r>
      <w:r>
        <w:t xml:space="preserve"> „mit der hiesigen Etappe in e</w:t>
      </w:r>
      <w:r>
        <w:t>i</w:t>
      </w:r>
      <w:r>
        <w:t>nen heftigen Kampf geraten und leider wegen angeblicher Beleidigung ang</w:t>
      </w:r>
      <w:r>
        <w:t>e</w:t>
      </w:r>
      <w:r>
        <w:t>klagt“ worden (527). Spiecker kommt zu dem Schluss, „daß die Brüder nur ihre Pflicht getan haben und sie in dem schweren Kampf gegen die Benutzung der eingeborenen Gefangenen zu unzüchtigen Zwecken entschieden unterstützt werden müssen.“ (528) Spiecker geht sofort zum Gouverneur, doch dieser re</w:t>
      </w:r>
      <w:r>
        <w:t>a</w:t>
      </w:r>
      <w:r>
        <w:t>giert scheinheilig: „Er war dann ganz erstaunt über die vorhandenen Mißstände und sagte bestimmt zu, daß die Bewohner des Gefangenenkraals</w:t>
      </w:r>
      <w:r w:rsidR="00363C1C">
        <w:fldChar w:fldCharType="begin"/>
      </w:r>
      <w:r w:rsidR="00B12E9F">
        <w:instrText xml:space="preserve"> XE "</w:instrText>
      </w:r>
      <w:r w:rsidR="00B12E9F" w:rsidRPr="00CB44C8">
        <w:instrText>Kraal</w:instrText>
      </w:r>
      <w:r w:rsidR="00B12E9F">
        <w:instrText xml:space="preserve">" </w:instrText>
      </w:r>
      <w:r w:rsidR="00363C1C">
        <w:fldChar w:fldCharType="end"/>
      </w:r>
      <w:r>
        <w:t xml:space="preserve"> gegen unsittl</w:t>
      </w:r>
      <w:r>
        <w:t>i</w:t>
      </w:r>
      <w:r>
        <w:t>che Zumutungen unbedingt geschützt werden müßten.“ (530)</w:t>
      </w:r>
    </w:p>
    <w:p w:rsidR="00CF6655" w:rsidRDefault="00CF6655" w:rsidP="00CF6655">
      <w:pPr>
        <w:pStyle w:val="Text"/>
      </w:pPr>
      <w:r>
        <w:t xml:space="preserve">Spiecker </w:t>
      </w:r>
      <w:r w:rsidR="000715D2">
        <w:t xml:space="preserve">spricht </w:t>
      </w:r>
      <w:r>
        <w:t>mit dem Gouverneur wiederholt über die Untersuchung a</w:t>
      </w:r>
      <w:r>
        <w:t>l</w:t>
      </w:r>
      <w:r>
        <w:t>ler eingeborenen Frauen auf Geschlechtskrankheiten</w:t>
      </w:r>
      <w:r w:rsidR="00363C1C">
        <w:fldChar w:fldCharType="begin"/>
      </w:r>
      <w:r w:rsidR="00763E6B">
        <w:instrText xml:space="preserve"> XE "</w:instrText>
      </w:r>
      <w:r w:rsidR="00763E6B" w:rsidRPr="005D4C40">
        <w:instrText>Geschlechtskrankheiten</w:instrText>
      </w:r>
      <w:r w:rsidR="00763E6B">
        <w:instrText xml:space="preserve">" </w:instrText>
      </w:r>
      <w:r w:rsidR="00363C1C">
        <w:fldChar w:fldCharType="end"/>
      </w:r>
      <w:r>
        <w:t>. Nach seiner Rückkehr nach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haben sich seine Befürchtungen bestätigt, wie die Lage im Gefangenenkraal zeigt:</w:t>
      </w:r>
    </w:p>
    <w:p w:rsidR="00CF6655" w:rsidRDefault="00CF6655" w:rsidP="00CF6655">
      <w:pPr>
        <w:pStyle w:val="Zitat"/>
      </w:pPr>
      <w:r>
        <w:t>Leider hat der treffliche Major Friedrich</w:t>
      </w:r>
      <w:r w:rsidR="00363C1C">
        <w:fldChar w:fldCharType="begin"/>
      </w:r>
      <w:r w:rsidR="009A46DE">
        <w:instrText xml:space="preserve"> XE "</w:instrText>
      </w:r>
      <w:r w:rsidR="009A46DE" w:rsidRPr="003206EB">
        <w:instrText>Friedrich, Major</w:instrText>
      </w:r>
      <w:r w:rsidR="009A46DE">
        <w:instrText xml:space="preserve">" </w:instrText>
      </w:r>
      <w:r w:rsidR="00363C1C">
        <w:fldChar w:fldCharType="end"/>
      </w:r>
      <w:r>
        <w:t xml:space="preserve"> die Kommandantur niedergelegt. Sein Nachfolger, ein Hauptmann, gab als Tagesbefehl aus: Die eingeborenen Weiber mit gelber Binde sind krank! Hütet Euch vor denen, Soldaten. Man denkt gar nicht mehr daran den unsittlichen Verkehr mit den eingeborenen Frauen se</w:t>
      </w:r>
      <w:r>
        <w:t>i</w:t>
      </w:r>
      <w:r>
        <w:t>tens der Soldaten zu hindern, sucht sie nur vor Ansteckung zu schützen. Das sind traurige Zustände. Wir sollten den Eingeborenen sagen, die Untersuchung geschehe in ihrem Interesse. Jetzt wird es fast zu deutlich, warum resp. in we</w:t>
      </w:r>
      <w:r>
        <w:t>s</w:t>
      </w:r>
      <w:r>
        <w:t>sen Interesse sie geschieht. (1326)</w:t>
      </w:r>
    </w:p>
    <w:p w:rsidR="00CF6655" w:rsidRDefault="00CF6655" w:rsidP="00504AE3">
      <w:pPr>
        <w:pStyle w:val="Text"/>
        <w:ind w:firstLine="0"/>
      </w:pPr>
      <w:r>
        <w:t>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spricht Spiecker mit dem Ältestenrat:</w:t>
      </w:r>
    </w:p>
    <w:p w:rsidR="00CF6655" w:rsidRDefault="00CF6655" w:rsidP="00CF6655">
      <w:pPr>
        <w:pStyle w:val="Zitat"/>
      </w:pPr>
      <w:r>
        <w:t xml:space="preserve">Sie werden von diesen oft in schändlicher Weise – sogar </w:t>
      </w:r>
      <w:r w:rsidR="00B03C8B">
        <w:t>n</w:t>
      </w:r>
      <w:r>
        <w:t>achts belästigt und finden scheinbar nicht den nötigen Schutz seitens der Regierung. Übrigens fürchte ich, daß die Leute verschweigen, daß ihre Mädchen und teilweise auch Frauen sich den Weißen willig hingeben, ja zum Teil ihnen nachlaufen. Ich sa</w:t>
      </w:r>
      <w:r>
        <w:t>g</w:t>
      </w:r>
      <w:r>
        <w:t>te deshalb auch den Ältesten: Ihr müßt sorgen, daß Eure Frauen und Töchter sich nicht der Schande preisgeben und rein erhalten. Sie blieben aber dabei, sie müßten mehr Schutz haben. (1734f)</w:t>
      </w:r>
    </w:p>
    <w:p w:rsidR="00CF6655" w:rsidRDefault="00CF6655" w:rsidP="00504AE3">
      <w:pPr>
        <w:pStyle w:val="Text"/>
        <w:ind w:firstLine="0"/>
      </w:pPr>
      <w:r>
        <w:t>Spiecker verfällt hier in das Reaktionsmuster des ‚Sie sind selbst (mit)schuldig‘, das im Umgang mit sexueller Belästigung und Gewalt bis heute weit verbreitet ist. Dabei zweifelt er, wie der erste Teil des Zitats zeigt, die Realität des Pro</w:t>
      </w:r>
      <w:r>
        <w:t>b</w:t>
      </w:r>
      <w:r>
        <w:t>lems gar nicht an; er schiebt einfach die ihm bekannte Tatsache, dass es freiwill</w:t>
      </w:r>
      <w:r>
        <w:t>i</w:t>
      </w:r>
      <w:r>
        <w:t>ge sexuelle Kontakte gibt, vor das Problem der sexuellen Gewalt. Die Gemei</w:t>
      </w:r>
      <w:r>
        <w:t>n</w:t>
      </w:r>
      <w:r>
        <w:t xml:space="preserve">samkeit besteht dabei hauptsächlich in Spieckers Urteil, für den </w:t>
      </w:r>
      <w:r>
        <w:rPr>
          <w:i/>
          <w:iCs/>
        </w:rPr>
        <w:t xml:space="preserve">alle </w:t>
      </w:r>
      <w:r>
        <w:t>außerehel</w:t>
      </w:r>
      <w:r>
        <w:t>i</w:t>
      </w:r>
      <w:r>
        <w:t>chen sexuellen Beziehungen zwischen schwarz und weiß ein Ärgernis darstellen.</w:t>
      </w:r>
    </w:p>
    <w:p w:rsidR="00CF6655" w:rsidRDefault="00CF6655" w:rsidP="00CF6655">
      <w:pPr>
        <w:pStyle w:val="Text"/>
      </w:pPr>
      <w:r>
        <w:t>Noch schlechter als in den Gemeinden ist die Lage in den Gefangenenl</w:t>
      </w:r>
      <w:r>
        <w:t>a</w:t>
      </w:r>
      <w:r>
        <w:t xml:space="preserve">gern. Geht Spiecker, wenn er von „Benutzung der eingeborenen Gefangenen zu </w:t>
      </w:r>
      <w:r>
        <w:lastRenderedPageBreak/>
        <w:t>unzüchtigen Zwecken“ (528) spricht, von Verführung der als Schwarze und als Frauen für doppelt schwach gehaltenen Opfer aus? Oder stellt er sich der Frage, ob in den Lagern Vergewaltigungen</w:t>
      </w:r>
      <w:r w:rsidR="00363C1C">
        <w:fldChar w:fldCharType="begin"/>
      </w:r>
      <w:r w:rsidR="00AF5591">
        <w:instrText xml:space="preserve"> XE "</w:instrText>
      </w:r>
      <w:r w:rsidR="00AF5591" w:rsidRPr="00446C0E">
        <w:instrText>Vergewaltigung</w:instrText>
      </w:r>
      <w:r w:rsidR="00AF5591">
        <w:instrText xml:space="preserve">" </w:instrText>
      </w:r>
      <w:r w:rsidR="00363C1C">
        <w:fldChar w:fldCharType="end"/>
      </w:r>
      <w:r>
        <w:t xml:space="preserve"> stattfinden?</w:t>
      </w:r>
    </w:p>
    <w:p w:rsidR="00CF6655" w:rsidRDefault="00CF6655" w:rsidP="00CF6655">
      <w:pPr>
        <w:pStyle w:val="Zitat"/>
      </w:pPr>
      <w:r>
        <w:t>Auch die Behauptung, die gefangenen Frauen würden zu einem Sündenleben gezwungen, mußte ich in dieser Allgemeinheit beanstanden. Ich sagte: Wenn das der Fall ist, dann müssen wir gegen solche Verbrechen auftreten. Nun stel</w:t>
      </w:r>
      <w:r>
        <w:t>l</w:t>
      </w:r>
      <w:r>
        <w:t>te sich aber heraus, daß wir keinerlei Beweise in Händen haben. Ich sagte: Dann müssen wir recht vorsichtig sein, da die Frauen uns oft vorlügen, sie se</w:t>
      </w:r>
      <w:r>
        <w:t>i</w:t>
      </w:r>
      <w:r>
        <w:t>en gezwungen worden, während sie selbst in die Sünde gewilligt haben. Einse</w:t>
      </w:r>
      <w:r>
        <w:t>i</w:t>
      </w:r>
      <w:r>
        <w:t>tige Berichterstattung in solchen Dingen ist sehr bedenklich. (1708)</w:t>
      </w:r>
    </w:p>
    <w:p w:rsidR="00CF6655" w:rsidRDefault="00CF6655" w:rsidP="00504AE3">
      <w:pPr>
        <w:pStyle w:val="Text"/>
        <w:ind w:firstLine="0"/>
      </w:pPr>
      <w:r>
        <w:t>Die Aussagen der Frauen selbst haben für ihn keinen Beweischarakter. Sie we</w:t>
      </w:r>
      <w:r>
        <w:t>r</w:t>
      </w:r>
      <w:r>
        <w:t>den neutralisiert, indem mit Fällen argumentiert wird, in denen es sich nach Überzeugung der Mission um Lügen gehandelt hatte. Dieses Vorgehen erscheint hoch problematisch; eine Aussage kann eigentlich juristisch nur dann als „ne</w:t>
      </w:r>
      <w:r>
        <w:t>u</w:t>
      </w:r>
      <w:r>
        <w:t>tralisiert“ gelten, wenn es eine entsprechende Gegenaussage gibt (Ableugnung der Schuld) und eine Beweisaufnahme zu keinen objektiven Ergebnissen geführt hat. Beides dürfte aber in diesen Fällen kaum vorliegen, da es ja nicht zu Ermit</w:t>
      </w:r>
      <w:r>
        <w:t>t</w:t>
      </w:r>
      <w:r>
        <w:t>lungen gekommen ist. Die Aussagen der Frauen, vergewaltigt worden zu sein, werden also von der Mission ignoriert, da solche Aussagen nach Spieckers Me</w:t>
      </w:r>
      <w:r>
        <w:t>i</w:t>
      </w:r>
      <w:r>
        <w:t>nung generell als nicht glaubwürdig einzustufen sind – ein Vorgehen, das sich wiederum aus der doppelt paternalistischen</w:t>
      </w:r>
      <w:r w:rsidR="00363C1C">
        <w:fldChar w:fldCharType="begin"/>
      </w:r>
      <w:r w:rsidR="00566F67">
        <w:instrText xml:space="preserve"> XE "</w:instrText>
      </w:r>
      <w:r w:rsidR="00566F67" w:rsidRPr="00386596">
        <w:instrText>Paternalismus</w:instrText>
      </w:r>
      <w:r w:rsidR="00566F67">
        <w:instrText xml:space="preserve">" </w:instrText>
      </w:r>
      <w:r w:rsidR="00363C1C">
        <w:fldChar w:fldCharType="end"/>
      </w:r>
      <w:r>
        <w:t xml:space="preserve"> Haltung ergibt, die das Verhältnis zu Frauen wie auch zu Schwarzen nach dem Verhältnis Vater-Kind modelliert (vgl. Abschnitt </w:t>
      </w:r>
      <w:r w:rsidR="00363C1C">
        <w:fldChar w:fldCharType="begin"/>
      </w:r>
      <w:r w:rsidR="00F85EA3">
        <w:instrText xml:space="preserve"> REF _Ref325356190 \r \h </w:instrText>
      </w:r>
      <w:r w:rsidR="00363C1C">
        <w:fldChar w:fldCharType="separate"/>
      </w:r>
      <w:r w:rsidR="00216538">
        <w:t>3.3.4</w:t>
      </w:r>
      <w:r w:rsidR="00363C1C">
        <w:fldChar w:fldCharType="end"/>
      </w:r>
      <w:r>
        <w:t xml:space="preserve"> „Paternalismus</w:t>
      </w:r>
      <w:r w:rsidR="00363C1C">
        <w:fldChar w:fldCharType="begin"/>
      </w:r>
      <w:r w:rsidR="00AF5591">
        <w:instrText xml:space="preserve"> XE "</w:instrText>
      </w:r>
      <w:r w:rsidR="00AF5591" w:rsidRPr="00456CFD">
        <w:instrText>Paternalismus</w:instrText>
      </w:r>
      <w:r w:rsidR="00AF5591">
        <w:instrText xml:space="preserve">" </w:instrText>
      </w:r>
      <w:r w:rsidR="00363C1C">
        <w:fldChar w:fldCharType="end"/>
      </w:r>
      <w:r>
        <w:t>“). Schwarze Frauen sind dadurch in doppelter Weise Kinder und ihre Aussagen in doppelter Weise zweifelhaft.</w:t>
      </w:r>
    </w:p>
    <w:p w:rsidR="00CF6655" w:rsidRDefault="00CF6655" w:rsidP="00CF6655">
      <w:pPr>
        <w:pStyle w:val="Text"/>
      </w:pPr>
      <w:r>
        <w:t>Bei Gründer findet sich eine andere Perspektive im Kommentar eines Her</w:t>
      </w:r>
      <w:r>
        <w:t>e</w:t>
      </w:r>
      <w:r>
        <w:t>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-Christen, der auf die Frage nach den Ursachen für den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nach der Nennung von Branntwein-Verkauf und Betrug durch Händler fortfährt: „‚Aber das schlimmste Übel ist […] die Vergewaltigung</w:t>
      </w:r>
      <w:r w:rsidR="00363C1C">
        <w:fldChar w:fldCharType="begin"/>
      </w:r>
      <w:r w:rsidR="00AF5591">
        <w:instrText xml:space="preserve"> XE "</w:instrText>
      </w:r>
      <w:r w:rsidR="00AF5591" w:rsidRPr="00D21577">
        <w:instrText>Vergewaltigung</w:instrText>
      </w:r>
      <w:r w:rsidR="00AF5591">
        <w:instrText xml:space="preserve">" </w:instrText>
      </w:r>
      <w:r w:rsidR="00363C1C">
        <w:fldChar w:fldCharType="end"/>
      </w:r>
      <w:r>
        <w:t xml:space="preserve"> unserer Frauen durch Weiße. Manche Männer sind totgeschossen (worden) wie Hunde, wenn sie sich weige</w:t>
      </w:r>
      <w:r>
        <w:t>r</w:t>
      </w:r>
      <w:r>
        <w:t>ten, ihre Frauen und Töchter preiszugeben und drohten, sie mit der Waffe in der Hand zu verteidigen. Wären solche Dinge nicht geschehen, wäre kein Krieg g</w:t>
      </w:r>
      <w:r>
        <w:t>e</w:t>
      </w:r>
      <w:r>
        <w:t>kommen, aber er ist bei solchen Vergewaltigungen</w:t>
      </w:r>
      <w:r w:rsidR="00363C1C">
        <w:fldChar w:fldCharType="begin"/>
      </w:r>
      <w:r w:rsidR="00AF5591">
        <w:instrText xml:space="preserve"> XE "</w:instrText>
      </w:r>
      <w:r w:rsidR="00AF5591" w:rsidRPr="00446C0E">
        <w:instrText>Vergewaltigung</w:instrText>
      </w:r>
      <w:r w:rsidR="00AF5591">
        <w:instrText xml:space="preserve">" </w:instrText>
      </w:r>
      <w:r w:rsidR="00363C1C">
        <w:fldChar w:fldCharType="end"/>
      </w:r>
      <w:r>
        <w:t xml:space="preserve"> ausgebrochen. Er war mit e</w:t>
      </w:r>
      <w:r>
        <w:t>i</w:t>
      </w:r>
      <w:r>
        <w:t>nem Male da, und da war kein Halten mehr, jeder rächte sich‘“</w:t>
      </w:r>
      <w:r w:rsidR="00C468B2">
        <w:t>.</w:t>
      </w:r>
      <w:r>
        <w:rPr>
          <w:rStyle w:val="Funotenzeichen"/>
        </w:rPr>
        <w:footnoteReference w:id="268"/>
      </w:r>
    </w:p>
    <w:p w:rsidR="00CF6655" w:rsidRDefault="00CF6655" w:rsidP="00504AE3">
      <w:pPr>
        <w:pStyle w:val="Titel2"/>
      </w:pPr>
      <w:bookmarkStart w:id="412" w:name="_Toc130260768"/>
      <w:bookmarkStart w:id="413" w:name="_Toc327388068"/>
      <w:r>
        <w:t>Kolonisation und Beherrschung</w:t>
      </w:r>
      <w:bookmarkEnd w:id="412"/>
      <w:bookmarkEnd w:id="413"/>
    </w:p>
    <w:p w:rsidR="00CF6655" w:rsidRDefault="00CF6655" w:rsidP="00504AE3">
      <w:pPr>
        <w:pStyle w:val="Text"/>
        <w:ind w:firstLine="0"/>
      </w:pPr>
      <w:r>
        <w:t xml:space="preserve">Beherrschung trat in den Kolonien in unzähligen, oft ineinander übergehenden Facetten in Erscheinung. Die im Folgenden dargestellten Aspekte können daher, stärker noch als in den vorausgegangenen Abschnitten, nicht als repräsentativ </w:t>
      </w:r>
      <w:r>
        <w:lastRenderedPageBreak/>
        <w:t>angesehen werden. Sie ergeben sich aus dem Material, das vom Tagebuch geli</w:t>
      </w:r>
      <w:r>
        <w:t>e</w:t>
      </w:r>
      <w:r>
        <w:t>fert wird, und können als Schlaglichter auf die Thematik verstanden werden.</w:t>
      </w:r>
    </w:p>
    <w:p w:rsidR="00CF6655" w:rsidRDefault="00CF6655" w:rsidP="00CF6655">
      <w:pPr>
        <w:pStyle w:val="Text"/>
      </w:pPr>
      <w:r>
        <w:t>Zugleich bezeichnen sie Schwerpunkte des Missionsinteresses (Mischehen</w:t>
      </w:r>
      <w:r w:rsidR="00811BBF">
        <w:softHyphen/>
      </w:r>
      <w:r>
        <w:t>frage</w:t>
      </w:r>
      <w:r w:rsidR="00363C1C">
        <w:fldChar w:fldCharType="begin"/>
      </w:r>
      <w:r w:rsidR="00811BBF">
        <w:instrText xml:space="preserve"> XE "</w:instrText>
      </w:r>
      <w:r w:rsidR="00811BBF" w:rsidRPr="00ED6C27">
        <w:instrText>Mischehen</w:instrText>
      </w:r>
      <w:r w:rsidR="00811BBF">
        <w:instrText xml:space="preserve">" </w:instrText>
      </w:r>
      <w:r w:rsidR="00363C1C">
        <w:fldChar w:fldCharType="end"/>
      </w:r>
      <w:r>
        <w:t>; Enteignung) oder des Interesses von Spiecker (Unterrichtsthematik), s</w:t>
      </w:r>
      <w:r>
        <w:t>o</w:t>
      </w:r>
      <w:r>
        <w:t>wie darüber hinaus solche Bereiche, in denen die Mission eine – häufig unrüh</w:t>
      </w:r>
      <w:r>
        <w:t>m</w:t>
      </w:r>
      <w:r>
        <w:t xml:space="preserve">liche – Rolle spielte, wie in der Arbeitsfrage (vgl. auch Abschnitt </w:t>
      </w:r>
      <w:r w:rsidR="00363C1C">
        <w:fldChar w:fldCharType="begin"/>
      </w:r>
      <w:r w:rsidR="00F85EA3">
        <w:instrText xml:space="preserve"> REF _Ref325356250 \r \h </w:instrText>
      </w:r>
      <w:r w:rsidR="00363C1C">
        <w:fldChar w:fldCharType="separate"/>
      </w:r>
      <w:r w:rsidR="00216538">
        <w:t>2.2.4.2</w:t>
      </w:r>
      <w:r w:rsidR="00363C1C">
        <w:fldChar w:fldCharType="end"/>
      </w:r>
      <w:r>
        <w:t>). Z</w:t>
      </w:r>
      <w:r>
        <w:t>u</w:t>
      </w:r>
      <w:r>
        <w:t xml:space="preserve">sätzlich ist auch der Abschnitt </w:t>
      </w:r>
      <w:r w:rsidR="00363C1C">
        <w:fldChar w:fldCharType="begin"/>
      </w:r>
      <w:r w:rsidR="00F85EA3">
        <w:instrText xml:space="preserve"> REF _Ref325356312 \r \h </w:instrText>
      </w:r>
      <w:r w:rsidR="00363C1C">
        <w:fldChar w:fldCharType="separate"/>
      </w:r>
      <w:r w:rsidR="00216538">
        <w:t>3.2.3</w:t>
      </w:r>
      <w:r w:rsidR="00363C1C">
        <w:fldChar w:fldCharType="end"/>
      </w:r>
      <w:r>
        <w:t xml:space="preserve"> „Sexuelle Beherrschung“, der in einen and</w:t>
      </w:r>
      <w:r>
        <w:t>e</w:t>
      </w:r>
      <w:r>
        <w:t>ren Kontext eingeordnet, aber mit Bedacht in unmittelbare Nähe dieses A</w:t>
      </w:r>
      <w:r>
        <w:t>b</w:t>
      </w:r>
      <w:r>
        <w:t>schnitts gerückt wurde, hier zu berücksichtigen.</w:t>
      </w:r>
    </w:p>
    <w:p w:rsidR="00CF6655" w:rsidRDefault="00CF6655" w:rsidP="00504AE3">
      <w:pPr>
        <w:pStyle w:val="Titel3"/>
      </w:pPr>
      <w:bookmarkStart w:id="414" w:name="_Toc130260769"/>
      <w:bookmarkStart w:id="415" w:name="_Ref325355042"/>
      <w:bookmarkStart w:id="416" w:name="_Toc327388069"/>
      <w:r>
        <w:t>Zwangsarbeit</w:t>
      </w:r>
      <w:bookmarkEnd w:id="414"/>
      <w:bookmarkEnd w:id="415"/>
      <w:bookmarkEnd w:id="416"/>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p>
    <w:p w:rsidR="00CF6655" w:rsidRDefault="00CF6655" w:rsidP="00504AE3">
      <w:pPr>
        <w:pStyle w:val="Text"/>
        <w:ind w:firstLine="0"/>
      </w:pPr>
      <w:r>
        <w:t>Wie wir bereits gesehen haben, trifft Spiecker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auf unterschiedliche Meinungen bezüglich der Arbeitsfrage:</w:t>
      </w:r>
    </w:p>
    <w:p w:rsidR="00CF6655" w:rsidRDefault="00CF6655" w:rsidP="00CF6655">
      <w:pPr>
        <w:pStyle w:val="Zitat"/>
      </w:pPr>
      <w:r>
        <w:t>Sehr gute Ansichten entwickelte er [Dr. Rohrbach</w:t>
      </w:r>
      <w:r w:rsidR="00363C1C">
        <w:fldChar w:fldCharType="begin"/>
      </w:r>
      <w:r w:rsidR="00D77D4F">
        <w:instrText xml:space="preserve"> XE "</w:instrText>
      </w:r>
      <w:r w:rsidR="00D77D4F" w:rsidRPr="00041500">
        <w:instrText>Rohrbach, Dr.</w:instrText>
      </w:r>
      <w:r w:rsidR="00D77D4F">
        <w:instrText xml:space="preserve">" </w:instrText>
      </w:r>
      <w:r w:rsidR="00363C1C">
        <w:fldChar w:fldCharType="end"/>
      </w:r>
      <w:r>
        <w:t>] über die Behandlung der Eingeborenen. Er hält es für unmöglich aus bisherigen Nomadenvölkern</w:t>
      </w:r>
      <w:r w:rsidR="00363C1C">
        <w:fldChar w:fldCharType="begin"/>
      </w:r>
      <w:r w:rsidR="00C468B2">
        <w:instrText xml:space="preserve"> XE "</w:instrText>
      </w:r>
      <w:r w:rsidR="00C468B2" w:rsidRPr="009E6142">
        <w:instrText>Nomaden</w:instrText>
      </w:r>
      <w:r w:rsidR="00C468B2">
        <w:instrText xml:space="preserve">" </w:instrText>
      </w:r>
      <w:r w:rsidR="00363C1C">
        <w:fldChar w:fldCharType="end"/>
      </w:r>
      <w:r>
        <w:t xml:space="preserve"> ohne Übergang arbeitende Völker zu machen. Die Regierung wird aber darin schwerlich nachgeben. Die Eingeborenen sind zur Arbeit da und müssen schon deshalb arbeiten, damit sie ihr Unrecht wieder gut machen. So sagte mir noch heute Morgen Major Märker</w:t>
      </w:r>
      <w:r w:rsidR="00363C1C">
        <w:fldChar w:fldCharType="begin"/>
      </w:r>
      <w:r w:rsidR="00E2128C">
        <w:instrText xml:space="preserve"> XE "</w:instrText>
      </w:r>
      <w:r w:rsidR="00E2128C" w:rsidRPr="007605EC">
        <w:instrText>Märker, Major (Windhuk)</w:instrText>
      </w:r>
      <w:r w:rsidR="00E2128C">
        <w:instrText xml:space="preserve">" </w:instrText>
      </w:r>
      <w:r w:rsidR="00363C1C">
        <w:fldChar w:fldCharType="end"/>
      </w:r>
      <w:r>
        <w:t>. (820)</w:t>
      </w:r>
    </w:p>
    <w:p w:rsidR="00CF6655" w:rsidRDefault="00CF6655" w:rsidP="00504AE3">
      <w:pPr>
        <w:pStyle w:val="Text"/>
        <w:ind w:firstLine="0"/>
      </w:pPr>
      <w:r>
        <w:t xml:space="preserve">Die Aussage Märkers dürfte eines der Probleme </w:t>
      </w:r>
      <w:r>
        <w:rPr>
          <w:i/>
          <w:iCs/>
        </w:rPr>
        <w:t xml:space="preserve">in nuce </w:t>
      </w:r>
      <w:r>
        <w:t>enthalten, das die Kol</w:t>
      </w:r>
      <w:r>
        <w:t>o</w:t>
      </w:r>
      <w:r>
        <w:t>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am effektiven Funktionieren hindert: Während die ‚liberale‘ Posit</w:t>
      </w:r>
      <w:r>
        <w:t>i</w:t>
      </w:r>
      <w:r>
        <w:t>on, hier vertreten durch Dr. Rohrbach</w:t>
      </w:r>
      <w:r w:rsidR="00363C1C">
        <w:fldChar w:fldCharType="begin"/>
      </w:r>
      <w:r w:rsidR="00D77D4F">
        <w:instrText xml:space="preserve"> XE "</w:instrText>
      </w:r>
      <w:r w:rsidR="00D77D4F" w:rsidRPr="00041500">
        <w:instrText>Rohrbach, Dr.</w:instrText>
      </w:r>
      <w:r w:rsidR="00D77D4F">
        <w:instrText xml:space="preserve">" </w:instrText>
      </w:r>
      <w:r w:rsidR="00363C1C">
        <w:fldChar w:fldCharType="end"/>
      </w:r>
      <w:r>
        <w:t>, die Andersartigkeit der einheimischen Kultur anerkennt, überträgt die konservativ gesinnte Regierung einfach die in Deutschland geltenden Maßstäbe auf Afrika. Wenn das nicht funktioniert, we</w:t>
      </w:r>
      <w:r>
        <w:t>r</w:t>
      </w:r>
      <w:r>
        <w:t>den Strafen und Zwang angewendet – eine sehr deutsche Herangehensweise, ist man versucht zu sagen. Aus Major Märkers Aussage geht auch hervor, mit we</w:t>
      </w:r>
      <w:r>
        <w:t>l</w:t>
      </w:r>
      <w:r>
        <w:t>cher Selbstverständlichkeit das Unrecht nur bei den Eingeborenen gesehen wird, die einen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begonnen haben und nun dafür büßen müssen. Hierin kön</w:t>
      </w:r>
      <w:r>
        <w:t>n</w:t>
      </w:r>
      <w:r>
        <w:t>te ein Grund dafür liegen, dass die Engländer in ihren afrikanischen Kolonien e</w:t>
      </w:r>
      <w:r>
        <w:t>r</w:t>
      </w:r>
      <w:r>
        <w:t>folgreicher im Umgang mit der Bevölkerung waren, was Spiecker immer wieder betont: Sie wussten, dass es auch eine Aufgabe der Kolonialregierung ist, ihre Anwesenheit zu rechtfertigen, beispielsweise durch eine Verbesserung der L</w:t>
      </w:r>
      <w:r>
        <w:t>e</w:t>
      </w:r>
      <w:r>
        <w:t>bensumstände. Ein Aufstand wie jener der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verweist, selbst wenn man ihn nur als ‚Aufruhr‘ und nicht als politisches Ereignis interpretiert, auf unmittelbare Missstände, die eine fähige Kolonialregierung vermieden hätte.</w:t>
      </w:r>
    </w:p>
    <w:p w:rsidR="00CF6655" w:rsidRDefault="00CF6655" w:rsidP="00CF6655">
      <w:pPr>
        <w:pStyle w:val="Text"/>
      </w:pPr>
      <w:r>
        <w:t>Die Deutschen glauben dagegen, noch nicht hart genug durchgegriffen zu haben, und nehmen den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zum Anlass für Strafmaßnahmen. So setzte man Zwangsarbeiter beim Eisenbahnbau</w:t>
      </w:r>
      <w:r w:rsidR="00363C1C">
        <w:fldChar w:fldCharType="begin"/>
      </w:r>
      <w:r w:rsidR="00AE4CA5">
        <w:instrText xml:space="preserve"> XE "</w:instrText>
      </w:r>
      <w:r w:rsidR="00AE4CA5" w:rsidRPr="0036291F">
        <w:instrText>Eisenbahnbau</w:instrText>
      </w:r>
      <w:r w:rsidR="00AE4CA5">
        <w:instrText xml:space="preserve">" </w:instrText>
      </w:r>
      <w:r w:rsidR="00363C1C">
        <w:fldChar w:fldCharType="end"/>
      </w:r>
      <w:r>
        <w:t xml:space="preserve"> ein, einer extrem harten Arbeit. An der Bauspitze der Ovambobahn beobachtet Spiecker die Baukolonnen. Sie arbeiten sechs Tage die Woche:</w:t>
      </w:r>
    </w:p>
    <w:p w:rsidR="00CF6655" w:rsidRDefault="00CF6655" w:rsidP="00CF6655">
      <w:pPr>
        <w:pStyle w:val="Zitat"/>
      </w:pPr>
      <w:r>
        <w:lastRenderedPageBreak/>
        <w:t xml:space="preserve">Morgens beginnt die Arbeit mit Sonnenaufgang und dauert bis 12 Uhr, </w:t>
      </w:r>
      <w:proofErr w:type="gramStart"/>
      <w:r>
        <w:t>Nac</w:t>
      </w:r>
      <w:r>
        <w:t>h</w:t>
      </w:r>
      <w:r>
        <w:t>mittags</w:t>
      </w:r>
      <w:proofErr w:type="gramEnd"/>
      <w:r>
        <w:t xml:space="preserve"> von 2 Uhr bis zum Dunkelwerden. Wir sahen so eine Kolonne an der Bahn arbeiten. Es war eine Freude ihnen zuzusehen, wie die Arbeit so frisch fortging und mit Eifer verrichtet wurde selbst von jungen Knaben. Kein Wu</w:t>
      </w:r>
      <w:r>
        <w:t>n</w:t>
      </w:r>
      <w:r>
        <w:t>der, daß die Otavibahn so vorwärts schreitet.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erhalten für die A</w:t>
      </w:r>
      <w:r>
        <w:t>r</w:t>
      </w:r>
      <w:r>
        <w:t>beit ihre Kost (2 Becher Reis täglich) und monatlich 5 Mark Lohn, die Frauen nur die Kost und keinen Lohn, auch keine Kleider. Die Otavibahn muß dann noch für jeden Herero monatlich eine gewisse Summe an das Gouvernement</w:t>
      </w:r>
      <w:r w:rsidR="00363C1C">
        <w:fldChar w:fldCharType="begin"/>
      </w:r>
      <w:r w:rsidR="00C221A5">
        <w:instrText xml:space="preserve"> XE "</w:instrText>
      </w:r>
      <w:r w:rsidR="00C221A5" w:rsidRPr="00592176">
        <w:instrText>Gouvernement</w:instrText>
      </w:r>
      <w:r w:rsidR="00C221A5">
        <w:instrText xml:space="preserve">" </w:instrText>
      </w:r>
      <w:r w:rsidR="00363C1C">
        <w:fldChar w:fldCharType="end"/>
      </w:r>
      <w:r>
        <w:t xml:space="preserve"> bezahlen. Es sind eben Kriegsgefangene, die das Gouvernement ihnen überläßt. Als ich die Ansicht äußerte, die Bezahlung sei zu gering für die harte Arbeit, meinte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w:t>
      </w:r>
      <w:r w:rsidR="00EB0B52">
        <w:t>„</w:t>
      </w:r>
      <w:r>
        <w:t>Die Leute müssen auch fühlen, daß sie Gefangene sind.</w:t>
      </w:r>
      <w:r w:rsidR="00EB0B52">
        <w:t>“</w:t>
      </w:r>
      <w:r>
        <w:t xml:space="preserve"> Auch meiner Ansicht nach wird ihnen diese harte Schule gut und heilsam sein. (952)</w:t>
      </w:r>
    </w:p>
    <w:p w:rsidR="00CF6655" w:rsidRDefault="00CF6655" w:rsidP="00504AE3">
      <w:pPr>
        <w:pStyle w:val="Text"/>
        <w:ind w:firstLine="0"/>
      </w:pPr>
      <w:r>
        <w:t>Wovon sollen die Eingeborenen geheilt werden? Offensichtlich vom Unruh</w:t>
      </w:r>
      <w:r>
        <w:t>e</w:t>
      </w:r>
      <w:r>
        <w:t>geist. Eine Arbeit wie diese, nimmt Spiecker wohl nicht zu Unrecht an, lässt i</w:t>
      </w:r>
      <w:r>
        <w:t>h</w:t>
      </w:r>
      <w:r>
        <w:t>nen keine Möglichkeit mehr, an Widerstand gegen die Deutschen zu denken. Dass hier auch Frauen und Kinder als „Kriegsgefangene“ bezeichnet werden – in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bespricht Spiecker mit dem Gouverneur die Frage der Kinderzwang</w:t>
      </w:r>
      <w:r>
        <w:t>s</w:t>
      </w:r>
      <w:r>
        <w:t>arbeit</w:t>
      </w:r>
      <w:r w:rsidR="00363C1C">
        <w:fldChar w:fldCharType="begin"/>
      </w:r>
      <w:r w:rsidR="001305A6">
        <w:instrText xml:space="preserve"> XE "</w:instrText>
      </w:r>
      <w:r w:rsidR="001305A6" w:rsidRPr="002C32F6">
        <w:instrText>Zwangsarbeit</w:instrText>
      </w:r>
      <w:r w:rsidR="001305A6">
        <w:instrText xml:space="preserve">" </w:instrText>
      </w:r>
      <w:r w:rsidR="00363C1C">
        <w:fldChar w:fldCharType="end"/>
      </w:r>
      <w:r>
        <w:t xml:space="preserve"> –,</w:t>
      </w:r>
      <w:r>
        <w:rPr>
          <w:rStyle w:val="Funotenzeichen"/>
        </w:rPr>
        <w:footnoteReference w:id="269"/>
      </w:r>
      <w:r>
        <w:t xml:space="preserve"> zeigt die andere Anwendung dieses Begriffes als in Europa, wo man nur gefangen genommene Soldaten so bezeichnet hätte.</w:t>
      </w:r>
    </w:p>
    <w:p w:rsidR="00CF6655" w:rsidRDefault="00CF6655" w:rsidP="00504AE3">
      <w:pPr>
        <w:pStyle w:val="Titel3"/>
      </w:pPr>
      <w:bookmarkStart w:id="417" w:name="_Toc122313653"/>
      <w:bookmarkStart w:id="418" w:name="_Toc122313741"/>
      <w:bookmarkStart w:id="419" w:name="_Toc130260770"/>
      <w:bookmarkStart w:id="420" w:name="_Toc327388070"/>
      <w:r>
        <w:t>Verbot von Mischehen</w:t>
      </w:r>
      <w:bookmarkEnd w:id="417"/>
      <w:bookmarkEnd w:id="418"/>
      <w:bookmarkEnd w:id="419"/>
      <w:bookmarkEnd w:id="420"/>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p>
    <w:p w:rsidR="00CF6655" w:rsidRDefault="00CF6655" w:rsidP="00504AE3">
      <w:pPr>
        <w:pStyle w:val="Text"/>
        <w:ind w:firstLine="0"/>
      </w:pPr>
      <w:r>
        <w:t>Mischehen</w:t>
      </w:r>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r>
        <w:t>, die in den Anfangszeiten der Mission an der Tagesordnung gewesen waren, wurden in der Kolonie zunehmend weniger toleriert und schließlich ganz verboten.</w:t>
      </w:r>
      <w:r>
        <w:rPr>
          <w:rStyle w:val="Funotenzeichen"/>
        </w:rPr>
        <w:footnoteReference w:id="270"/>
      </w:r>
      <w:r>
        <w:t xml:space="preserve"> Über diese Frage der Mischehen äußert sich Spiecker zunächst ei</w:t>
      </w:r>
      <w:r>
        <w:t>n</w:t>
      </w:r>
      <w:r>
        <w:t>deutig:</w:t>
      </w:r>
    </w:p>
    <w:p w:rsidR="00CF6655" w:rsidRDefault="00CF6655" w:rsidP="00CF6655">
      <w:pPr>
        <w:pStyle w:val="Zitat"/>
      </w:pPr>
      <w:r>
        <w:t>Es besteht die Absicht hier jede bürgerliche, also rechtliche Eheschließung zw</w:t>
      </w:r>
      <w:r>
        <w:t>i</w:t>
      </w:r>
      <w:r>
        <w:t>schen Weiß und Schwarz zu verbieten.</w:t>
      </w:r>
      <w:r>
        <w:rPr>
          <w:rStyle w:val="Funotenzeichen"/>
        </w:rPr>
        <w:footnoteReference w:id="271"/>
      </w:r>
      <w:r>
        <w:t xml:space="preserve"> Br.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r>
        <w:t xml:space="preserve"> hält das auf Grund seiner </w:t>
      </w:r>
      <w:r>
        <w:lastRenderedPageBreak/>
        <w:t>traurigen Erfahrungen mit solchen Ehen für richtig, während ich es für sehr unrecht halte, zumal da man das Konkubinat, das Zusammenleben von Weißen mit schwarzen Frauen nicht verbieten kann, ebensowenig wie den hier leider ganz gebräuchlichen geschlechtlichen Verkehr der Weißen mit schwarzen Frauen und Mädchen. So erscheint mir das Verbot einer rechtlichen Eheschli</w:t>
      </w:r>
      <w:r>
        <w:t>e</w:t>
      </w:r>
      <w:r>
        <w:t>ßung zwischen Weißen und Schwarzen der Ausfluß der schändlichen und ve</w:t>
      </w:r>
      <w:r>
        <w:t>r</w:t>
      </w:r>
      <w:r>
        <w:t>derblichen hier allgemein herrschenden Herrenmoral zu sein. Natürlich halte ich es für durchaus unrichtig, daß ein Weißer sich mit einer schwarzen Frau verbindet und erst recht eine weiße Frau mit einem schwarzen Mann, was hier wohl auch nicht vorkommt. Die soziale Kluft ist vorläufig zu groß, als daß ein gedeihliches eheliches Zusammenleben möglich ist. (579f)</w:t>
      </w:r>
    </w:p>
    <w:p w:rsidR="00CF6655" w:rsidRDefault="00CF6655" w:rsidP="00504AE3">
      <w:pPr>
        <w:pStyle w:val="Text"/>
        <w:ind w:firstLine="0"/>
      </w:pPr>
      <w:r>
        <w:t>Spieckers Analyse der Situation ist hier durchaus scharfsichtig; er erkennt den Abstand zwischen Schwarzen und Weißen als „soziale Kluft“, also als gesel</w:t>
      </w:r>
      <w:r>
        <w:t>l</w:t>
      </w:r>
      <w:r>
        <w:t>schaftlich verursachte und nicht etwa naturgegebene Einteilung. Zugleich att</w:t>
      </w:r>
      <w:r>
        <w:t>a</w:t>
      </w:r>
      <w:r>
        <w:t>ckiert er scharf den kulturellen Überlegenheitsdünkel der Kolonisatoren. Die Überlegung, dass keine absoluten (intellektuellen, kulturellen oder moralischen) Unterschiede, sondern die soziale Ungleichheit die Mischehen</w:t>
      </w:r>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r>
        <w:t xml:space="preserve"> schwierig macht, kommt einer marxistischen Analyse im Ergebnis schon recht nahe: Das Sein (die soziale Position) bestimmt das Bewusstsein; und wo dieses zu unterschiedlich ist, ist kein „gedeihliches eheliches Zusammenleben möglich“, das nach christl</w:t>
      </w:r>
      <w:r>
        <w:t>i</w:t>
      </w:r>
      <w:r>
        <w:t>chem Verständnis ohne geistige Nähe nicht denkbar ist.</w:t>
      </w:r>
    </w:p>
    <w:p w:rsidR="00CF6655" w:rsidRDefault="00CF6655" w:rsidP="00CF6655">
      <w:pPr>
        <w:pStyle w:val="Text"/>
      </w:pPr>
      <w:r>
        <w:t>Auf der Konferenz in Otjimbingue</w:t>
      </w:r>
      <w:r w:rsidR="00363C1C">
        <w:fldChar w:fldCharType="begin"/>
      </w:r>
      <w:r w:rsidR="00FD439D">
        <w:instrText xml:space="preserve"> XE "</w:instrText>
      </w:r>
      <w:r w:rsidR="00FD439D" w:rsidRPr="00374FA4">
        <w:instrText>Otjimbingue</w:instrText>
      </w:r>
      <w:r w:rsidR="00FD439D">
        <w:instrText xml:space="preserve">" </w:instrText>
      </w:r>
      <w:r w:rsidR="00363C1C">
        <w:fldChar w:fldCharType="end"/>
      </w:r>
      <w:r>
        <w:t xml:space="preserve"> hatten die Brüder noch für eine Schli</w:t>
      </w:r>
      <w:r>
        <w:t>e</w:t>
      </w:r>
      <w:r>
        <w:t>ßung von Mischehen</w:t>
      </w:r>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r>
        <w:t xml:space="preserve"> durch die Mission votiert (1410). Beim späteren Gespräch mit dem Gouverneur erfährt Spiecker: „In der Rassenmischehenfrage</w:t>
      </w:r>
      <w:r w:rsidR="00363C1C">
        <w:fldChar w:fldCharType="begin"/>
      </w:r>
      <w:r w:rsidR="00811BBF">
        <w:instrText xml:space="preserve"> XE "</w:instrText>
      </w:r>
      <w:r w:rsidR="00811BBF" w:rsidRPr="00A504AD">
        <w:instrText>Mischehen</w:instrText>
      </w:r>
      <w:r w:rsidR="00811BBF">
        <w:instrText xml:space="preserve">" </w:instrText>
      </w:r>
      <w:r w:rsidR="00363C1C">
        <w:fldChar w:fldCharType="end"/>
      </w:r>
      <w:r>
        <w:t xml:space="preserve"> will der Gouverneur nicht nachgeben. Er stellt die Sache jetzt so dar: Die Ehen von We</w:t>
      </w:r>
      <w:r>
        <w:t>i</w:t>
      </w:r>
      <w:r>
        <w:t>ßen mit Eingeborenen sollen Geltung haben, aber ebenso behandelt werden wie Ehen von Eingeborenen unter einander. Der Weiße, der mit einer Eingeborenen in die Ehe tritt, sinkt auf die Stufe der Eingeborenen hinab. Wer die Verhältnisse hier kennt, wird gegen diese Ansicht nicht viel sagen können.“ (1474)</w:t>
      </w:r>
    </w:p>
    <w:p w:rsidR="00CF6655" w:rsidRDefault="00CF6655" w:rsidP="00CF6655">
      <w:pPr>
        <w:pStyle w:val="Text"/>
      </w:pPr>
      <w:r>
        <w:t>An den Weihnachtstagen 1905 hatte Spiecker mit Hilfe eines uralten G</w:t>
      </w:r>
      <w:r>
        <w:t>e</w:t>
      </w:r>
      <w:r>
        <w:t>meindemitglieds die Geschichte Steinkopfs</w:t>
      </w:r>
      <w:r w:rsidR="00363C1C">
        <w:fldChar w:fldCharType="begin"/>
      </w:r>
      <w:r w:rsidR="00CD069E">
        <w:instrText xml:space="preserve"> XE "</w:instrText>
      </w:r>
      <w:r w:rsidR="00CD069E" w:rsidRPr="005E4837">
        <w:instrText>Steinkopf</w:instrText>
      </w:r>
      <w:r w:rsidR="00CD069E">
        <w:instrText xml:space="preserve">" </w:instrText>
      </w:r>
      <w:r w:rsidR="00363C1C">
        <w:fldChar w:fldCharType="end"/>
      </w:r>
      <w:r>
        <w:t xml:space="preserve"> rekonstruiert, von dem er beispiel</w:t>
      </w:r>
      <w:r>
        <w:t>s</w:t>
      </w:r>
      <w:r>
        <w:t>weise erfuhr, dass der dortige Missionsgründer Wimmer</w:t>
      </w:r>
      <w:r w:rsidR="00363C1C">
        <w:fldChar w:fldCharType="begin"/>
      </w:r>
      <w:r w:rsidR="00C41F3A">
        <w:instrText xml:space="preserve"> XE "</w:instrText>
      </w:r>
      <w:r w:rsidR="00C41F3A" w:rsidRPr="00414B24">
        <w:instrText>Wimmer, Br.</w:instrText>
      </w:r>
      <w:r w:rsidR="00C41F3A">
        <w:instrText xml:space="preserve">" </w:instrText>
      </w:r>
      <w:r w:rsidR="00363C1C">
        <w:fldChar w:fldCharType="end"/>
      </w:r>
      <w:r>
        <w:t xml:space="preserve"> eine „Hottentottin“ und in zweiter Ehe ein „Bastardmädchen“ geheiratet habe. Damit stand er damals wohl nicht allein, wie auch der Kommentar Spieckers zeigt: „Dieses Heiraten von eingeborenen Frauen seitens der alten Missionare war doch eine vielleicht sehr gut gemeinte Verirrung.“ (397)</w:t>
      </w:r>
    </w:p>
    <w:p w:rsidR="00CF6655" w:rsidRDefault="00CF6655" w:rsidP="00CF6655">
      <w:pPr>
        <w:pStyle w:val="Text"/>
      </w:pPr>
      <w:r>
        <w:t>Die alten Zeiten sind vorbei, und bei der Konferenz 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geht schließlich auch Spiecker von seinem Standpunkt ab:</w:t>
      </w:r>
    </w:p>
    <w:p w:rsidR="00CF6655" w:rsidRDefault="00CF6655" w:rsidP="00CF6655">
      <w:pPr>
        <w:pStyle w:val="Zitat"/>
      </w:pPr>
      <w:r>
        <w:lastRenderedPageBreak/>
        <w:t>Heute Nachmittag berieten wir über die Rassenmischehenfrage</w:t>
      </w:r>
      <w:r w:rsidR="00363C1C">
        <w:fldChar w:fldCharType="begin"/>
      </w:r>
      <w:r w:rsidR="005A705C">
        <w:instrText xml:space="preserve"> XE "</w:instrText>
      </w:r>
      <w:r w:rsidR="005A705C" w:rsidRPr="000F7F51">
        <w:instrText>Mischehen</w:instrText>
      </w:r>
      <w:r w:rsidR="005A705C">
        <w:instrText xml:space="preserve">" </w:instrText>
      </w:r>
      <w:r w:rsidR="00363C1C">
        <w:fldChar w:fldCharType="end"/>
      </w:r>
      <w:r>
        <w:t>. Durch ein neuerliches Schreiben des Gouverneurs an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daß solche Ehen weder bürgerlich noch kirchlich geschlossen werden dürfen, ist die Frage in ein ganz neues Stadium getreten. Die hiesigen Brüder sind auf Grund vielfacher Erfa</w:t>
      </w:r>
      <w:r>
        <w:t>h</w:t>
      </w:r>
      <w:r>
        <w:t>rung schmerzlicher Art ohne Ausnahme entschiedene Gegner solcher Ehen. Sie halten es nicht für ratsam, daß wir Missionsleute oder auch der Missionsvo</w:t>
      </w:r>
      <w:r>
        <w:t>r</w:t>
      </w:r>
      <w:r>
        <w:t>stand für das Recht solcher unnatürlicher Ehen eintreten und uns dadurch in Gegensatz stellen zu der gesamten weißen Bevölkerung des Schutzgebietes. Nach einigem Widerstreben mußte ich mich der Anschauung der Brüder a</w:t>
      </w:r>
      <w:r>
        <w:t>n</w:t>
      </w:r>
      <w:r>
        <w:t>schließen. (1695f)</w:t>
      </w:r>
    </w:p>
    <w:p w:rsidR="00CF6655" w:rsidRDefault="00CF6655" w:rsidP="00504AE3">
      <w:pPr>
        <w:pStyle w:val="Titel3"/>
      </w:pPr>
      <w:bookmarkStart w:id="421" w:name="_Toc122313654"/>
      <w:bookmarkStart w:id="422" w:name="_Toc122313742"/>
      <w:bookmarkStart w:id="423" w:name="_Toc130260771"/>
      <w:bookmarkStart w:id="424" w:name="_Toc327388071"/>
      <w:r>
        <w:t>Unterricht auf Deutsch</w:t>
      </w:r>
      <w:bookmarkEnd w:id="421"/>
      <w:bookmarkEnd w:id="422"/>
      <w:bookmarkEnd w:id="423"/>
      <w:bookmarkEnd w:id="424"/>
    </w:p>
    <w:p w:rsidR="00CF6655" w:rsidRDefault="00CF6655" w:rsidP="00504AE3">
      <w:pPr>
        <w:pStyle w:val="Text"/>
        <w:ind w:firstLine="0"/>
      </w:pPr>
      <w:r>
        <w:t>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besucht Spiecker eine der Regierungsschulen für die Eingeborenen.</w:t>
      </w:r>
    </w:p>
    <w:p w:rsidR="00CF6655" w:rsidRDefault="00CF6655" w:rsidP="00CF6655">
      <w:pPr>
        <w:pStyle w:val="Zitat"/>
      </w:pPr>
      <w:r>
        <w:t>Da […] der Lehrer Gemeindeglied ist und mir seine Schüler gerne vorstellte, habe ich eine Art Revision abgehalten. Der Lehrer Simon Davids muß in deu</w:t>
      </w:r>
      <w:r>
        <w:t>t</w:t>
      </w:r>
      <w:r>
        <w:t>scher Sprache unterrichten. Ein Teil der etwa 30 Schüler konnte auch ganz gut deutsch lesen und schreiben, aber sie verstanden nichts von dem, was sie lasen oder schrieben.</w:t>
      </w:r>
      <w:r>
        <w:rPr>
          <w:rStyle w:val="Funotenzeichen"/>
        </w:rPr>
        <w:footnoteReference w:id="272"/>
      </w:r>
      <w:r>
        <w:t xml:space="preserve"> Ein so gedankenloses und geisttötendes Schulehalten ist mir noch nicht begegnet. Der treue Lehrer kann dafür nicht verantwortlich g</w:t>
      </w:r>
      <w:r>
        <w:t>e</w:t>
      </w:r>
      <w:r>
        <w:t>macht werden, sondern die Regierung, die […] solch lächerliche Einrichtungen trifft. (1001)</w:t>
      </w:r>
    </w:p>
    <w:p w:rsidR="00CF6655" w:rsidRDefault="00CF6655" w:rsidP="00504AE3">
      <w:pPr>
        <w:pStyle w:val="Text"/>
        <w:ind w:firstLine="0"/>
      </w:pPr>
      <w:r>
        <w:t>Spiecker kann zumindest für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eine Änderung erreichen: „Er [der Bezirk</w:t>
      </w:r>
      <w:r>
        <w:t>s</w:t>
      </w:r>
      <w:r>
        <w:t>amtssekretär] war […] damit einverstanden, daß der Unterricht in der Namasprache</w:t>
      </w:r>
      <w:r w:rsidR="00363C1C">
        <w:fldChar w:fldCharType="begin"/>
      </w:r>
      <w:r w:rsidR="007866A1">
        <w:instrText xml:space="preserve"> XE "</w:instrText>
      </w:r>
      <w:r w:rsidR="007866A1" w:rsidRPr="00615B8F">
        <w:instrText>Nama (Sprache)</w:instrText>
      </w:r>
      <w:r w:rsidR="007866A1">
        <w:instrText xml:space="preserve">" </w:instrText>
      </w:r>
      <w:r w:rsidR="00363C1C">
        <w:fldChar w:fldCharType="end"/>
      </w:r>
      <w:r>
        <w:t xml:space="preserve"> erteilt werde. […] Natürlich muß auch im Deutschen Unterricht gegeben werden. Nur soll es nicht mehr die Unterrichtssprache sein“ (1020f); ein sinnvoller Kompromiss, da Deutsch ja Amtssprache ist.</w:t>
      </w:r>
    </w:p>
    <w:p w:rsidR="00CF6655" w:rsidRDefault="00CF6655" w:rsidP="00CF6655">
      <w:pPr>
        <w:pStyle w:val="Text"/>
      </w:pPr>
      <w:r>
        <w:t>Die Mission ist vernünftiger und unterrichtet zunächst in der jeweiligen Muttersprache der Kinder, Deutsch bleibt den Fortgeschrittenen vorbehalten. Deutsche Lieder werden allerdings überall gern gesungen. Wir wissen nicht, ob die Kinder den beigebrachten Text verstehen, wenn sie Spiecker in Okahandja</w:t>
      </w:r>
      <w:r w:rsidR="00363C1C">
        <w:fldChar w:fldCharType="begin"/>
      </w:r>
      <w:r w:rsidR="00D20257">
        <w:instrText xml:space="preserve"> XE "</w:instrText>
      </w:r>
      <w:r w:rsidR="00D20257" w:rsidRPr="0056475F">
        <w:instrText>Okahandja</w:instrText>
      </w:r>
      <w:r w:rsidR="00D20257">
        <w:instrText xml:space="preserve">" </w:instrText>
      </w:r>
      <w:r w:rsidR="00363C1C">
        <w:fldChar w:fldCharType="end"/>
      </w:r>
      <w:r>
        <w:t xml:space="preserve"> singend begrüßen: „Da schnalzten sie Nama</w:t>
      </w:r>
      <w:r w:rsidR="00363C1C">
        <w:fldChar w:fldCharType="begin"/>
      </w:r>
      <w:r w:rsidR="003264BA">
        <w:instrText xml:space="preserve"> XE "</w:instrText>
      </w:r>
      <w:r w:rsidR="003264BA" w:rsidRPr="001F563C">
        <w:instrText>Nama</w:instrText>
      </w:r>
      <w:r w:rsidR="007866A1">
        <w:instrText xml:space="preserve"> (Sprache)</w:instrText>
      </w:r>
      <w:r w:rsidR="003264BA">
        <w:instrText xml:space="preserve">" </w:instrText>
      </w:r>
      <w:r w:rsidR="00363C1C">
        <w:fldChar w:fldCharType="end"/>
      </w:r>
      <w:r>
        <w:t xml:space="preserve"> und andere unverständliche Laute drangen an mein Ohr, auch deutsche Worte. Auf einmal sangen sie: "Deutsc</w:t>
      </w:r>
      <w:r>
        <w:t>h</w:t>
      </w:r>
      <w:r>
        <w:t>land, Deutschland über alles".“ (515)</w:t>
      </w:r>
    </w:p>
    <w:p w:rsidR="00CF6655" w:rsidRDefault="00CF6655" w:rsidP="00197763">
      <w:pPr>
        <w:pStyle w:val="Titel3"/>
      </w:pPr>
      <w:bookmarkStart w:id="425" w:name="_Toc122313660"/>
      <w:bookmarkStart w:id="426" w:name="_Toc122313748"/>
      <w:bookmarkStart w:id="427" w:name="_Toc130260772"/>
      <w:bookmarkStart w:id="428" w:name="_Ref325356190"/>
      <w:bookmarkStart w:id="429" w:name="_Toc327388072"/>
      <w:r>
        <w:t>Paternalis</w:t>
      </w:r>
      <w:bookmarkEnd w:id="425"/>
      <w:bookmarkEnd w:id="426"/>
      <w:r>
        <w:t>mus</w:t>
      </w:r>
      <w:bookmarkEnd w:id="427"/>
      <w:bookmarkEnd w:id="428"/>
      <w:bookmarkEnd w:id="429"/>
      <w:r w:rsidR="00363C1C">
        <w:fldChar w:fldCharType="begin"/>
      </w:r>
      <w:r w:rsidR="00AF5591">
        <w:instrText xml:space="preserve"> XE "</w:instrText>
      </w:r>
      <w:r w:rsidR="00AF5591" w:rsidRPr="00456CFD">
        <w:instrText>Paternalismus</w:instrText>
      </w:r>
      <w:r w:rsidR="00AF5591">
        <w:instrText xml:space="preserve">" </w:instrText>
      </w:r>
      <w:r w:rsidR="00363C1C">
        <w:fldChar w:fldCharType="end"/>
      </w:r>
    </w:p>
    <w:p w:rsidR="00CF6655" w:rsidRDefault="00CF6655" w:rsidP="00197763">
      <w:pPr>
        <w:pStyle w:val="Text"/>
        <w:ind w:firstLine="0"/>
      </w:pPr>
      <w:r>
        <w:t>In kleinen Verhaltensmustern drückt sich abseits der großen Problemfelder das Verhältnis Kolonisatoren-Kolonisierte aus. Die beiläufige Erwähnung solcher Episoden scheint darauf hinzudeuten, dass Spiecker kein entsprechendes Pro</w:t>
      </w:r>
      <w:r>
        <w:t>b</w:t>
      </w:r>
      <w:r>
        <w:lastRenderedPageBreak/>
        <w:t>lembewusstsein besitzt; wo das Autoritätsverhältnis funktioniert, fällt es ihm nicht negativ auf. So kann er die zentralen Unterdrückungsmechanismen, wie die sexuelle Beherrschung und die Ungleichheit zwischen weiß und schwarz, die er durchaus wahrnimmt und zu mildern versucht, nicht auf der Folie ihres ideolog</w:t>
      </w:r>
      <w:r>
        <w:t>i</w:t>
      </w:r>
      <w:r>
        <w:t>schen Hintergrunds verstehen. Dabei sprechen die alltäglichen Asymmetrien e</w:t>
      </w:r>
      <w:r>
        <w:t>i</w:t>
      </w:r>
      <w:r>
        <w:t>ne klare Sprache.</w:t>
      </w:r>
    </w:p>
    <w:p w:rsidR="00CF6655" w:rsidRDefault="00CF6655" w:rsidP="00CF6655">
      <w:pPr>
        <w:pStyle w:val="Text"/>
      </w:pPr>
      <w:r>
        <w:t>In der Kapkolonie stellt Spiecker beispielsweise fest, dass sich Eingeborene (zumindest aber eingeborene Dienstleute) in der Gegenwart von Weißen nicht setzen. Er bringt daher zwei ältere Dienstmädchen – beides sind schon ältere Frauen – in erhebliche Verlegenheit, als er sie auffordert, sich zu setzen. „Sie standen schnell wieder auf und grüßten“, d</w:t>
      </w:r>
      <w:r w:rsidR="00A27C71">
        <w:t xml:space="preserve">as </w:t>
      </w:r>
      <w:r>
        <w:t>h</w:t>
      </w:r>
      <w:r w:rsidR="00A27C71">
        <w:t>eißt</w:t>
      </w:r>
      <w:r>
        <w:t xml:space="preserve"> verabschiedeten sich. (108)</w:t>
      </w:r>
    </w:p>
    <w:p w:rsidR="00CF6655" w:rsidRDefault="00CF6655" w:rsidP="00CF6655">
      <w:pPr>
        <w:pStyle w:val="Text"/>
      </w:pPr>
      <w:r>
        <w:t>Ein plastisches Beispiel für den Paternalismus</w:t>
      </w:r>
      <w:r w:rsidR="00363C1C">
        <w:fldChar w:fldCharType="begin"/>
      </w:r>
      <w:r w:rsidR="00AF5591">
        <w:instrText xml:space="preserve"> XE "</w:instrText>
      </w:r>
      <w:r w:rsidR="00AF5591" w:rsidRPr="00456CFD">
        <w:instrText>Paternalismus</w:instrText>
      </w:r>
      <w:r w:rsidR="00AF5591">
        <w:instrText xml:space="preserve">" </w:instrText>
      </w:r>
      <w:r w:rsidR="00363C1C">
        <w:fldChar w:fldCharType="end"/>
      </w:r>
      <w:r>
        <w:t xml:space="preserve"> der Missionare findet sich auch bei Spiecker: Zwei Kranke im Lazarett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die kämpfend angetro</w:t>
      </w:r>
      <w:r>
        <w:t>f</w:t>
      </w:r>
      <w:r>
        <w:t>fen werden, müssen mit Gewalt auseinandergerissen werden: „Bruder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r>
        <w:t xml:space="preserve"> stieß zuerst die Köpfe ordentlich zusammen, ohrfeigte beide tüchtig und rieß sie dann auseinander.“ (763) Diese nach heutigen Maßstäben ruppige Behandlung en</w:t>
      </w:r>
      <w:r>
        <w:t>t</w:t>
      </w:r>
      <w:r>
        <w:t>spricht dem damals üblichen Umgang mit Kindern, die man beim Balgen e</w:t>
      </w:r>
      <w:r>
        <w:t>r</w:t>
      </w:r>
      <w:r>
        <w:t>wischt. Die Schwarzen werden von den Einwanderern wie Kinder wahrgeno</w:t>
      </w:r>
      <w:r>
        <w:t>m</w:t>
      </w:r>
      <w:r>
        <w:t>men und dementsprechend behandelt.</w:t>
      </w:r>
    </w:p>
    <w:p w:rsidR="00CF6655" w:rsidRDefault="00CF6655" w:rsidP="00CF6655">
      <w:pPr>
        <w:pStyle w:val="Text"/>
      </w:pPr>
      <w:r>
        <w:t>Und es gibt auch Weiße, die die Schwarzen gar nicht für richtige Menschen halten, obwohl sie eng mit ihnen zusammenleben. So leben auf der kleinen Mil</w:t>
      </w:r>
      <w:r>
        <w:t>i</w:t>
      </w:r>
      <w:r>
        <w:t>tärstation Okaukuejo</w:t>
      </w:r>
      <w:r w:rsidR="00363C1C">
        <w:fldChar w:fldCharType="begin"/>
      </w:r>
      <w:r w:rsidR="00C05598">
        <w:instrText xml:space="preserve"> XE "</w:instrText>
      </w:r>
      <w:r w:rsidR="00C05598" w:rsidRPr="00351C34">
        <w:instrText>Okaukuejo</w:instrText>
      </w:r>
      <w:r w:rsidR="00C05598">
        <w:instrText xml:space="preserve">" </w:instrText>
      </w:r>
      <w:r w:rsidR="00363C1C">
        <w:fldChar w:fldCharType="end"/>
      </w:r>
      <w:r>
        <w:t xml:space="preserve"> an Weißen neben einigen Soldaten nur ein Händler und der Distriktschef, Leutnant von Frankenberg</w:t>
      </w:r>
      <w:r w:rsidR="00363C1C">
        <w:fldChar w:fldCharType="begin"/>
      </w:r>
      <w:r w:rsidR="00330B2C">
        <w:instrText xml:space="preserve"> XE "</w:instrText>
      </w:r>
      <w:r w:rsidR="00330B2C" w:rsidRPr="007E7ECF">
        <w:instrText>Frankenberg, Leutnant von</w:instrText>
      </w:r>
      <w:r w:rsidR="00330B2C">
        <w:instrText xml:space="preserve">" </w:instrText>
      </w:r>
      <w:r w:rsidR="00363C1C">
        <w:fldChar w:fldCharType="end"/>
      </w:r>
      <w:r>
        <w:t>. „Er meinte z.B. die Buschleute seien das Mittelglied zwischen Mensch und Tier. Ich machte ihn auf die Sprache aufmerksam, wodurch eine unübersteigbare Kluft zwischen Mensch und Tier gebildet sei. Dem konnte er nichts entgegensetzen.“ (1044f)</w:t>
      </w:r>
    </w:p>
    <w:p w:rsidR="00CF6655" w:rsidRDefault="00CF6655" w:rsidP="00197763">
      <w:pPr>
        <w:pStyle w:val="Titel3"/>
      </w:pPr>
      <w:bookmarkStart w:id="430" w:name="_Toc122313655"/>
      <w:bookmarkStart w:id="431" w:name="_Toc122313743"/>
      <w:bookmarkStart w:id="432" w:name="_Toc130260773"/>
      <w:bookmarkStart w:id="433" w:name="_Toc327388073"/>
      <w:r>
        <w:t>Demütigungen</w:t>
      </w:r>
      <w:bookmarkEnd w:id="430"/>
      <w:bookmarkEnd w:id="431"/>
      <w:bookmarkEnd w:id="432"/>
      <w:bookmarkEnd w:id="433"/>
    </w:p>
    <w:p w:rsidR="00CF6655" w:rsidRDefault="00CF6655" w:rsidP="00197763">
      <w:pPr>
        <w:pStyle w:val="Text"/>
        <w:ind w:firstLine="0"/>
      </w:pPr>
      <w:r>
        <w:t>Ob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oder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(letztere haben Hilfstruppen gegen den Hereroaufstand gestellt; 672), alle sind von Unterdrückungsmaßnahmen betro</w:t>
      </w:r>
      <w:r>
        <w:t>f</w:t>
      </w:r>
      <w:r>
        <w:t>fen, wie hier 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abseits des Krieges:</w:t>
      </w:r>
    </w:p>
    <w:p w:rsidR="00CF6655" w:rsidRDefault="00CF6655" w:rsidP="00CF6655">
      <w:pPr>
        <w:pStyle w:val="Zitat"/>
      </w:pPr>
      <w:r>
        <w:t>Schon früh kamen etwa 6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xml:space="preserve"> mit dem Werftältesten, um […] sich zu beschweren über das brutale Vorgehen des hiesigen Distriktschefs Leutnant Hellmich</w:t>
      </w:r>
      <w:r w:rsidR="00363C1C">
        <w:fldChar w:fldCharType="begin"/>
      </w:r>
      <w:r w:rsidR="00997EE2">
        <w:instrText xml:space="preserve"> XE "</w:instrText>
      </w:r>
      <w:r w:rsidR="00997EE2" w:rsidRPr="00B8611A">
        <w:instrText>Hellmich, Leutnant</w:instrText>
      </w:r>
      <w:r w:rsidR="00997EE2">
        <w:instrText xml:space="preserve">" </w:instrText>
      </w:r>
      <w:r w:rsidR="00363C1C">
        <w:fldChar w:fldCharType="end"/>
      </w:r>
      <w:r>
        <w:t>. Er ließ heute vor Tagesgrauen die Bergdamrawerft von Soldaten u</w:t>
      </w:r>
      <w:r>
        <w:t>m</w:t>
      </w:r>
      <w:r>
        <w:t>stellen und dann alle aus dem Pontoko [sic] herausholen. Sie waren zu Tode e</w:t>
      </w:r>
      <w:r>
        <w:t>r</w:t>
      </w:r>
      <w:r>
        <w:t>schrocken, als sie die bewaffneten Soldaten sahen. Es wurde dann aber nur die Zahl der Männer festgestellt. […] Ich versprach den Leuten, ich wolle in der Sache nach Windhuk</w:t>
      </w:r>
      <w:r w:rsidR="00363C1C">
        <w:fldChar w:fldCharType="begin"/>
      </w:r>
      <w:r w:rsidR="00D20257">
        <w:instrText xml:space="preserve"> XE "</w:instrText>
      </w:r>
      <w:r w:rsidR="00D20257" w:rsidRPr="001870D2">
        <w:instrText>Windhuk</w:instrText>
      </w:r>
      <w:r w:rsidR="00D20257">
        <w:instrText xml:space="preserve">" </w:instrText>
      </w:r>
      <w:r w:rsidR="00363C1C">
        <w:fldChar w:fldCharType="end"/>
      </w:r>
      <w:r>
        <w:t xml:space="preserve"> schreiben und beruhigte und ermahnte sie sich stille zu halten und nichts </w:t>
      </w:r>
      <w:r w:rsidR="00997EE2">
        <w:t>U</w:t>
      </w:r>
      <w:r>
        <w:t>nbedachtes zu tun. (1267)</w:t>
      </w:r>
    </w:p>
    <w:p w:rsidR="00CF6655" w:rsidRDefault="00CF6655" w:rsidP="00E96FA8">
      <w:pPr>
        <w:pStyle w:val="Text"/>
        <w:ind w:firstLine="0"/>
      </w:pPr>
      <w:r>
        <w:t xml:space="preserve">Vor allem die geplante öffentliche Zwangsuntersuchung aller einheimischen Frauen auf „schlechte Krankheiten“ (756) ist immer wieder ein Thema (auch </w:t>
      </w:r>
      <w:r>
        <w:lastRenderedPageBreak/>
        <w:t>703, 786 u.a.), das vor allem die Ältesten immer wieder zur Sprache bringen, d</w:t>
      </w:r>
      <w:r>
        <w:t>e</w:t>
      </w:r>
      <w:r>
        <w:t>ren eigene Frauen und Töchter betroffen sind. Es geht um Geschlechtskrankhe</w:t>
      </w:r>
      <w:r>
        <w:t>i</w:t>
      </w:r>
      <w:r>
        <w:t>ten</w:t>
      </w:r>
      <w:r w:rsidR="00363C1C">
        <w:fldChar w:fldCharType="begin"/>
      </w:r>
      <w:r w:rsidR="00763E6B">
        <w:instrText xml:space="preserve"> XE "</w:instrText>
      </w:r>
      <w:r w:rsidR="00763E6B" w:rsidRPr="005D4C40">
        <w:instrText>Geschlechtskrankheiten</w:instrText>
      </w:r>
      <w:r w:rsidR="00763E6B">
        <w:instrText xml:space="preserve">" </w:instrText>
      </w:r>
      <w:r w:rsidR="00363C1C">
        <w:fldChar w:fldCharType="end"/>
      </w:r>
      <w:r>
        <w:t>, die im Gegensatz zum sonstigen Gesundheitszustand der Schwarzen von I</w:t>
      </w:r>
      <w:r>
        <w:t>n</w:t>
      </w:r>
      <w:r>
        <w:t>teresse sind. In den Gefangenenkraalen</w:t>
      </w:r>
      <w:r w:rsidR="00363C1C">
        <w:fldChar w:fldCharType="begin"/>
      </w:r>
      <w:r w:rsidR="00B12E9F">
        <w:instrText xml:space="preserve"> XE "</w:instrText>
      </w:r>
      <w:r w:rsidR="00B12E9F" w:rsidRPr="002E5033">
        <w:instrText>Kraal</w:instrText>
      </w:r>
      <w:r w:rsidR="00B12E9F">
        <w:instrText xml:space="preserve">" </w:instrText>
      </w:r>
      <w:r w:rsidR="00363C1C">
        <w:fldChar w:fldCharType="end"/>
      </w:r>
      <w:r>
        <w:t xml:space="preserve"> müssen die infizierten Frauen gelbe Bi</w:t>
      </w:r>
      <w:r>
        <w:t>n</w:t>
      </w:r>
      <w:r>
        <w:t xml:space="preserve">den tragen (1326); in den Gemeinden ist vermutlich eher eine Namensliste der Kranken vorgesehen. Die Untersuchung hat nur den Zweck, Ansteckungen von Weißen zu verhindern (s. Abschnitt </w:t>
      </w:r>
      <w:r w:rsidR="00363C1C">
        <w:fldChar w:fldCharType="begin"/>
      </w:r>
      <w:r w:rsidR="00E2543C">
        <w:instrText xml:space="preserve"> REF _Ref325356495 \r \h </w:instrText>
      </w:r>
      <w:r w:rsidR="00363C1C">
        <w:fldChar w:fldCharType="separate"/>
      </w:r>
      <w:r w:rsidR="00216538">
        <w:t>3.2.3</w:t>
      </w:r>
      <w:r w:rsidR="00363C1C">
        <w:fldChar w:fldCharType="end"/>
      </w:r>
      <w:r>
        <w:t>).</w:t>
      </w:r>
    </w:p>
    <w:p w:rsidR="00CF6655" w:rsidRDefault="00CF6655" w:rsidP="00E96FA8">
      <w:pPr>
        <w:pStyle w:val="Titel3"/>
      </w:pPr>
      <w:bookmarkStart w:id="434" w:name="_Toc122313658"/>
      <w:bookmarkStart w:id="435" w:name="_Toc122313746"/>
      <w:bookmarkStart w:id="436" w:name="_Toc130260774"/>
      <w:bookmarkStart w:id="437" w:name="_Ref325357049"/>
      <w:bookmarkStart w:id="438" w:name="_Toc327388074"/>
      <w:r>
        <w:t>Die Enteignung</w:t>
      </w:r>
      <w:bookmarkEnd w:id="434"/>
      <w:bookmarkEnd w:id="435"/>
      <w:bookmarkEnd w:id="436"/>
      <w:bookmarkEnd w:id="437"/>
      <w:bookmarkEnd w:id="438"/>
    </w:p>
    <w:p w:rsidR="00CF6655" w:rsidRDefault="00CF6655" w:rsidP="00E96FA8">
      <w:pPr>
        <w:pStyle w:val="Text"/>
        <w:ind w:firstLine="0"/>
      </w:pPr>
      <w:r>
        <w:t>Am Beispiel von Franzfontein</w:t>
      </w:r>
      <w:r w:rsidR="00363C1C">
        <w:fldChar w:fldCharType="begin"/>
      </w:r>
      <w:r w:rsidR="00420E8F">
        <w:instrText xml:space="preserve"> XE "</w:instrText>
      </w:r>
      <w:r w:rsidR="00420E8F" w:rsidRPr="00A12F1B">
        <w:instrText>Franzfontein</w:instrText>
      </w:r>
      <w:r w:rsidR="00420E8F">
        <w:instrText xml:space="preserve">" </w:instrText>
      </w:r>
      <w:r w:rsidR="00363C1C">
        <w:fldChar w:fldCharType="end"/>
      </w:r>
      <w:r>
        <w:t>, 100 Kilometer westlich von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gelegen, zählt Spiecker die Strafmaßnahmen auf:</w:t>
      </w:r>
    </w:p>
    <w:p w:rsidR="00CF6655" w:rsidRDefault="00CF6655" w:rsidP="00CF6655">
      <w:pPr>
        <w:pStyle w:val="Zitat"/>
      </w:pPr>
      <w:r>
        <w:t>Der Gouverneur hat bei seinem kürzlichen Besuch hier in Outjo</w:t>
      </w:r>
      <w:r w:rsidR="00363C1C">
        <w:fldChar w:fldCharType="begin"/>
      </w:r>
      <w:r w:rsidR="00FD439D">
        <w:instrText xml:space="preserve"> XE "</w:instrText>
      </w:r>
      <w:r w:rsidR="00FD439D" w:rsidRPr="00F55CAF">
        <w:instrText>Outjo</w:instrText>
      </w:r>
      <w:r w:rsidR="00FD439D">
        <w:instrText xml:space="preserve">" </w:instrText>
      </w:r>
      <w:r w:rsidR="00363C1C">
        <w:fldChar w:fldCharType="end"/>
      </w:r>
      <w:r>
        <w:t xml:space="preserve"> auch die Franzfonteiner hierher beschieden und ihnen eröffnet, daß sie ihr Land verli</w:t>
      </w:r>
      <w:r>
        <w:t>e</w:t>
      </w:r>
      <w:r>
        <w:t>ren würden bis auf 2 Hektar Gartenland, daß sie kein Großvieh mehr halten dürften […], ferner könne das Bezirksamt sie jederzeit an einen anderen Ort verpflanzen. Damit ist das Schicksal von Franzfontein</w:t>
      </w:r>
      <w:r w:rsidR="00363C1C">
        <w:fldChar w:fldCharType="begin"/>
      </w:r>
      <w:r w:rsidR="00420E8F">
        <w:instrText xml:space="preserve"> XE "</w:instrText>
      </w:r>
      <w:r w:rsidR="00420E8F" w:rsidRPr="00A12F1B">
        <w:instrText>Franzfontein</w:instrText>
      </w:r>
      <w:r w:rsidR="00420E8F">
        <w:instrText xml:space="preserve">" </w:instrText>
      </w:r>
      <w:r w:rsidR="00363C1C">
        <w:fldChar w:fldCharType="end"/>
      </w:r>
      <w:r>
        <w:t xml:space="preserve"> besiegelt. Es kann nicht Missionsstation bleiben. Die Maßregel ist hart, aber kaum zu hart für die au</w:t>
      </w:r>
      <w:r>
        <w:t>f</w:t>
      </w:r>
      <w:r>
        <w:t>rührerischen Zwartboois. Die harte Schule, durch die die Eingeborenen jetzt hindurch müssen, wird ihnen voraussichtlich heilsam sein. Wir werden nur s</w:t>
      </w:r>
      <w:r>
        <w:t>e</w:t>
      </w:r>
      <w:r>
        <w:t>hen müssen, daß wir unsere Gebäude in Franzfontein verkaufen. (992)</w:t>
      </w:r>
    </w:p>
    <w:p w:rsidR="00CF6655" w:rsidRDefault="00CF6655" w:rsidP="00E96FA8">
      <w:pPr>
        <w:pStyle w:val="Text"/>
        <w:ind w:firstLine="0"/>
      </w:pPr>
      <w:r>
        <w:t>So oder ähnlich wurden die meisten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und Namagemeinden während bzw. nach dem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bestraft. Der Aufstand wurde zum Anlass genommen, aus den vorgeblichen „Schutzgebieten“ eine Kolonie zu machen. Die Idee der Schutzgebiete bestand ja darin, dass die deutsche Regierung Verträge mit den Stammesführern schloss, die ihnen ein gewisses Maß an Autonomie beließ. A</w:t>
      </w:r>
      <w:r>
        <w:t>l</w:t>
      </w:r>
      <w:r>
        <w:t>lerdings gab es keine Freiwilligkeit beim Abschluss dieser Verträge; wer sich i</w:t>
      </w:r>
      <w:r>
        <w:t>h</w:t>
      </w:r>
      <w:r>
        <w:t xml:space="preserve">nen nicht unterwarf, wurde von deutschen Truppen angegriffen (so </w:t>
      </w:r>
      <w:r w:rsidR="00A27C71">
        <w:t>etwa</w:t>
      </w:r>
      <w:r>
        <w:t xml:space="preserve"> Hen</w:t>
      </w:r>
      <w:r>
        <w:t>d</w:t>
      </w:r>
      <w:r>
        <w:t>rik Witb</w:t>
      </w:r>
      <w:r w:rsidR="00232E82">
        <w:t>o</w:t>
      </w:r>
      <w:r>
        <w:t>oi</w:t>
      </w:r>
      <w:r w:rsidR="00363C1C">
        <w:fldChar w:fldCharType="begin"/>
      </w:r>
      <w:r w:rsidR="007866A1">
        <w:instrText xml:space="preserve"> XE "</w:instrText>
      </w:r>
      <w:r w:rsidR="007866A1" w:rsidRPr="006A1B36">
        <w:instrText>Witbo</w:instrText>
      </w:r>
      <w:r w:rsidR="00232E82">
        <w:instrText>o</w:instrText>
      </w:r>
      <w:r w:rsidR="007866A1" w:rsidRPr="006A1B36">
        <w:instrText>i, Hendrik</w:instrText>
      </w:r>
      <w:r w:rsidR="007866A1">
        <w:instrText xml:space="preserve">" </w:instrText>
      </w:r>
      <w:r w:rsidR="00363C1C">
        <w:fldChar w:fldCharType="end"/>
      </w:r>
      <w:r>
        <w:t>, Kapitän der Witb</w:t>
      </w:r>
      <w:r w:rsidR="00232E82">
        <w:t>o</w:t>
      </w:r>
      <w:r>
        <w:t>oi</w:t>
      </w:r>
      <w:r w:rsidR="00363C1C">
        <w:fldChar w:fldCharType="begin"/>
      </w:r>
      <w:r w:rsidR="007866A1">
        <w:instrText xml:space="preserve"> XE "</w:instrText>
      </w:r>
      <w:r w:rsidR="007866A1" w:rsidRPr="006A1B36">
        <w:instrText>Witb</w:instrText>
      </w:r>
      <w:r w:rsidR="00232E82">
        <w:instrText>o</w:instrText>
      </w:r>
      <w:r w:rsidR="007866A1" w:rsidRPr="006A1B36">
        <w:instrText>oi, Hendrik</w:instrText>
      </w:r>
      <w:r w:rsidR="007866A1">
        <w:instrText xml:space="preserve">" </w:instrText>
      </w:r>
      <w:r w:rsidR="00363C1C">
        <w:fldChar w:fldCharType="end"/>
      </w:r>
      <w:r>
        <w:t>-Namas 1893). Maßnahmen wie die hier b</w:t>
      </w:r>
      <w:r>
        <w:t>e</w:t>
      </w:r>
      <w:r>
        <w:t>schriebenen, die das Land, das Eigentum und selbst das Wohnrecht an einem Ort in die direkte Verfügungsgewalt des Gouvernements stellten, verzichteten auf diesen schönen Schein.</w:t>
      </w:r>
    </w:p>
    <w:p w:rsidR="00CF6655" w:rsidRDefault="00CF6655" w:rsidP="00CF6655">
      <w:pPr>
        <w:pStyle w:val="Text"/>
      </w:pPr>
      <w:r>
        <w:t>Zum Zeitpunkt des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-Aufstands (1904–1907) befanden sich bereits vier Fünftel des Bodens von Deutsch-Südwestafrika nicht mehr im Besitz der Stämme: Sie wurden als „Kronland“ von den Deutschen beansprucht oder waren von diesen an Gesellschaften vergeben. Aus dem Restland verkauften g</w:t>
      </w:r>
      <w:r>
        <w:t>e</w:t>
      </w:r>
      <w:r>
        <w:t>winnsüchtige Häuptlinge immer weitere Gebiete an weiße Firmen und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eine Entwicklung, die die Mission vergeblich zu verhindern versuchte. Zudem galt die Praxis, dass der ganze Stamm für Schulden, die einzelne bei den Hän</w:t>
      </w:r>
      <w:r>
        <w:t>d</w:t>
      </w:r>
      <w:r>
        <w:lastRenderedPageBreak/>
        <w:t>lern machten, zu haften hatte, was zumeist durch Landverkäufe geschah; so kam es zu immer weiteren Landverlusten.</w:t>
      </w:r>
      <w:r>
        <w:rPr>
          <w:rStyle w:val="Funotenzeichen"/>
        </w:rPr>
        <w:footnoteReference w:id="273"/>
      </w:r>
    </w:p>
    <w:p w:rsidR="00CF6655" w:rsidRDefault="00CF6655" w:rsidP="00CF6655">
      <w:pPr>
        <w:pStyle w:val="Text"/>
      </w:pPr>
      <w:r>
        <w:t>Die Mission wollte jedoch die Afrikaner von Nomaden</w:t>
      </w:r>
      <w:r w:rsidR="00363C1C">
        <w:fldChar w:fldCharType="begin"/>
      </w:r>
      <w:r w:rsidR="00115805">
        <w:instrText xml:space="preserve"> XE "</w:instrText>
      </w:r>
      <w:r w:rsidR="00115805" w:rsidRPr="00EF0138">
        <w:instrText>Nomaden</w:instrText>
      </w:r>
      <w:r w:rsidR="00115805">
        <w:instrText xml:space="preserve">" </w:instrText>
      </w:r>
      <w:r w:rsidR="00363C1C">
        <w:fldChar w:fldCharType="end"/>
      </w:r>
      <w:r>
        <w:t xml:space="preserve"> in sesshafte Bauern umwandeln – zum einen, weil dies faktisch die Voraussetzung für eine wirkung</w:t>
      </w:r>
      <w:r>
        <w:t>s</w:t>
      </w:r>
      <w:r>
        <w:t>volle Christianisierung</w:t>
      </w:r>
      <w:r w:rsidR="00363C1C">
        <w:fldChar w:fldCharType="begin"/>
      </w:r>
      <w:r w:rsidR="00D97AEE">
        <w:instrText xml:space="preserve"> XE "</w:instrText>
      </w:r>
      <w:r w:rsidR="00D97AEE" w:rsidRPr="00770B98">
        <w:instrText>Christianisierung</w:instrText>
      </w:r>
      <w:r w:rsidR="00D97AEE">
        <w:instrText xml:space="preserve">" </w:instrText>
      </w:r>
      <w:r w:rsidR="00363C1C">
        <w:fldChar w:fldCharType="end"/>
      </w:r>
      <w:r>
        <w:t xml:space="preserve"> war, weshalb die Missionare von vornherein Stationen mit Kirchen und Schulen gegründet hatten, um die sich die neuen Gemeinden bildeten; zum anderen, weil ihnen diese Umwandlung als Bedingung für eine E</w:t>
      </w:r>
      <w:r>
        <w:t>u</w:t>
      </w:r>
      <w:r>
        <w:t>ropäisierung und Zivilisierung erschien.</w:t>
      </w:r>
      <w:r>
        <w:rPr>
          <w:rStyle w:val="Funotenzeichen"/>
        </w:rPr>
        <w:footnoteReference w:id="274"/>
      </w:r>
      <w:r>
        <w:t xml:space="preserve"> Der Landverlust der Stämme gefäh</w:t>
      </w:r>
      <w:r>
        <w:t>r</w:t>
      </w:r>
      <w:r>
        <w:t>dete dieses Projekt zusehends, weshalb sich die Mission auch immer wieder in Eingaben an das Auswärtige Amt wandte, um die Eingeborenenrechte zu vertr</w:t>
      </w:r>
      <w:r>
        <w:t>e</w:t>
      </w:r>
      <w:r>
        <w:t>ten.</w:t>
      </w:r>
      <w:r>
        <w:rPr>
          <w:rStyle w:val="Funotenzeichen"/>
        </w:rPr>
        <w:footnoteReference w:id="275"/>
      </w:r>
      <w:r>
        <w:t xml:space="preserve"> So war die Enteignung nach dem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nur der gewaltsame Abschluss eines langwierigen Prozesses.</w:t>
      </w:r>
    </w:p>
    <w:p w:rsidR="00CF6655" w:rsidRDefault="00CF6655" w:rsidP="00CF6655">
      <w:pPr>
        <w:pStyle w:val="Text"/>
      </w:pPr>
      <w:r>
        <w:t>Im Reichstag war die vollständige Enteignung umstritten; Vertreter des Zentrums und der SPD kritisierten die Maßnahme, da sie den Eingeborenen ihre Zukunft nehme. „Für die konservativen Kräfte im Reichstag hingegen war die Beschlagnahme des Stammesvermögens voll gerechtfertigt.“</w:t>
      </w:r>
      <w:r>
        <w:rPr>
          <w:rStyle w:val="Funotenzeichen"/>
        </w:rPr>
        <w:footnoteReference w:id="276"/>
      </w:r>
      <w:r>
        <w:t xml:space="preserve"> Sie argumentie</w:t>
      </w:r>
      <w:r>
        <w:t>r</w:t>
      </w:r>
      <w:r>
        <w:t>ten damit, dass die Stämme den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begonnen und daher Schadensersatz zu leisten hätten.</w:t>
      </w:r>
    </w:p>
    <w:p w:rsidR="00CF6655" w:rsidRDefault="00CF6655" w:rsidP="00CF6655">
      <w:pPr>
        <w:pStyle w:val="Text"/>
      </w:pPr>
      <w:r>
        <w:t>Das enteignete Land, das mit 210.000 km</w:t>
      </w:r>
      <w:r>
        <w:rPr>
          <w:vertAlign w:val="superscript"/>
        </w:rPr>
        <w:t>2</w:t>
      </w:r>
      <w:r>
        <w:t xml:space="preserve"> angegeben wurde, war aber selbst bei zurückhaltender Berechnung weit mehr wert als die gesamte Schadenssu</w:t>
      </w:r>
      <w:r>
        <w:t>m</w:t>
      </w:r>
      <w:r>
        <w:t>me, die durch die Entschädigungskommission anerkannt worden war. Dazu kam, dass die Farmer nur einen kleineren Teil dieses Schadens ersetzt bekamen. Die Bezeichnung als „Schadensersatz“ hätte also nur aufrechterhalten werden kö</w:t>
      </w:r>
      <w:r>
        <w:t>n</w:t>
      </w:r>
      <w:r>
        <w:t>nen, wenn dieser über den Zivilschaden hinaus auf die Kriegsführungskosten ausgedehnt worden wäre, was unüblich war. Und auch dann könnte eine solche Regelung nur als legitim betrachtet werden, wenn zum einen die Stämme die A</w:t>
      </w:r>
      <w:r>
        <w:t>l</w:t>
      </w:r>
      <w:r>
        <w:t>leinschuldigen des Aufstands gewesen wären und zum anderen die vorige Kol</w:t>
      </w:r>
      <w:r>
        <w:t>o</w:t>
      </w:r>
      <w:r>
        <w:t>nialherrschaft, inklusive der bereits besprochenen schleichenden Enteignung der Eingeborenen durch Ausnutzung ihrer mangelnden Erfahrung, Betrug und skrupellosen Handel mit korrupten Häuptlingen, als rechtlich legitim betrachtet werden könnte.</w:t>
      </w:r>
    </w:p>
    <w:p w:rsidR="00CF6655" w:rsidRDefault="00CF6655" w:rsidP="00CF6655">
      <w:pPr>
        <w:pStyle w:val="Text"/>
      </w:pPr>
      <w:r>
        <w:t>Doch nicht nur das Land wurde ihnen genommen; auch die gewachsene Struktur der Stämme wollten die Deutschen zerstören:</w:t>
      </w:r>
    </w:p>
    <w:p w:rsidR="00CF6655" w:rsidRDefault="00CF6655" w:rsidP="00CF6655">
      <w:pPr>
        <w:pStyle w:val="Zitat"/>
      </w:pPr>
      <w:r>
        <w:t>Meines Erachtens ist es töricht, daß die Regierung die Stämme und ihre Z</w:t>
      </w:r>
      <w:r>
        <w:t>u</w:t>
      </w:r>
      <w:r>
        <w:t>sammengehörigkeit zerschlagen will. Man sollte solche berechtigte Eigentü</w:t>
      </w:r>
      <w:r>
        <w:t>m</w:t>
      </w:r>
      <w:r>
        <w:t>lichkeiten und das Zusammengehörigkeitsgefühl der Leute respektieren […]. (916)</w:t>
      </w:r>
    </w:p>
    <w:p w:rsidR="00CF6655" w:rsidRDefault="00CF6655" w:rsidP="00E96FA8">
      <w:pPr>
        <w:pStyle w:val="Text"/>
        <w:ind w:firstLine="0"/>
      </w:pPr>
      <w:r>
        <w:lastRenderedPageBreak/>
        <w:t>Die Umsiedlung ganzer Stämme ist geplant; so heißt es bei der zweiten Bespr</w:t>
      </w:r>
      <w:r>
        <w:t>e</w:t>
      </w:r>
      <w:r>
        <w:t>chung mit dem Gouverneur am 10. Mai 1906: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will er nicht ins Namaland verpflanzen, nur die nötigen Arbeiter nach dort senden, dagegen will er die Naman nicht im Süden belassen. Diese seien zu unruhig.“ (926)</w:t>
      </w:r>
    </w:p>
    <w:p w:rsidR="00CF6655" w:rsidRDefault="00CF6655" w:rsidP="00E96FA8">
      <w:pPr>
        <w:pStyle w:val="Titel2"/>
      </w:pPr>
      <w:bookmarkStart w:id="439" w:name="_Toc130260775"/>
      <w:bookmarkStart w:id="440" w:name="_Toc327388075"/>
      <w:r>
        <w:t>Kolonisation und Krieg</w:t>
      </w:r>
      <w:bookmarkEnd w:id="439"/>
      <w:bookmarkEnd w:id="440"/>
    </w:p>
    <w:p w:rsidR="00CF6655" w:rsidRDefault="00CF6655" w:rsidP="00E96FA8">
      <w:pPr>
        <w:pStyle w:val="Text"/>
        <w:ind w:firstLine="0"/>
      </w:pPr>
      <w:r>
        <w:t>Wie es häufig der Fall ist bei Reiseberichten aus Kriegsgebieten, bleibt das e</w:t>
      </w:r>
      <w:r>
        <w:t>i</w:t>
      </w:r>
      <w:r>
        <w:t>gentliche Kampfgeschehen dem sorgfältig die Kampfzonen vermeidenden Prot</w:t>
      </w:r>
      <w:r>
        <w:t>a</w:t>
      </w:r>
      <w:r>
        <w:t>gonisten überraschend fern. Nur indirekt wird die Realität des Krieges sichtbar, beispielsweise wenn Spiecker zerstörte Stationen besucht. Am eindringlichsten wirken jedoch seine Berichte aus den Konzentrationslagern</w:t>
      </w:r>
      <w:r w:rsidR="00363C1C">
        <w:fldChar w:fldCharType="begin"/>
      </w:r>
      <w:r w:rsidR="005A56C0">
        <w:instrText xml:space="preserve"> XE "</w:instrText>
      </w:r>
      <w:r w:rsidR="005A56C0" w:rsidRPr="00BB2D81">
        <w:instrText>Konzentrationslager</w:instrText>
      </w:r>
      <w:r w:rsidR="005A56C0">
        <w:instrText xml:space="preserve">" </w:instrText>
      </w:r>
      <w:r w:rsidR="00363C1C">
        <w:fldChar w:fldCharType="end"/>
      </w:r>
      <w:r>
        <w:t xml:space="preserve">, die hier zum ersten Mal von Deutschen eingerichtet worden waren und bereits den Charakter </w:t>
      </w:r>
      <w:proofErr w:type="gramStart"/>
      <w:r>
        <w:t>einer Todesfalle</w:t>
      </w:r>
      <w:proofErr w:type="gramEnd"/>
      <w:r>
        <w:t xml:space="preserve"> hatten. Zwar erfahren wir nichts über direkte Tötungen – die es gleichwohl bei vermeintlichen oder tatsächlichen Anführern gegeben hat –, aber ein erheblicher Teil der Gefangenen stirbt aufgrund von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unzureichender Kleidung und Krankheiten. Auch Spiecker erkennt das.</w:t>
      </w:r>
    </w:p>
    <w:p w:rsidR="00CF6655" w:rsidRDefault="00CF6655" w:rsidP="00CF6655">
      <w:pPr>
        <w:pStyle w:val="Text"/>
      </w:pPr>
      <w:r>
        <w:t>Die Rheinische Mission machte sich wenig Gedanken über die Schuld der Deutschen am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Zusammenhänge zwischen der vorangegangenen U</w:t>
      </w:r>
      <w:r>
        <w:t>n</w:t>
      </w:r>
      <w:r>
        <w:t>terdrückung und dem Aufstand stellte man nicht her, sondern flüchtete sich in tendenziöse Darstellungen, die den Eingeborenen die Schuld gaben.</w:t>
      </w:r>
      <w:r>
        <w:rPr>
          <w:rStyle w:val="Funotenzeichen"/>
        </w:rPr>
        <w:footnoteReference w:id="277"/>
      </w:r>
      <w:r>
        <w:t xml:space="preserve"> Dass die Mission eine wichtige Rolle bei der Niederschlagung des Aufstands spielte, ist bereits erläutert worden (vgl. Abschnitt </w:t>
      </w:r>
      <w:r w:rsidR="00363C1C">
        <w:fldChar w:fldCharType="begin"/>
      </w:r>
      <w:r w:rsidR="00E2543C">
        <w:instrText xml:space="preserve"> REF _Ref325356557 \r \h </w:instrText>
      </w:r>
      <w:r w:rsidR="00363C1C">
        <w:fldChar w:fldCharType="separate"/>
      </w:r>
      <w:r w:rsidR="00216538">
        <w:t>2.4.5</w:t>
      </w:r>
      <w:r w:rsidR="00363C1C">
        <w:fldChar w:fldCharType="end"/>
      </w:r>
      <w:r>
        <w:t>). Ein weiteres Beispiel soll gen</w:t>
      </w:r>
      <w:r>
        <w:t>ü</w:t>
      </w:r>
      <w:r>
        <w:t>gen, um die enge Verbindung aufzuzeigen:</w:t>
      </w:r>
    </w:p>
    <w:p w:rsidR="00CF6655" w:rsidRDefault="00CF6655" w:rsidP="00CF6655">
      <w:pPr>
        <w:pStyle w:val="Text"/>
      </w:pPr>
      <w:r>
        <w:t>Die Regierung der englischen Kapkolonie verhängte – aufgrund von Gren</w:t>
      </w:r>
      <w:r>
        <w:t>z</w:t>
      </w:r>
      <w:r>
        <w:t>verletzungen, aber auch wegen der unmenschlichen Kriegsführung der Deu</w:t>
      </w:r>
      <w:r>
        <w:t>t</w:t>
      </w:r>
      <w:r>
        <w:t>schen, die geeignet schien Flüchtlinge über die Grenze zu treiben – mehrmals Grenzsperren gegen Südwestafrika. Nach deren Aufhebung vergab man Tran</w:t>
      </w:r>
      <w:r>
        <w:t>s</w:t>
      </w:r>
      <w:r>
        <w:t xml:space="preserve">portpermits nur noch für sehr geringe Mengen von Material. Daher schloss das </w:t>
      </w:r>
      <w:r>
        <w:lastRenderedPageBreak/>
        <w:t>Generalkonsulat in 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r>
        <w:t xml:space="preserve"> (vgl. Abschnitt </w:t>
      </w:r>
      <w:r w:rsidR="00363C1C">
        <w:fldChar w:fldCharType="begin"/>
      </w:r>
      <w:r w:rsidR="00E2543C">
        <w:instrText xml:space="preserve"> REF _Ref325356585 \r \h </w:instrText>
      </w:r>
      <w:r w:rsidR="00363C1C">
        <w:fldChar w:fldCharType="separate"/>
      </w:r>
      <w:r w:rsidR="00216538">
        <w:t>3.1.2</w:t>
      </w:r>
      <w:r w:rsidR="00363C1C">
        <w:fldChar w:fldCharType="end"/>
      </w:r>
      <w:r>
        <w:t>) mit der Gemeinde der RMG in Steinkopf</w:t>
      </w:r>
      <w:r w:rsidR="00363C1C">
        <w:fldChar w:fldCharType="begin"/>
      </w:r>
      <w:r w:rsidR="00D20257">
        <w:instrText xml:space="preserve"> XE "</w:instrText>
      </w:r>
      <w:r w:rsidR="00D20257" w:rsidRPr="00E5690D">
        <w:instrText>Steinkopf</w:instrText>
      </w:r>
      <w:r w:rsidR="00D20257">
        <w:instrText xml:space="preserve">" </w:instrText>
      </w:r>
      <w:r w:rsidR="00363C1C">
        <w:fldChar w:fldCharType="end"/>
      </w:r>
      <w:r>
        <w:t>, die nahe der Grenze zu Südwestafrika lag, ein „Abkommen von Frachten für die Schutztruppe zwischen Steinkopf und Ramansdrift</w:t>
      </w:r>
      <w:r w:rsidR="00363C1C">
        <w:fldChar w:fldCharType="begin"/>
      </w:r>
      <w:r w:rsidR="00E947CF">
        <w:instrText xml:space="preserve"> XE "</w:instrText>
      </w:r>
      <w:r w:rsidR="00E947CF" w:rsidRPr="00513285">
        <w:instrText>Ramansdrift</w:instrText>
      </w:r>
      <w:r w:rsidR="00E947CF">
        <w:instrText xml:space="preserve">" </w:instrText>
      </w:r>
      <w:r w:rsidR="00363C1C">
        <w:fldChar w:fldCharType="end"/>
      </w:r>
      <w:r>
        <w:t>“, wo ein großes Warenlager für die Truppe entstand.</w:t>
      </w:r>
      <w:r>
        <w:rPr>
          <w:rStyle w:val="Funotenzeichen"/>
        </w:rPr>
        <w:footnoteReference w:id="278"/>
      </w:r>
    </w:p>
    <w:p w:rsidR="00CF6655" w:rsidRDefault="00CF6655" w:rsidP="00E96FA8">
      <w:pPr>
        <w:pStyle w:val="Titel3"/>
      </w:pPr>
      <w:bookmarkStart w:id="441" w:name="_Toc130260776"/>
      <w:bookmarkStart w:id="442" w:name="_Ref325356920"/>
      <w:bookmarkStart w:id="443" w:name="_Ref325357384"/>
      <w:bookmarkStart w:id="444" w:name="_Toc327388076"/>
      <w:r>
        <w:t>Vorüberlegung: Reicht Mitleid aus?</w:t>
      </w:r>
      <w:bookmarkEnd w:id="441"/>
      <w:bookmarkEnd w:id="442"/>
      <w:bookmarkEnd w:id="443"/>
      <w:bookmarkEnd w:id="444"/>
    </w:p>
    <w:p w:rsidR="00CF6655" w:rsidRDefault="00CF6655" w:rsidP="00E96FA8">
      <w:pPr>
        <w:pStyle w:val="Text"/>
        <w:ind w:firstLine="0"/>
      </w:pPr>
      <w:r>
        <w:t>Lothar Engel kritisiert die Haltung Spieckers zum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als „sentimental“. Er führt einige Stellen aus dem 1907 veröffentlichten Visitationsbericht Spieckers an. Diese von Mitleid geprägten, aber wenig analytischen Stellen kontrastiert er mit der ausgiebigen Darstellung des Zustands der Missionsstationen – die alle</w:t>
      </w:r>
      <w:r>
        <w:t>r</w:t>
      </w:r>
      <w:r>
        <w:t>dings bei einem solchen Bericht nicht verwunderlich ist.</w:t>
      </w:r>
    </w:p>
    <w:p w:rsidR="00CF6655" w:rsidRDefault="00CF6655" w:rsidP="00CF6655">
      <w:pPr>
        <w:pStyle w:val="Zitat"/>
      </w:pPr>
      <w:r>
        <w:t>Steht derartig das institutionelle Interesse der Gesellschaft für die Beurteilung der „Situation“ im Land im Vordergrund, dann können die Kriegserlebnisse der Einheimischen und deren Folgen nur sentimental, mitleidig registriert und die gegenwärtigen strukturellen Veränderungen im Leben der Betroffenen als zwangsläufig hingenommen werden.</w:t>
      </w:r>
      <w:r>
        <w:rPr>
          <w:rStyle w:val="Funotenzeichen"/>
        </w:rPr>
        <w:footnoteReference w:id="279"/>
      </w:r>
    </w:p>
    <w:p w:rsidR="00CF6655" w:rsidRDefault="00CF6655" w:rsidP="00DC06A5">
      <w:pPr>
        <w:pStyle w:val="Text"/>
        <w:ind w:firstLine="0"/>
      </w:pPr>
      <w:r>
        <w:t>Die Kritik, dass die Hintergründe nicht ausreichend beleuchtet werden, ist s</w:t>
      </w:r>
      <w:r>
        <w:t>i</w:t>
      </w:r>
      <w:r>
        <w:t>cherlich richtig; das Tagebuch zeigt, dass Spiecker in vieler Hinsicht gut info</w:t>
      </w:r>
      <w:r>
        <w:t>r</w:t>
      </w:r>
      <w:r>
        <w:t>miert war. Insbesondere darf man nicht übersehen, dass von allen Gruppen unter den Weißen die Mission die mit Abstand besten Verbindungen zu den Eingeb</w:t>
      </w:r>
      <w:r>
        <w:t>o</w:t>
      </w:r>
      <w:r>
        <w:t>renen hatte. Berücksichtigt man die engen Verbindungen in der Gemeindestru</w:t>
      </w:r>
      <w:r>
        <w:t>k</w:t>
      </w:r>
      <w:r>
        <w:t>tur, die guten Sprachkenntnisse vieler Missionare und gerade auch die langfristig erzeugte Vertrauensbasis, kann man davon ausgehen, dass die Mission die mit Abstand besten Chancen hatte, die Sichtweise nicht nur der Häuptlinge, sondern auch der anderen Stammesangehörigen kennenzulernen. Doch diese Perspektive fehlt im Bericht ebenso, wie sie damals in der Diskussion in Deutschland allg</w:t>
      </w:r>
      <w:r>
        <w:t>e</w:t>
      </w:r>
      <w:r>
        <w:t>mein fehlte.</w:t>
      </w:r>
    </w:p>
    <w:p w:rsidR="00CF6655" w:rsidRDefault="00CF6655" w:rsidP="00CF6655">
      <w:pPr>
        <w:pStyle w:val="Text"/>
      </w:pPr>
      <w:r>
        <w:t>Dies hatte vermutlich missionspolitische Gründe. Spiecker berücksichtigt, dass die Rheinische Mission in Südwestafrika mehr noch als in Deutschland auf Kooperation mit der Regierung angewiesen ist. Dass Spiecker in dem Bericht nicht offen ist, zeigt die Passage über die Missionsfarmen, die von Engel missbi</w:t>
      </w:r>
      <w:r>
        <w:t>l</w:t>
      </w:r>
      <w:r>
        <w:t>ligend als Beispiel für den mangelnden Einsatz der RMG für ihre Gemeindemi</w:t>
      </w:r>
      <w:r>
        <w:t>t</w:t>
      </w:r>
      <w:r>
        <w:t>glieder angeführt wird:</w:t>
      </w:r>
    </w:p>
    <w:p w:rsidR="00CF6655" w:rsidRDefault="00CF6655" w:rsidP="00CF6655">
      <w:pPr>
        <w:pStyle w:val="Zitat"/>
      </w:pPr>
      <w:r>
        <w:t>Daß die Einheimischen Besitz und Land verloren haben, das ist für die Mission ein unumstößliches Faktum. Darum wird die RMG nicht darauf drängen, den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eigene Wohngebiete in Form von Missionsfarmen zu schaffen. Denn: „Es wird je länger desto mehr im Lande an Arbeitern fehlen. Die Herero haben sich in der Gefangenschaft zum großen Teil als sehr gute Arbeiter erwiesen. </w:t>
      </w:r>
      <w:r>
        <w:lastRenderedPageBreak/>
        <w:t>[…] Nach meiner Ansicht muß jeder Schein von Sklaverei nicht nur aus menschlichen Gründen, sondern auch aus Klugheitsgründen vermieden we</w:t>
      </w:r>
      <w:r>
        <w:t>r</w:t>
      </w:r>
      <w:r>
        <w:t>den.“</w:t>
      </w:r>
      <w:r>
        <w:rPr>
          <w:rStyle w:val="Funotenzeichen"/>
        </w:rPr>
        <w:footnoteReference w:id="280"/>
      </w:r>
    </w:p>
    <w:p w:rsidR="00CF6655" w:rsidRDefault="00CF6655" w:rsidP="00DC06A5">
      <w:pPr>
        <w:pStyle w:val="Text"/>
        <w:ind w:firstLine="0"/>
      </w:pPr>
      <w:r>
        <w:t xml:space="preserve">Doch wir haben gesehen (vgl. Abschnitt </w:t>
      </w:r>
      <w:r w:rsidR="00363C1C">
        <w:fldChar w:fldCharType="begin"/>
      </w:r>
      <w:r w:rsidR="00E2543C">
        <w:instrText xml:space="preserve"> REF _Ref325356632 \r \h </w:instrText>
      </w:r>
      <w:r w:rsidR="00363C1C">
        <w:fldChar w:fldCharType="separate"/>
      </w:r>
      <w:r w:rsidR="00216538">
        <w:t>2.3.3.2</w:t>
      </w:r>
      <w:r w:rsidR="00363C1C">
        <w:fldChar w:fldCharType="end"/>
      </w:r>
      <w:r>
        <w:t>), dass sich die Mission in dieser Frage in einem ‚kalten Krieg‘ mit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befand, die die von Stämmen geschenkten Farmen meist nicht anerkennen wollte. Spiecker setzt sich entschieden für die Interessen der Mission ein, die in diesem Fall mit denen der Eingeborenen zusammenfallen; allerdings sagt er das lieber nicht in der Ö</w:t>
      </w:r>
      <w:r>
        <w:t>f</w:t>
      </w:r>
      <w:r>
        <w:t>fentlichkeit, sondern suggeriert aus taktischen Gründen, dass die Mission auf die Farmen verzichten wolle.</w:t>
      </w:r>
    </w:p>
    <w:p w:rsidR="00CF6655" w:rsidRDefault="00CF6655" w:rsidP="00CF6655">
      <w:pPr>
        <w:pStyle w:val="Text"/>
      </w:pPr>
      <w:r>
        <w:t>Die Problematik der Spieckerschen Haltung lässt sich anhand der folgenden Passage aus dem Visitationsbericht erkennen, wo er über die Gefangenenzüge spricht, die von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nach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unterwegs sind:</w:t>
      </w:r>
    </w:p>
    <w:p w:rsidR="00CF6655" w:rsidRDefault="00CF6655" w:rsidP="00CF6655">
      <w:pPr>
        <w:pStyle w:val="Zitat"/>
      </w:pPr>
      <w:r>
        <w:t>Mich haben diese Züge Gefangener jedesmal mit Wehmut erfüllt, besonders wenn ich die vielfach nackten und zerlumpten Gestalten sah, und vor allem der Blick auf die kleinen Kinder, die zum Teil sehr elend waren und fast einem G</w:t>
      </w:r>
      <w:r>
        <w:t>e</w:t>
      </w:r>
      <w:r>
        <w:t>rippe glichen und die in so zarten Jahren den Jammer des Lebens bis auf die Hefe kosten mußten.</w:t>
      </w:r>
      <w:r>
        <w:rPr>
          <w:rStyle w:val="Funotenzeichen"/>
        </w:rPr>
        <w:footnoteReference w:id="281"/>
      </w:r>
    </w:p>
    <w:p w:rsidR="00CF6655" w:rsidRDefault="00CF6655" w:rsidP="00DC06A5">
      <w:pPr>
        <w:pStyle w:val="Text"/>
        <w:ind w:firstLine="0"/>
      </w:pPr>
      <w:r>
        <w:t>Die Frage drängt sich auf, warum Spiecker, statt mit dem „Jammer des Lebens“ ins Allgemein-Wolkige auszuweichen, nicht auf das Offensichtliche zu sprechen kommt: die mangelnde Ernährung der kriegsgefangenen Kinder. Auf derselben Seite befindet sich ein Foto mit drei Kindern, die tatsächlich so mager sind, dass ihre Beine Stöcken gleichen; dem Betrachter erscheint es unbegreiflich, wie sie sich überhaupt aufrecht halten können. Eines der Kinder hält sich denn auch an einem Baum fest, ein anderes hat einen stark aufgeblähten Hungerbauch.</w:t>
      </w:r>
      <w:r>
        <w:rPr>
          <w:rStyle w:val="Funotenzeichen"/>
        </w:rPr>
        <w:footnoteReference w:id="282"/>
      </w:r>
      <w:r>
        <w:t xml:space="preserve"> Dass Spiecker solch ein Foto beifügt, das Elend klar beschreibt und auch Opferzahlen nennt,</w:t>
      </w:r>
      <w:r>
        <w:rPr>
          <w:rStyle w:val="Funotenzeichen"/>
        </w:rPr>
        <w:footnoteReference w:id="283"/>
      </w:r>
      <w:r>
        <w:t xml:space="preserve"> spricht ihn vom Vorwurf der Verschleierung frei. Zugleich bleibt jegl</w:t>
      </w:r>
      <w:r>
        <w:t>i</w:t>
      </w:r>
      <w:r>
        <w:t>che tiefergehende Analyse des Aufstands, insbesondere der Rolle der Deutschen, im Visitationsbericht aus:</w:t>
      </w:r>
    </w:p>
    <w:p w:rsidR="00CF6655" w:rsidRDefault="00CF6655" w:rsidP="00CF6655">
      <w:pPr>
        <w:pStyle w:val="Zitat"/>
      </w:pPr>
      <w:r>
        <w:lastRenderedPageBreak/>
        <w:t>Immer wieder stieg in mir die Frage auf, wenn ich an solchen Gräbern [von G</w:t>
      </w:r>
      <w:r>
        <w:t>e</w:t>
      </w:r>
      <w:r>
        <w:t>fallenen der Schutztruppe] stand, ob es denn nicht möglich gewesen wäre, di</w:t>
      </w:r>
      <w:r>
        <w:t>e</w:t>
      </w:r>
      <w:r>
        <w:t>sen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zu verhindern. Doch das waren müßige Gedanken.</w:t>
      </w:r>
      <w:r>
        <w:rPr>
          <w:rStyle w:val="Funotenzeichen"/>
        </w:rPr>
        <w:footnoteReference w:id="284"/>
      </w:r>
    </w:p>
    <w:p w:rsidR="00CF6655" w:rsidRDefault="00CF6655" w:rsidP="00DC06A5">
      <w:pPr>
        <w:pStyle w:val="Text"/>
        <w:ind w:firstLine="0"/>
      </w:pPr>
      <w:r>
        <w:t>Es muss kritisch angemerkt werden, dass Spieckers sich noch entschiedener für die vom Krieg Betroffenen hätte einsetzen können; immerhin besaß er durch seine Funktion und Persönlichkeit einige Autorität und konnte – im Gegensatz zu den Missionaren, denen dies oft nicht gelang – auch gegenüber der Kolonia</w:t>
      </w:r>
      <w:r>
        <w:t>l</w:t>
      </w:r>
      <w:r>
        <w:t>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selbstbewusst auftreten.</w:t>
      </w:r>
      <w:r>
        <w:rPr>
          <w:rStyle w:val="Funotenzeichen"/>
        </w:rPr>
        <w:footnoteReference w:id="285"/>
      </w:r>
      <w:r>
        <w:t xml:space="preserve"> Gelegentlich entsteht der Eindruck, dass Spiecker die Wirkung seiner Worte überschätzt und glaubt, dass seine G</w:t>
      </w:r>
      <w:r>
        <w:t>e</w:t>
      </w:r>
      <w:r>
        <w:t>sprächspartner das Versprochene sicher auch halten werden (790ff; vgl. auch A</w:t>
      </w:r>
      <w:r>
        <w:t>b</w:t>
      </w:r>
      <w:r>
        <w:t xml:space="preserve">schnitt </w:t>
      </w:r>
      <w:r w:rsidR="00363C1C">
        <w:fldChar w:fldCharType="begin"/>
      </w:r>
      <w:r w:rsidR="00E2543C">
        <w:instrText xml:space="preserve"> REF _Ref325356654 \r \h </w:instrText>
      </w:r>
      <w:r w:rsidR="00363C1C">
        <w:fldChar w:fldCharType="separate"/>
      </w:r>
      <w:r w:rsidR="00216538">
        <w:t>3.1.1</w:t>
      </w:r>
      <w:r w:rsidR="00363C1C">
        <w:fldChar w:fldCharType="end"/>
      </w:r>
      <w:r>
        <w:t>). So fehlt den mitleidigen Worten Spieckers das Verständnis für die tieferen Zusammenhänge, für den Kolonialismus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als Unrechtssystem und damit für die Schuld der Deutschen und der Mission.</w:t>
      </w:r>
    </w:p>
    <w:p w:rsidR="00CF6655" w:rsidRDefault="00CF6655" w:rsidP="00DC06A5">
      <w:pPr>
        <w:pStyle w:val="Titel3"/>
      </w:pPr>
      <w:bookmarkStart w:id="445" w:name="_Toc130260777"/>
      <w:bookmarkStart w:id="446" w:name="_Toc327388077"/>
      <w:bookmarkStart w:id="447" w:name="_Toc122313684"/>
      <w:bookmarkStart w:id="448" w:name="_Toc122313772"/>
      <w:r>
        <w:t>Horrorgeschichten</w:t>
      </w:r>
      <w:bookmarkEnd w:id="445"/>
      <w:bookmarkEnd w:id="446"/>
    </w:p>
    <w:p w:rsidR="00CF6655" w:rsidRDefault="00CF6655" w:rsidP="00DC06A5">
      <w:pPr>
        <w:pStyle w:val="Text"/>
        <w:ind w:firstLine="0"/>
      </w:pPr>
      <w:r>
        <w:t>Auf der Schiffsreise von Kapstadt</w:t>
      </w:r>
      <w:r w:rsidR="00363C1C">
        <w:fldChar w:fldCharType="begin"/>
      </w:r>
      <w:r w:rsidR="00E01EA7">
        <w:instrText xml:space="preserve"> XE "</w:instrText>
      </w:r>
      <w:r w:rsidR="00E01EA7" w:rsidRPr="00C74AA5">
        <w:instrText>Kapstadt</w:instrText>
      </w:r>
      <w:r w:rsidR="00E01EA7">
        <w:instrText xml:space="preserve">" </w:instrText>
      </w:r>
      <w:r w:rsidR="00363C1C">
        <w:fldChar w:fldCharType="end"/>
      </w:r>
      <w:r>
        <w:t xml:space="preserve"> nach Port Nolloth</w:t>
      </w:r>
      <w:r w:rsidR="00363C1C">
        <w:fldChar w:fldCharType="begin"/>
      </w:r>
      <w:r w:rsidR="00D20257">
        <w:instrText xml:space="preserve"> XE "</w:instrText>
      </w:r>
      <w:r w:rsidR="00D20257" w:rsidRPr="00CA1DE2">
        <w:rPr>
          <w:lang w:val="fr-FR"/>
        </w:rPr>
        <w:instrText>Port Nolloth</w:instrText>
      </w:r>
      <w:r w:rsidR="00D20257">
        <w:instrText xml:space="preserve">" </w:instrText>
      </w:r>
      <w:r w:rsidR="00363C1C">
        <w:fldChar w:fldCharType="end"/>
      </w:r>
      <w:r>
        <w:t xml:space="preserve"> im Klein-Namaland spürt Spiecker die Annäherung an die Kriegsschauplätze:</w:t>
      </w:r>
    </w:p>
    <w:p w:rsidR="00CF6655" w:rsidRDefault="00CF6655" w:rsidP="00CF6655">
      <w:pPr>
        <w:pStyle w:val="Zitat"/>
      </w:pPr>
      <w:r>
        <w:t>Besonders besetzt ist alles durch deutsche Offiziere und Soldaten, die im G</w:t>
      </w:r>
      <w:r>
        <w:t>e</w:t>
      </w:r>
      <w:r>
        <w:t>fecht mit Morenga zum Teil schwer verwundet wurden. […] Dieser Veterinär […] erzählte, die Morengaleute hätten die Verwundeten mit Steinen totg</w:t>
      </w:r>
      <w:r>
        <w:t>e</w:t>
      </w:r>
      <w:r>
        <w:t>schlagen. Nachher bei Tisch saß ein verwundeter Offizier und Arzt neben mir. Diese sagten: Morengas Leute haben uns stets die Verwundeten ausgeliefert und diese sehr gut behandelt. Man sieht, wie die Märlein von Grausamkeiten der Eingeborenen entstehen. (284f)</w:t>
      </w:r>
    </w:p>
    <w:p w:rsidR="00CF6655" w:rsidRDefault="00CF6655" w:rsidP="00DC06A5">
      <w:pPr>
        <w:pStyle w:val="Text"/>
        <w:ind w:firstLine="0"/>
      </w:pPr>
      <w:r>
        <w:t>Die Horrormärchen werden von höchster Stelle in die Welt gesetzt:</w:t>
      </w:r>
    </w:p>
    <w:p w:rsidR="00CF6655" w:rsidRDefault="00CF6655" w:rsidP="00CF6655">
      <w:pPr>
        <w:pStyle w:val="Zitat"/>
      </w:pPr>
      <w:r>
        <w:t>Zu Br.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sagte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Die sogenannten Christen haben es ebenso schlimm getrieben, wie die Heiden. Sie haben das Evangelium nicht verstanden, wohl aber die bluttriefenden Königsgeschichten des A[lten] T[estament]s. Wir fanden in Hererohütten das A. Testament geöffnet und mit dem Blut erschl</w:t>
      </w:r>
      <w:r>
        <w:t>a</w:t>
      </w:r>
      <w:r>
        <w:t>gener Feinde bespritzt. Als Bruder Eich</w:t>
      </w:r>
      <w:r w:rsidR="00363C1C">
        <w:fldChar w:fldCharType="begin"/>
      </w:r>
      <w:r w:rsidR="0078232E">
        <w:instrText xml:space="preserve"> XE "</w:instrText>
      </w:r>
      <w:r w:rsidR="0078232E" w:rsidRPr="00EF1255">
        <w:instrText>Eich (Präses der RMG in der Kapprovinz)</w:instrText>
      </w:r>
      <w:r w:rsidR="0078232E">
        <w:instrText xml:space="preserve">" </w:instrText>
      </w:r>
      <w:r w:rsidR="00363C1C">
        <w:fldChar w:fldCharType="end"/>
      </w:r>
      <w:r>
        <w:t xml:space="preserve"> ihm sagte: Das A. Testament ist gar nicht in die Hererosprache übersetzt, schwieg er. (543)</w:t>
      </w:r>
    </w:p>
    <w:p w:rsidR="00CF6655" w:rsidRDefault="00CF6655" w:rsidP="00DC06A5">
      <w:pPr>
        <w:pStyle w:val="Text"/>
        <w:ind w:firstLine="0"/>
      </w:pPr>
      <w:r>
        <w:t>Solche Geschichten dürften eine doppelte Funktion erfüllt haben: Gegenüber der Öffentlichkeit legitimierten sie das eigene harte Vorgehen und beugten e</w:t>
      </w:r>
      <w:r>
        <w:t>i</w:t>
      </w:r>
      <w:r>
        <w:t xml:space="preserve">nem etwaigen Widerspruch gegen die Behandlung der Gefangenen durch die Deutschen vor, einer Kritik, mit der Spiecker denn auch ziemlich allein dasteht. </w:t>
      </w:r>
      <w:r>
        <w:lastRenderedPageBreak/>
        <w:t>Zum anderen pflanzten sich diese Gerüchte, einmal in die Welt gesetzt, unter den Soldaten fort und stärkten deren Feindbild und damit ihre Kampfmoral.</w:t>
      </w:r>
    </w:p>
    <w:p w:rsidR="00CF6655" w:rsidRDefault="00CF6655" w:rsidP="00CF6655">
      <w:pPr>
        <w:pStyle w:val="Text"/>
      </w:pPr>
      <w:r>
        <w:t>In ihrer Kürze, ihrer Ausrichtung auf Wirkung und dem Mangel an Hinte</w:t>
      </w:r>
      <w:r>
        <w:t>r</w:t>
      </w:r>
      <w:r>
        <w:t>grundinformation nehmen diese Geschichten den Charakter von Anekdoten an. Ihre Bedeutung besteht darin, dass sie aus dem Zusammenhang gerissen werden, in denen die beschriebene Gewalt (die in manchen Fällen wirklich stattgefunden haben wird, in anderen übertrieben und in einigen wohl ganz erfunden ist) als Teil eines Prozesses der Gewalteskalation verstanden werden könnte. Ein Be</w:t>
      </w:r>
      <w:r>
        <w:t>i</w:t>
      </w:r>
      <w:r>
        <w:t>spiel für eine solche ‚Horror-Anekdote‘ findet sich bei Ernst von Weber</w:t>
      </w:r>
      <w:r w:rsidR="00363C1C">
        <w:fldChar w:fldCharType="begin"/>
      </w:r>
      <w:r w:rsidR="00710612">
        <w:instrText xml:space="preserve"> XE "</w:instrText>
      </w:r>
      <w:r w:rsidR="00710612" w:rsidRPr="002C5A3F">
        <w:instrText xml:space="preserve">Weber, </w:instrText>
      </w:r>
      <w:r w:rsidR="00236D9A">
        <w:instrText>Ernst von</w:instrText>
      </w:r>
      <w:r w:rsidR="00710612">
        <w:instrText xml:space="preserve">" </w:instrText>
      </w:r>
      <w:r w:rsidR="00363C1C">
        <w:fldChar w:fldCharType="end"/>
      </w:r>
      <w:r>
        <w:t>, einem der wichtigsten Befürworter der deutschen Kolonialexpansion, der aus wir</w:t>
      </w:r>
      <w:r>
        <w:t>t</w:t>
      </w:r>
      <w:r>
        <w:t>schaftlichen Gründen – zur Ausbeutung der Diamantvorkommen – nach Afrika fuhr.</w:t>
      </w:r>
    </w:p>
    <w:p w:rsidR="00CF6655" w:rsidRDefault="00CF6655" w:rsidP="00CF6655">
      <w:pPr>
        <w:pStyle w:val="Zitat"/>
      </w:pPr>
      <w:r>
        <w:t>Beim Eintritt in das offene Haus sieht er im ersten Zimmer seinen Vater mit zerschmettertem Schädel auf dem Boden, im zweiten seine Mutter grässlich verstümmelt auf dem Bett liegen! […] Da ertönt rings um das Haus in großer Nähe das erschreckliche Kriegsgeheul herannahender Kaffermassen! Er flüc</w:t>
      </w:r>
      <w:r>
        <w:t>h</w:t>
      </w:r>
      <w:r>
        <w:t>tet sich, um sich vor ihnen zu verbergen, und die Kaffern zünden das Haus an und brennen es nieder.</w:t>
      </w:r>
      <w:r>
        <w:rPr>
          <w:rStyle w:val="Funotenzeichen"/>
        </w:rPr>
        <w:footnoteReference w:id="286"/>
      </w:r>
    </w:p>
    <w:p w:rsidR="00CF6655" w:rsidRDefault="00CF6655" w:rsidP="00AE21E9">
      <w:pPr>
        <w:pStyle w:val="Titel3"/>
      </w:pPr>
      <w:bookmarkStart w:id="449" w:name="_Toc130260778"/>
      <w:bookmarkStart w:id="450" w:name="_Toc327388078"/>
      <w:r>
        <w:t>Ein zerstörtes Land</w:t>
      </w:r>
      <w:bookmarkEnd w:id="447"/>
      <w:bookmarkEnd w:id="448"/>
      <w:bookmarkEnd w:id="449"/>
      <w:bookmarkEnd w:id="450"/>
    </w:p>
    <w:p w:rsidR="00CF6655" w:rsidRDefault="00CF6655" w:rsidP="00AE21E9">
      <w:pPr>
        <w:pStyle w:val="Text"/>
        <w:ind w:firstLine="0"/>
      </w:pPr>
      <w:r>
        <w:t>Das Ausmaß der Verwüstung ist überall augenfällig. In vielen Regionen des La</w:t>
      </w:r>
      <w:r>
        <w:t>n</w:t>
      </w:r>
      <w:r>
        <w:t>des fehlen einfach die Menschen, die geflohen sind, um vor dem Gegenschlag der Deutschen sicher zu sein. Südlich von Otjiwarongo</w:t>
      </w:r>
      <w:r w:rsidR="00363C1C">
        <w:fldChar w:fldCharType="begin"/>
      </w:r>
      <w:r w:rsidR="0016062E">
        <w:instrText xml:space="preserve"> XE "</w:instrText>
      </w:r>
      <w:r w:rsidR="0016062E" w:rsidRPr="004D76D9">
        <w:instrText>Otjiwarongo</w:instrText>
      </w:r>
      <w:r w:rsidR="0016062E">
        <w:instrText xml:space="preserve">" </w:instrText>
      </w:r>
      <w:r w:rsidR="00363C1C">
        <w:fldChar w:fldCharType="end"/>
      </w:r>
      <w:r>
        <w:t xml:space="preserve"> fällt Spiecker das hoch st</w:t>
      </w:r>
      <w:r>
        <w:t>e</w:t>
      </w:r>
      <w:r>
        <w:t>hende Gras auf:</w:t>
      </w:r>
    </w:p>
    <w:p w:rsidR="00CF6655" w:rsidRDefault="00CF6655" w:rsidP="00CF6655">
      <w:pPr>
        <w:pStyle w:val="Zitat"/>
      </w:pPr>
      <w:r>
        <w:t>Leider fehlt das Vieh, um das Gras abzuweiden. Wäre Oberst Leutwein</w:t>
      </w:r>
      <w:r w:rsidR="00363C1C">
        <w:fldChar w:fldCharType="begin"/>
      </w:r>
      <w:r w:rsidR="008F56BD">
        <w:instrText xml:space="preserve"> XE "</w:instrText>
      </w:r>
      <w:r w:rsidR="008F56BD" w:rsidRPr="00C56F14">
        <w:instrText>Leutwein, Theodor</w:instrText>
      </w:r>
      <w:r w:rsidR="008F56BD">
        <w:instrText xml:space="preserve">" </w:instrText>
      </w:r>
      <w:r w:rsidR="00363C1C">
        <w:fldChar w:fldCharType="end"/>
      </w:r>
      <w:r>
        <w:t xml:space="preserve"> gebli</w:t>
      </w:r>
      <w:r>
        <w:t>e</w:t>
      </w:r>
      <w:r>
        <w:t>ben und General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xml:space="preserve"> nicht gekommen, dann wäre das Land schwerlich so von Menschen und Vieh entleert worden. (947)</w:t>
      </w:r>
    </w:p>
    <w:p w:rsidR="00CF6655" w:rsidRDefault="00CF6655" w:rsidP="00AE21E9">
      <w:pPr>
        <w:pStyle w:val="Text"/>
        <w:ind w:firstLine="0"/>
      </w:pPr>
      <w:r>
        <w:t>200 Kilometer nordöstlich, nördlich von Grootfontein</w:t>
      </w:r>
      <w:r w:rsidR="00363C1C">
        <w:fldChar w:fldCharType="begin"/>
      </w:r>
      <w:r w:rsidR="00FD439D">
        <w:instrText xml:space="preserve"> XE "</w:instrText>
      </w:r>
      <w:r w:rsidR="00FD439D" w:rsidRPr="00F824E7">
        <w:instrText>Grootfontein</w:instrText>
      </w:r>
      <w:r w:rsidR="00FD439D">
        <w:instrText xml:space="preserve">" </w:instrText>
      </w:r>
      <w:r w:rsidR="00363C1C">
        <w:fldChar w:fldCharType="end"/>
      </w:r>
      <w:r>
        <w:t>, bietet sich dasselbe Bild: „Das Land ist menschenleer und macht deshalb trotz der hier im Norden guten Vegetation einen traurigen Eindruck. Was ist ein Land ohne Menschen wert?“ (967f) Dieselbe Beobachtung wiederholt sich, denn die meisten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sind g</w:t>
      </w:r>
      <w:r>
        <w:t>e</w:t>
      </w:r>
      <w:r>
        <w:t>tötet, in Gefangenschaft geraten oder ostwärts nach Britisch-Betschuanaland</w:t>
      </w:r>
      <w:r w:rsidR="00363C1C">
        <w:fldChar w:fldCharType="begin"/>
      </w:r>
      <w:r w:rsidR="0016062E">
        <w:instrText xml:space="preserve"> XE "</w:instrText>
      </w:r>
      <w:r w:rsidR="0016062E" w:rsidRPr="00D02041">
        <w:instrText>Betschuanaland</w:instrText>
      </w:r>
      <w:r w:rsidR="0016062E">
        <w:instrText xml:space="preserve">" </w:instrText>
      </w:r>
      <w:r w:rsidR="00363C1C">
        <w:fldChar w:fldCharType="end"/>
      </w:r>
      <w:r>
        <w:t xml:space="preserve"> g</w:t>
      </w:r>
      <w:r>
        <w:t>e</w:t>
      </w:r>
      <w:r>
        <w:t xml:space="preserve">flohen. Vor allem im Norden scheint das Land abseits der kleinen Gemeinden </w:t>
      </w:r>
      <w:r>
        <w:lastRenderedPageBreak/>
        <w:t>menschenleer zu sein, weil die dort lebenden halbnomadischen Stämme ve</w:t>
      </w:r>
      <w:r>
        <w:t>r</w:t>
      </w:r>
      <w:r>
        <w:t>schwunden sind; doch auch die südlichen Gemeinden sind allgemein arg dez</w:t>
      </w:r>
      <w:r>
        <w:t>i</w:t>
      </w:r>
      <w:r>
        <w:t>miert worden.</w:t>
      </w:r>
    </w:p>
    <w:p w:rsidR="00CF6655" w:rsidRDefault="00CF6655" w:rsidP="00CF6655">
      <w:pPr>
        <w:pStyle w:val="Text"/>
      </w:pPr>
      <w:r>
        <w:t>Spiecker macht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xml:space="preserve"> für die Zerstörung verantwortlich:</w:t>
      </w:r>
    </w:p>
    <w:p w:rsidR="00CF6655" w:rsidRDefault="00CF6655" w:rsidP="00CF6655">
      <w:pPr>
        <w:pStyle w:val="Zitat"/>
      </w:pPr>
      <w:r>
        <w:t>In Großnamaland muß es geradezu schrecklich aussehen. Dabei wird General von Trotha</w:t>
      </w:r>
      <w:r w:rsidR="00363C1C">
        <w:fldChar w:fldCharType="begin"/>
      </w:r>
      <w:r w:rsidR="00A4238C">
        <w:instrText xml:space="preserve"> XE "</w:instrText>
      </w:r>
      <w:r w:rsidR="00A4238C" w:rsidRPr="00877269">
        <w:instrText>Trotha, Lothar von</w:instrText>
      </w:r>
      <w:r w:rsidR="00A4238C">
        <w:instrText xml:space="preserve">" </w:instrText>
      </w:r>
      <w:r w:rsidR="00363C1C">
        <w:fldChar w:fldCharType="end"/>
      </w:r>
      <w:r>
        <w:t xml:space="preserve"> dekoriert, obwohl man in Afrika von großen Taten desselben nichts weiß. Vielleicht hat der Orden den Zweck, um diese schmerzliche Tats</w:t>
      </w:r>
      <w:r>
        <w:t>a</w:t>
      </w:r>
      <w:r>
        <w:t>che etwas zu verdunkeln. (113)</w:t>
      </w:r>
    </w:p>
    <w:p w:rsidR="00CF6655" w:rsidRDefault="00CF6655" w:rsidP="00AE21E9">
      <w:pPr>
        <w:pStyle w:val="Titel3"/>
      </w:pPr>
      <w:bookmarkStart w:id="451" w:name="_Toc122313685"/>
      <w:bookmarkStart w:id="452" w:name="_Toc122313773"/>
      <w:bookmarkStart w:id="453" w:name="_Toc130260779"/>
      <w:bookmarkStart w:id="454" w:name="_Toc327388079"/>
      <w:r>
        <w:t>Medizinische Versorgung</w:t>
      </w:r>
      <w:bookmarkEnd w:id="451"/>
      <w:bookmarkEnd w:id="452"/>
      <w:bookmarkEnd w:id="453"/>
      <w:bookmarkEnd w:id="454"/>
    </w:p>
    <w:p w:rsidR="00CF6655" w:rsidRDefault="00CF6655" w:rsidP="00061DBE">
      <w:pPr>
        <w:pStyle w:val="Text"/>
        <w:ind w:firstLine="0"/>
      </w:pPr>
      <w:r>
        <w:t>Ein Hinweis auf die Behandlung in den Gefangenenkraalen</w:t>
      </w:r>
      <w:r w:rsidR="00363C1C">
        <w:fldChar w:fldCharType="begin"/>
      </w:r>
      <w:r w:rsidR="00B12E9F">
        <w:instrText xml:space="preserve"> XE "</w:instrText>
      </w:r>
      <w:r w:rsidR="00B12E9F" w:rsidRPr="00F77A04">
        <w:instrText>Kraal</w:instrText>
      </w:r>
      <w:r w:rsidR="00B12E9F">
        <w:instrText xml:space="preserve">" </w:instrText>
      </w:r>
      <w:r w:rsidR="00363C1C">
        <w:fldChar w:fldCharType="end"/>
      </w:r>
      <w:r>
        <w:t xml:space="preserve"> gibt Spiecker anhand des von Br. Elger</w:t>
      </w:r>
      <w:r w:rsidR="00363C1C">
        <w:fldChar w:fldCharType="begin"/>
      </w:r>
      <w:r w:rsidR="00D20257">
        <w:instrText xml:space="preserve"> XE "</w:instrText>
      </w:r>
      <w:r w:rsidR="00D20257" w:rsidRPr="00D644E5">
        <w:instrText>Elger, Geschw.</w:instrText>
      </w:r>
      <w:r w:rsidR="00D20257">
        <w:instrText xml:space="preserve">" </w:instrText>
      </w:r>
      <w:r w:rsidR="00363C1C">
        <w:fldChar w:fldCharType="end"/>
      </w:r>
      <w:r>
        <w:t xml:space="preserve"> in Karibib</w:t>
      </w:r>
      <w:r w:rsidR="00363C1C">
        <w:fldChar w:fldCharType="begin"/>
      </w:r>
      <w:r w:rsidR="00D20257">
        <w:instrText xml:space="preserve"> XE "</w:instrText>
      </w:r>
      <w:r w:rsidR="00D20257" w:rsidRPr="00EB7643">
        <w:instrText>Karibib</w:instrText>
      </w:r>
      <w:r w:rsidR="00D20257">
        <w:instrText xml:space="preserve">" </w:instrText>
      </w:r>
      <w:r w:rsidR="00363C1C">
        <w:fldChar w:fldCharType="end"/>
      </w:r>
      <w:r>
        <w:t xml:space="preserve"> geführten Lazaretts: „Während [die] Kranken in den Gefangenenkraalen</w:t>
      </w:r>
      <w:r w:rsidR="00363C1C">
        <w:fldChar w:fldCharType="begin"/>
      </w:r>
      <w:r w:rsidR="00B12E9F">
        <w:instrText xml:space="preserve"> XE "</w:instrText>
      </w:r>
      <w:r w:rsidR="00B12E9F" w:rsidRPr="00F77A04">
        <w:instrText>Kraal</w:instrText>
      </w:r>
      <w:r w:rsidR="00B12E9F">
        <w:instrText xml:space="preserve">" </w:instrText>
      </w:r>
      <w:r w:rsidR="00363C1C">
        <w:fldChar w:fldCharType="end"/>
      </w:r>
      <w:r>
        <w:t xml:space="preserve"> und Werften so zu sagen alle sterben, sind in Elgers Lazarett nur 20 % gestorben, die meist zu spät gebracht wurden.“ (763f) Es handelt sich um ein provisorisches Lazarett unter einfachsten Bedingungen, in dem die mei</w:t>
      </w:r>
      <w:r>
        <w:t>s</w:t>
      </w:r>
      <w:r>
        <w:t>ten auf Säcken liegen. Die hohe Erfolgsquote wird vor allem durch Pflege und gutes Essen erreicht; es handelt sich nicht vorwiegend um Schwerkranke, viele leiden an Skorbut</w:t>
      </w:r>
      <w:r w:rsidR="00363C1C">
        <w:fldChar w:fldCharType="begin"/>
      </w:r>
      <w:r w:rsidR="000C466F">
        <w:instrText xml:space="preserve"> XE "</w:instrText>
      </w:r>
      <w:r w:rsidR="000C466F" w:rsidRPr="002108EA">
        <w:instrText>Skorbut</w:instrText>
      </w:r>
      <w:r w:rsidR="000C466F">
        <w:instrText xml:space="preserve">" </w:instrText>
      </w:r>
      <w:r w:rsidR="00363C1C">
        <w:fldChar w:fldCharType="end"/>
      </w:r>
      <w:r>
        <w:t xml:space="preserve"> (einer Mangelkrankheit, die durch vitaminarme, einseitige E</w:t>
      </w:r>
      <w:r>
        <w:t>r</w:t>
      </w:r>
      <w:r>
        <w:t>nährung ausgelöst wird).</w:t>
      </w:r>
      <w:r>
        <w:rPr>
          <w:rStyle w:val="Funotenzeichen"/>
        </w:rPr>
        <w:footnoteReference w:id="287"/>
      </w:r>
      <w:r>
        <w:t xml:space="preserve"> (598) Auch der hier gewährleistete Schutz vor Kälte und Wind dürfte eine Rolle spielen, obwohl einige der ‚Gebäude‘ des Lazaretts nur aus Kisten zusammengebastelt sind. (763)</w:t>
      </w:r>
    </w:p>
    <w:p w:rsidR="00CF6655" w:rsidRDefault="00CF6655" w:rsidP="00CF6655">
      <w:pPr>
        <w:pStyle w:val="Text"/>
      </w:pPr>
      <w:r>
        <w:t>In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heißt es:</w:t>
      </w:r>
    </w:p>
    <w:p w:rsidR="00CF6655" w:rsidRDefault="00CF6655" w:rsidP="00CF6655">
      <w:pPr>
        <w:pStyle w:val="Zitat"/>
      </w:pPr>
      <w:r>
        <w:t>Dann gingen wir zum Gefangenen- und Lazarettkraal. Da sahen wir sehr viel Elend, unter anderem einen Mann – nur Knochen und Haut – der dem Tode nahe war. Auch sonst sehe ich viele Jammergestalten. Die meisten leiden und sterben an Skorbut</w:t>
      </w:r>
      <w:r w:rsidR="00363C1C">
        <w:fldChar w:fldCharType="begin"/>
      </w:r>
      <w:r w:rsidR="000C466F">
        <w:instrText xml:space="preserve"> XE "</w:instrText>
      </w:r>
      <w:r w:rsidR="000C466F" w:rsidRPr="002108EA">
        <w:instrText>Skorbut</w:instrText>
      </w:r>
      <w:r w:rsidR="000C466F">
        <w:instrText xml:space="preserve">" </w:instrText>
      </w:r>
      <w:r w:rsidR="00363C1C">
        <w:fldChar w:fldCharType="end"/>
      </w:r>
      <w:r>
        <w:t>. Wer eben konnte kam – oft an 2 Stöcken oder auf Händen und Füßen – herangehumpelt und herangekrochen. Ich predigte über Lukas 15 V 1-7 Das verlorene Schaf. Möchte ein wenig Trost in die armen Herzen g</w:t>
      </w:r>
      <w:r>
        <w:t>e</w:t>
      </w:r>
      <w:r>
        <w:t>drungen sein. Auch sie zeigten sich dankbar. Einige weiße Zuhörer waren bei allen Gottesdiensten,</w:t>
      </w:r>
      <w:r>
        <w:rPr>
          <w:rStyle w:val="Funotenzeichen"/>
        </w:rPr>
        <w:footnoteReference w:id="288"/>
      </w:r>
      <w:r>
        <w:t xml:space="preserve"> doch hatte ich den Eindruck, daß es Lauscher resp Sp</w:t>
      </w:r>
      <w:r>
        <w:t>i</w:t>
      </w:r>
      <w:r>
        <w:t>one waren. (597f)</w:t>
      </w:r>
    </w:p>
    <w:p w:rsidR="00CF6655" w:rsidRDefault="00CF6655" w:rsidP="00061DBE">
      <w:pPr>
        <w:pStyle w:val="Text"/>
        <w:ind w:firstLine="0"/>
      </w:pPr>
      <w:r>
        <w:lastRenderedPageBreak/>
        <w:t>In Otjihaënena</w:t>
      </w:r>
      <w:r w:rsidR="00363C1C">
        <w:fldChar w:fldCharType="begin"/>
      </w:r>
      <w:r w:rsidR="00FD439D">
        <w:instrText xml:space="preserve"> XE "</w:instrText>
      </w:r>
      <w:r w:rsidR="00FD439D" w:rsidRPr="007C2688">
        <w:instrText>Otjihaënena</w:instrText>
      </w:r>
      <w:r w:rsidR="00FD439D">
        <w:instrText xml:space="preserve">" </w:instrText>
      </w:r>
      <w:r w:rsidR="00363C1C">
        <w:fldChar w:fldCharType="end"/>
      </w:r>
      <w:r>
        <w:t xml:space="preserve"> werden die von der Mission „eingebrachten“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von Kran</w:t>
      </w:r>
      <w:r>
        <w:t>k</w:t>
      </w:r>
      <w:r>
        <w:t>heiten wie Ruhr, Pocken, Dysenterie befallen. (918)</w:t>
      </w:r>
    </w:p>
    <w:p w:rsidR="00CF6655" w:rsidRDefault="00CF6655" w:rsidP="00061DBE">
      <w:pPr>
        <w:pStyle w:val="Titel3"/>
      </w:pPr>
      <w:bookmarkStart w:id="455" w:name="_Toc122313649"/>
      <w:bookmarkStart w:id="456" w:name="_Toc122313737"/>
      <w:bookmarkStart w:id="457" w:name="_Toc130260780"/>
      <w:bookmarkStart w:id="458" w:name="_Ref325355236"/>
      <w:bookmarkStart w:id="459" w:name="_Toc327388080"/>
      <w:r>
        <w:t>Die Konzentrationslager</w:t>
      </w:r>
      <w:bookmarkEnd w:id="455"/>
      <w:bookmarkEnd w:id="456"/>
      <w:bookmarkEnd w:id="457"/>
      <w:bookmarkEnd w:id="458"/>
      <w:bookmarkEnd w:id="459"/>
      <w:r w:rsidR="00363C1C">
        <w:fldChar w:fldCharType="begin"/>
      </w:r>
      <w:r w:rsidR="00C221A5">
        <w:instrText xml:space="preserve"> XE "</w:instrText>
      </w:r>
      <w:r w:rsidR="00C221A5" w:rsidRPr="00B24F31">
        <w:instrText>Konzentrationslager</w:instrText>
      </w:r>
      <w:r w:rsidR="00C221A5">
        <w:instrText xml:space="preserve">" </w:instrText>
      </w:r>
      <w:r w:rsidR="00363C1C">
        <w:fldChar w:fldCharType="end"/>
      </w:r>
    </w:p>
    <w:p w:rsidR="00CF6655" w:rsidRDefault="00CF6655" w:rsidP="00061DBE">
      <w:pPr>
        <w:pStyle w:val="Text"/>
        <w:ind w:firstLine="0"/>
      </w:pPr>
      <w:r>
        <w:t>Schon bei seiner ersten Unterredung mit dem Gouverneur von Lindequist</w:t>
      </w:r>
      <w:r w:rsidR="00363C1C">
        <w:fldChar w:fldCharType="begin"/>
      </w:r>
      <w:r w:rsidR="001B0CF3">
        <w:instrText xml:space="preserve"> XE "</w:instrText>
      </w:r>
      <w:r w:rsidR="001B0CF3" w:rsidRPr="00F96CA9">
        <w:instrText>Lindequist, Gouverneur von</w:instrText>
      </w:r>
      <w:r w:rsidR="001B0CF3">
        <w:instrText xml:space="preserve">" </w:instrText>
      </w:r>
      <w:r w:rsidR="00363C1C">
        <w:fldChar w:fldCharType="end"/>
      </w:r>
      <w:r>
        <w:t>, der gemeinsam mit ihm auf dem englischen Schiff „Kenilworth castle“ von London</w:t>
      </w:r>
      <w:r w:rsidR="00363C1C">
        <w:fldChar w:fldCharType="begin"/>
      </w:r>
      <w:r w:rsidR="00710612">
        <w:instrText xml:space="preserve"> XE "</w:instrText>
      </w:r>
      <w:r w:rsidR="00710612" w:rsidRPr="00710612">
        <w:instrText>London</w:instrText>
      </w:r>
      <w:r w:rsidR="00710612">
        <w:instrText xml:space="preserve">" </w:instrText>
      </w:r>
      <w:r w:rsidR="00363C1C">
        <w:fldChar w:fldCharType="end"/>
      </w:r>
      <w:r>
        <w:t xml:space="preserve"> nach Afrika reist, berichtet ihm Spiecker „von der traurigen Lage der Gefang</w:t>
      </w:r>
      <w:r>
        <w:t>e</w:t>
      </w:r>
      <w:r>
        <w:t>nen in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(19) Br. Kuhlmann</w:t>
      </w:r>
      <w:r w:rsidR="00363C1C">
        <w:fldChar w:fldCharType="begin"/>
      </w:r>
      <w:r w:rsidR="00FD439D">
        <w:instrText xml:space="preserve"> XE "</w:instrText>
      </w:r>
      <w:r w:rsidR="00FD439D" w:rsidRPr="001E7D05">
        <w:instrText>Kuhlmann, Br.</w:instrText>
      </w:r>
      <w:r w:rsidR="00FD439D">
        <w:instrText xml:space="preserve">" </w:instrText>
      </w:r>
      <w:r w:rsidR="00363C1C">
        <w:fldChar w:fldCharType="end"/>
      </w:r>
      <w:r>
        <w:t>, der die Sammelstelle</w:t>
      </w:r>
      <w:r w:rsidR="00363C1C">
        <w:fldChar w:fldCharType="begin"/>
      </w:r>
      <w:r w:rsidR="00E01EA7">
        <w:instrText xml:space="preserve"> XE "</w:instrText>
      </w:r>
      <w:r w:rsidR="00E01EA7" w:rsidRPr="00152922">
        <w:instrText>Sammelstelle</w:instrText>
      </w:r>
      <w:r w:rsidR="00E01EA7">
        <w:instrText xml:space="preserve">" </w:instrText>
      </w:r>
      <w:r w:rsidR="00363C1C">
        <w:fldChar w:fldCharType="end"/>
      </w:r>
      <w:r>
        <w:t xml:space="preserve"> für Eingeborene in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leitet und diese Tätigkeit der Mission angesichts der hohen Sterber</w:t>
      </w:r>
      <w:r>
        <w:t>a</w:t>
      </w:r>
      <w:r>
        <w:t>te in den Lagern kritisch sieht (612, 616), hat das Gefangenenlager in Lüderitzbucht besucht, einen Bericht über die dortigen Zustände verfasst und ihn Spiecker nach Deutschland geschickt. Dieser g</w:t>
      </w:r>
      <w:r w:rsidR="002C0AE9">
        <w:t>ibt ihn</w:t>
      </w:r>
      <w:r>
        <w:t xml:space="preserve"> nun dem Gouverneur (22f).</w:t>
      </w:r>
    </w:p>
    <w:p w:rsidR="00CF6655" w:rsidRDefault="00CF6655" w:rsidP="00CF6655">
      <w:pPr>
        <w:pStyle w:val="Text"/>
      </w:pPr>
      <w:r>
        <w:t>Spiecker weiß also um die Zustände in den Lagern und vergisst diesen Punkt bei seinen wiederholten Gesprächen mit dem Gouverneur nie. Trotzdem setzt auch er manchmal andere Prioritäten. In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bedauert er an einem Sonntag, dass sich am Vormittag kein Gottesdienst für die Eingeborenen halten lässt:</w:t>
      </w:r>
    </w:p>
    <w:p w:rsidR="00CF6655" w:rsidRDefault="00CF6655" w:rsidP="00CF6655">
      <w:pPr>
        <w:pStyle w:val="Zitat"/>
      </w:pPr>
      <w:r>
        <w:t>Die Eingeborenen sind den ganzen Morgen meist in Arbeit, auch die freien Bergdamra</w:t>
      </w:r>
      <w:r w:rsidR="00363C1C">
        <w:fldChar w:fldCharType="begin"/>
      </w:r>
      <w:r w:rsidR="00AD7AF5">
        <w:instrText xml:space="preserve"> XE "</w:instrText>
      </w:r>
      <w:r w:rsidR="00AD7AF5" w:rsidRPr="001E01BD">
        <w:instrText>Bergdamra</w:instrText>
      </w:r>
      <w:r w:rsidR="00AD7AF5">
        <w:instrText xml:space="preserve">" </w:instrText>
      </w:r>
      <w:r w:rsidR="00363C1C">
        <w:fldChar w:fldCharType="end"/>
      </w:r>
      <w:r>
        <w:t>, erst recht die gefangenen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Heute müssen sie ihre Werft</w:t>
      </w:r>
      <w:r w:rsidR="00363C1C">
        <w:fldChar w:fldCharType="begin"/>
      </w:r>
      <w:r w:rsidR="00AD7AF5">
        <w:instrText xml:space="preserve"> XE "</w:instrText>
      </w:r>
      <w:r w:rsidR="00AD7AF5" w:rsidRPr="00D743D3">
        <w:instrText>Werft</w:instrText>
      </w:r>
      <w:r w:rsidR="00AD7AF5">
        <w:instrText xml:space="preserve">" </w:instrText>
      </w:r>
      <w:r w:rsidR="00363C1C">
        <w:fldChar w:fldCharType="end"/>
      </w:r>
      <w:r>
        <w:t xml:space="preserve"> ve</w:t>
      </w:r>
      <w:r>
        <w:t>r</w:t>
      </w:r>
      <w:r>
        <w:t>legen. Auf dem Weg zur Kirche begegneten uns ganze Scharen von Eingebor</w:t>
      </w:r>
      <w:r>
        <w:t>e</w:t>
      </w:r>
      <w:r>
        <w:t>nen, die sich abschleppten mit Teilen ihres Pontoks</w:t>
      </w:r>
      <w:r w:rsidR="00363C1C">
        <w:fldChar w:fldCharType="begin"/>
      </w:r>
      <w:r w:rsidR="00AD7AF5">
        <w:instrText xml:space="preserve"> XE "Pontok" </w:instrText>
      </w:r>
      <w:r w:rsidR="00363C1C">
        <w:fldChar w:fldCharType="end"/>
      </w:r>
      <w:r>
        <w:t xml:space="preserve"> und anderen Geräten zu der neuen Gefangenenwerft hin. Die bisherige Gefangenenwerft lag vor unserer Missionsstation und die neue wird hinter dieselbe verlegt. Dadurch präsentiert sich unsere Missionsstation viel besser. Die neue schmucke Kirche mit ihren schönen Türmchen ist weithin sichtbar […]. (1281f)</w:t>
      </w:r>
    </w:p>
    <w:p w:rsidR="00CF6655" w:rsidRDefault="00CF6655" w:rsidP="00061DBE">
      <w:pPr>
        <w:pStyle w:val="Text"/>
        <w:ind w:firstLine="0"/>
      </w:pPr>
      <w:r>
        <w:t>Spiecker besucht die Gefangenenwerft und das Lazarett. Die Lage beurteilt er recht positiv:</w:t>
      </w:r>
    </w:p>
    <w:p w:rsidR="00CF6655" w:rsidRDefault="00CF6655" w:rsidP="00CF6655">
      <w:pPr>
        <w:pStyle w:val="Zitat"/>
      </w:pPr>
      <w:r>
        <w:t>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in der Gefangenenwerft werden sehr gut verpflegt und dürfen jetzt auch nicht mehr ohne weiteres geschlagen werden. Sie müssen arbeiten, haben aber hinreichend freie Zeit. Manche werden dadurch übermütig und leicht frech und geben Widerworte. […] Ganz schrecklich sind die sittlichen Zustä</w:t>
      </w:r>
      <w:r>
        <w:t>n</w:t>
      </w:r>
      <w:r>
        <w:t>de. Obwohl viel mehr Frauen als Männer da sind, können die letzteren keine Frauen bekommen, da es die Mädchen und Frauen bequem und richtiger fi</w:t>
      </w:r>
      <w:r>
        <w:t>n</w:t>
      </w:r>
      <w:r>
        <w:t>den frei zu sein und sich für den Verkehr mit dem Mann mit einer Mark beza</w:t>
      </w:r>
      <w:r>
        <w:t>h</w:t>
      </w:r>
      <w:r>
        <w:t>len zu lassen. (1287f)</w:t>
      </w:r>
    </w:p>
    <w:p w:rsidR="00CF6655" w:rsidRDefault="00CF6655" w:rsidP="00CF6655">
      <w:pPr>
        <w:pStyle w:val="Zitat"/>
      </w:pPr>
      <w:r>
        <w:t xml:space="preserve">Die Fürsorge für die </w:t>
      </w:r>
      <w:proofErr w:type="gramStart"/>
      <w:r>
        <w:t>zur Zeit</w:t>
      </w:r>
      <w:proofErr w:type="gramEnd"/>
      <w:r>
        <w:t xml:space="preserve"> etwa 160 Kranken in den Lazaretten ist meines Erachtens sehr gut. Die Reinlichkeit hat mich geradezu in Erstaunen gesetzt. Die meisten Eingeborenen haben es hier besser, wie sie es je gehabt haben. Der die Aufsicht führende Unteroffizier hat ein Herz für die Eingeborenen und sorgt treu für sie […]. Trotz der guten Fürsorge sterben im Durchschnitt 4 </w:t>
      </w:r>
      <w:r>
        <w:lastRenderedPageBreak/>
        <w:t>Personen täglich. Das ungewohnte rauhe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die veränderte Lebensweise, bei einigen auch die harte Arbeit bringen Krankheit und Tod. (1311)</w:t>
      </w:r>
    </w:p>
    <w:p w:rsidR="00CF6655" w:rsidRDefault="00CF6655" w:rsidP="00061DBE">
      <w:pPr>
        <w:pStyle w:val="Text"/>
        <w:ind w:firstLine="0"/>
      </w:pPr>
      <w:r>
        <w:t xml:space="preserve">Auch die Flüchtlinge, die die Mission „sammelt“, landen im Lager: „In der Hererogefangenenwerft waren Leute, die frisch von </w:t>
      </w:r>
      <w:r w:rsidR="006D1099">
        <w:t>Otjosongombe</w:t>
      </w:r>
      <w:r w:rsidR="00363C1C">
        <w:fldChar w:fldCharType="begin"/>
      </w:r>
      <w:r w:rsidR="00C221A5">
        <w:instrText xml:space="preserve"> XE "</w:instrText>
      </w:r>
      <w:r w:rsidR="006D1099">
        <w:instrText>Otjosongombe</w:instrText>
      </w:r>
      <w:r w:rsidR="00C221A5">
        <w:instrText xml:space="preserve">" </w:instrText>
      </w:r>
      <w:r w:rsidR="00363C1C">
        <w:fldChar w:fldCharType="end"/>
      </w:r>
      <w:r>
        <w:t xml:space="preserve"> und Omburo</w:t>
      </w:r>
      <w:r w:rsidR="00363C1C">
        <w:fldChar w:fldCharType="begin"/>
      </w:r>
      <w:r w:rsidR="00FD439D">
        <w:instrText xml:space="preserve"> XE "</w:instrText>
      </w:r>
      <w:r w:rsidR="00FD439D" w:rsidRPr="00144CFD">
        <w:instrText>Omburo</w:instrText>
      </w:r>
      <w:r w:rsidR="00FD439D">
        <w:instrText xml:space="preserve">" </w:instrText>
      </w:r>
      <w:r w:rsidR="00363C1C">
        <w:fldChar w:fldCharType="end"/>
      </w:r>
      <w:r>
        <w:t xml:space="preserve"> gekommen waren. Diese hatten noch keine Pontoks</w:t>
      </w:r>
      <w:r w:rsidR="00363C1C">
        <w:fldChar w:fldCharType="begin"/>
      </w:r>
      <w:r w:rsidR="00AD7AF5">
        <w:instrText xml:space="preserve"> XE "Pontok" </w:instrText>
      </w:r>
      <w:r w:rsidR="00363C1C">
        <w:fldChar w:fldCharType="end"/>
      </w:r>
      <w:r>
        <w:t xml:space="preserve"> und froren sehr, obwohl sie mit Decken versehen waren. Es ist hier jetzt bei Tage z.B. heute so kalt, daß meine Finger so steif sind, daß ich kaum schreiben kann.“ (1288)</w:t>
      </w:r>
    </w:p>
    <w:p w:rsidR="00CF6655" w:rsidRDefault="00CF6655" w:rsidP="00CF6655">
      <w:pPr>
        <w:pStyle w:val="Text"/>
      </w:pPr>
      <w:r>
        <w:t>Ähnlich auf der Haifischinsel</w:t>
      </w:r>
      <w:r w:rsidR="00363C1C">
        <w:fldChar w:fldCharType="begin"/>
      </w:r>
      <w:r w:rsidR="00C221A5">
        <w:instrText xml:space="preserve"> XE "</w:instrText>
      </w:r>
      <w:r w:rsidR="00C221A5" w:rsidRPr="00C86B6B">
        <w:instrText>Haifischinsel</w:instrText>
      </w:r>
      <w:r w:rsidR="00C221A5">
        <w:instrText xml:space="preserve">" </w:instrText>
      </w:r>
      <w:r w:rsidR="00363C1C">
        <w:fldChar w:fldCharType="end"/>
      </w:r>
      <w:r>
        <w:t xml:space="preserve"> vor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w:t>
      </w:r>
      <w:r>
        <w:rPr>
          <w:rStyle w:val="Funotenzeichen"/>
        </w:rPr>
        <w:footnoteReference w:id="289"/>
      </w:r>
      <w:r>
        <w:t xml:space="preserve"> „Die dort dauernd domicilierten Hererogefangenen sind verhältnismäßig gut untergebracht. Es w</w:t>
      </w:r>
      <w:r>
        <w:t>a</w:t>
      </w:r>
      <w:r>
        <w:t>ren aber noch 200-300 Hererogefangene gerade angekommen […]. Die Leute wurden bei dem kalten Winde einfach im Freien untergebracht. Sie waren mit Decken ziemlich versehen und hockten um Feuer herum, froren aber sehr und mußten die Nacht dort zubringen. […] Sie kamen von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und </w:t>
      </w:r>
      <w:r w:rsidR="006D1099">
        <w:t>Otjosongombe</w:t>
      </w:r>
      <w:r w:rsidR="00363C1C">
        <w:fldChar w:fldCharType="begin"/>
      </w:r>
      <w:r w:rsidR="00C221A5">
        <w:instrText xml:space="preserve"> XE "</w:instrText>
      </w:r>
      <w:r w:rsidR="006D1099">
        <w:instrText>Otjosongombe</w:instrText>
      </w:r>
      <w:r w:rsidR="00C221A5">
        <w:instrText xml:space="preserve">" </w:instrText>
      </w:r>
      <w:r w:rsidR="00363C1C">
        <w:fldChar w:fldCharType="end"/>
      </w:r>
      <w:r>
        <w:t>, also von unseren Sammelstellen</w:t>
      </w:r>
      <w:r w:rsidR="00363C1C">
        <w:fldChar w:fldCharType="begin"/>
      </w:r>
      <w:r w:rsidR="00E01EA7">
        <w:instrText xml:space="preserve"> XE "</w:instrText>
      </w:r>
      <w:r w:rsidR="00E01EA7" w:rsidRPr="00542402">
        <w:instrText>Sammelstelle</w:instrText>
      </w:r>
      <w:r w:rsidR="00E01EA7">
        <w:instrText xml:space="preserve">" </w:instrText>
      </w:r>
      <w:r w:rsidR="00363C1C">
        <w:fldChar w:fldCharType="end"/>
      </w:r>
      <w:r>
        <w:t>.“ (1308f) Man muss sich vor Augen halten, dass es Winter ist und regelmäßig zu Nachtfrösten kommt, und dass außerdem die Eingeborenen meist unzureichend bekleidet sind. Dazu kommt der kalte Wind, der auf der völlig ungeschützt vor der Küste liegenden Insel weht; wie windig es hier draußen ist, kann man daran ablesen, dass Spiecker auf der ganzen Überfahrt von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nach Lüderitzbucht seekrank war (1300ff).</w:t>
      </w:r>
    </w:p>
    <w:p w:rsidR="00CF6655" w:rsidRDefault="00CF6655" w:rsidP="00CF6655">
      <w:pPr>
        <w:pStyle w:val="Text"/>
      </w:pPr>
      <w:r>
        <w:t>Dieses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vertragen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nicht. Sie haben ja ihre Stammesgebiete viel weiter im Norden – Omaruru</w:t>
      </w:r>
      <w:r w:rsidR="00363C1C">
        <w:fldChar w:fldCharType="begin"/>
      </w:r>
      <w:r w:rsidR="00FD439D">
        <w:instrText xml:space="preserve"> XE "</w:instrText>
      </w:r>
      <w:r w:rsidR="00FD439D" w:rsidRPr="00D82E55">
        <w:instrText>Omaruru</w:instrText>
      </w:r>
      <w:r w:rsidR="00FD439D">
        <w:instrText xml:space="preserve">" </w:instrText>
      </w:r>
      <w:r w:rsidR="00363C1C">
        <w:fldChar w:fldCharType="end"/>
      </w:r>
      <w:r>
        <w:t xml:space="preserve"> liegt fast 600 Kilometer näher am Äquator – und werden von der Regierung ins frühere Namagebiet gebracht, während die Nama</w:t>
      </w:r>
      <w:r w:rsidR="00363C1C">
        <w:fldChar w:fldCharType="begin"/>
      </w:r>
      <w:r w:rsidR="003264BA">
        <w:instrText xml:space="preserve"> XE "</w:instrText>
      </w:r>
      <w:r w:rsidR="003264BA" w:rsidRPr="001F563C">
        <w:instrText>Nama</w:instrText>
      </w:r>
      <w:r w:rsidR="003264BA">
        <w:instrText xml:space="preserve">" </w:instrText>
      </w:r>
      <w:r w:rsidR="00363C1C">
        <w:fldChar w:fldCharType="end"/>
      </w:r>
      <w:r>
        <w:t xml:space="preserve"> ins Hereroland verschleppt werden (926). Spiecker nimmt diesbezüglich auch in seinem offiziellen Visitationsbericht kein Blatt vor den Mund:</w:t>
      </w:r>
    </w:p>
    <w:p w:rsidR="00CF6655" w:rsidRDefault="00CF6655" w:rsidP="00CF6655">
      <w:pPr>
        <w:pStyle w:val="Zitat"/>
      </w:pPr>
      <w:r>
        <w:t>Die Hererogemeinde bestand bei meinem Aufenthalt fast ausschließlich aus Gefangenen. Leider war die Sterblichkeit unter ihnen zeitweise entsetzlich groß. Die an die warme Sonne des Innern gewöhnten Leute konnte das rauhe Küstenklima nicht ertragen. […] Leider fehlte manchen dazu die nötige Kle</w:t>
      </w:r>
      <w:r>
        <w:t>i</w:t>
      </w:r>
      <w:r>
        <w:t>dung und Bedeckung, um sich vor allem nachts gegen die Kälte zu schützen. Im Laufe des Jahres 1905 starben in den Gefangenenlagern etwa 800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w:t>
      </w:r>
      <w:r>
        <w:rPr>
          <w:rStyle w:val="Funotenzeichen"/>
        </w:rPr>
        <w:footnoteReference w:id="290"/>
      </w:r>
    </w:p>
    <w:p w:rsidR="00CF6655" w:rsidRDefault="00CF6655" w:rsidP="00061DBE">
      <w:pPr>
        <w:pStyle w:val="Text"/>
        <w:ind w:firstLine="0"/>
      </w:pPr>
      <w:r>
        <w:t>Die Zwangsarbeit</w:t>
      </w:r>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r>
        <w:t xml:space="preserve"> der Kinder, die dadurch nicht zur Schule kommen können, erwähnt er ebenfalls.</w:t>
      </w:r>
      <w:r>
        <w:rPr>
          <w:rStyle w:val="Funotenzeichen"/>
        </w:rPr>
        <w:footnoteReference w:id="291"/>
      </w:r>
    </w:p>
    <w:p w:rsidR="00CF6655" w:rsidRDefault="00CF6655" w:rsidP="00CF6655">
      <w:pPr>
        <w:pStyle w:val="Text"/>
      </w:pPr>
      <w:r>
        <w:lastRenderedPageBreak/>
        <w:t>Auch Korruption bedroht die Gesundheit der Gefangenen: „Bruder Laaf</w:t>
      </w:r>
      <w:r w:rsidR="00363C1C">
        <w:fldChar w:fldCharType="begin"/>
      </w:r>
      <w:r w:rsidR="00D20257">
        <w:instrText xml:space="preserve"> XE "</w:instrText>
      </w:r>
      <w:r w:rsidR="00D20257" w:rsidRPr="00E734B5">
        <w:instrText>Laaf, Geschw.</w:instrText>
      </w:r>
      <w:r w:rsidR="00D20257">
        <w:instrText xml:space="preserve">" </w:instrText>
      </w:r>
      <w:r w:rsidR="00363C1C">
        <w:fldChar w:fldCharType="end"/>
      </w:r>
      <w:r>
        <w:t xml:space="preserve"> bedauerte, daß sie kein Fleisch erhielten. Er vermutet, daß die Schuld an Unte</w:t>
      </w:r>
      <w:r>
        <w:t>r</w:t>
      </w:r>
      <w:r>
        <w:t>beamten liege. Ihm war nämlich gesagt worden, daß das für die Gefangenen b</w:t>
      </w:r>
      <w:r>
        <w:t>e</w:t>
      </w:r>
      <w:r>
        <w:t>stimmte Fleisch zu billigem Preise an andere verkauft würde. Es war mir unmö</w:t>
      </w:r>
      <w:r>
        <w:t>g</w:t>
      </w:r>
      <w:r>
        <w:t>lich festzustellen, ob dies wirklich der Fall war.“ (462f) Trotzdem ist die Lage nach Spieckers Eindruck schon besser geworden: „Der Lazarettpontok</w:t>
      </w:r>
      <w:r w:rsidR="00363C1C">
        <w:fldChar w:fldCharType="begin"/>
      </w:r>
      <w:r w:rsidR="00AD7AF5">
        <w:instrText xml:space="preserve"> XE "Pontok" </w:instrText>
      </w:r>
      <w:r w:rsidR="00363C1C">
        <w:fldChar w:fldCharType="end"/>
      </w:r>
      <w:r>
        <w:t xml:space="preserve"> bezeugt, daß man jetzt wenigstens die Kranken nicht mehr zur Arbeit kommandiert.“ (464) „Alle Gesunden müssen täglich zur Arbeit gehen, werden dabei aber wohl kaum strenge bewacht.“ (462)</w:t>
      </w:r>
    </w:p>
    <w:p w:rsidR="00CF6655" w:rsidRDefault="00CF6655" w:rsidP="00CF6655">
      <w:pPr>
        <w:pStyle w:val="Text"/>
      </w:pPr>
      <w:r>
        <w:t>Aber auch die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-Zwangsarbeiter beim Eisenbahnbau</w:t>
      </w:r>
      <w:r w:rsidR="00363C1C">
        <w:fldChar w:fldCharType="begin"/>
      </w:r>
      <w:r w:rsidR="00AE4CA5">
        <w:instrText xml:space="preserve"> XE "</w:instrText>
      </w:r>
      <w:r w:rsidR="00AE4CA5" w:rsidRPr="0036291F">
        <w:instrText>Eisenbahnbau</w:instrText>
      </w:r>
      <w:r w:rsidR="00AE4CA5">
        <w:instrText xml:space="preserve">" </w:instrText>
      </w:r>
      <w:r w:rsidR="00363C1C">
        <w:fldChar w:fldCharType="end"/>
      </w:r>
      <w:r>
        <w:t xml:space="preserve"> bezahlen einen hohen Preis, obwohl sie verglichen mit den Gefangenen auf der Haifischinsel</w:t>
      </w:r>
      <w:r w:rsidR="00363C1C">
        <w:fldChar w:fldCharType="begin"/>
      </w:r>
      <w:r w:rsidR="00C221A5">
        <w:instrText xml:space="preserve"> XE "</w:instrText>
      </w:r>
      <w:r w:rsidR="00C221A5" w:rsidRPr="00C86B6B">
        <w:instrText>Haifischinsel</w:instrText>
      </w:r>
      <w:r w:rsidR="00C221A5">
        <w:instrText xml:space="preserve">" </w:instrText>
      </w:r>
      <w:r w:rsidR="00363C1C">
        <w:fldChar w:fldCharType="end"/>
      </w:r>
      <w:r>
        <w:t xml:space="preserve"> dem Wind weniger ausgesetzt sind und wohl auch alle Unterkünfte haben: „U</w:t>
      </w:r>
      <w:r>
        <w:t>n</w:t>
      </w:r>
      <w:r>
        <w:t>ter den Arbeitern an der Bahn herrscht sehr viel Krankheit und große Sterblic</w:t>
      </w:r>
      <w:r>
        <w:t>h</w:t>
      </w:r>
      <w:r>
        <w:t>keit. Es scheint an der richtigen Verpflegung zu fehlen, auch den Herero das hi</w:t>
      </w:r>
      <w:r>
        <w:t>e</w:t>
      </w:r>
      <w:r>
        <w:t>sige Klima</w:t>
      </w:r>
      <w:r w:rsidR="00363C1C">
        <w:fldChar w:fldCharType="begin"/>
      </w:r>
      <w:r w:rsidR="00115805">
        <w:instrText xml:space="preserve"> XE "</w:instrText>
      </w:r>
      <w:r w:rsidR="00115805" w:rsidRPr="004811E1">
        <w:instrText>Klima</w:instrText>
      </w:r>
      <w:r w:rsidR="00115805">
        <w:instrText xml:space="preserve">" </w:instrText>
      </w:r>
      <w:r w:rsidR="00363C1C">
        <w:fldChar w:fldCharType="end"/>
      </w:r>
      <w:r>
        <w:t xml:space="preserve"> nicht zu bekommen. </w:t>
      </w:r>
      <w:proofErr w:type="gramStart"/>
      <w:r>
        <w:t>Um so</w:t>
      </w:r>
      <w:proofErr w:type="gramEnd"/>
      <w:r>
        <w:t xml:space="preserve"> schmerzlicher ist es, daß so viele hierher gebracht werden.“ (1307) Bezeichnend ist, dass für diese Arbeiter andere Bedi</w:t>
      </w:r>
      <w:r>
        <w:t>n</w:t>
      </w:r>
      <w:r>
        <w:t>gungen geschaffen werden: „Ihre Wohnungen sollen gut und ihre Verpflegung viel besser sein […]. So sollen sie auch hinreichend Fleisch bekommen.“ (464) Für die harte Arbeit ist vermutlich eine gute Versorgung unverzichtbar.</w:t>
      </w:r>
    </w:p>
    <w:p w:rsidR="00CF6655" w:rsidRDefault="00CF6655" w:rsidP="00CF6655">
      <w:pPr>
        <w:pStyle w:val="Text"/>
      </w:pPr>
      <w:r>
        <w:t>Spiecker spricht mit den neu angekommenen Gefangenen auf der Haifisc</w:t>
      </w:r>
      <w:r>
        <w:t>h</w:t>
      </w:r>
      <w:r>
        <w:t>insel</w:t>
      </w:r>
      <w:r w:rsidR="00363C1C">
        <w:fldChar w:fldCharType="begin"/>
      </w:r>
      <w:r w:rsidR="00C221A5">
        <w:instrText xml:space="preserve"> XE "</w:instrText>
      </w:r>
      <w:r w:rsidR="00C221A5" w:rsidRPr="00C86B6B">
        <w:instrText>Haifischinsel</w:instrText>
      </w:r>
      <w:r w:rsidR="00C221A5">
        <w:instrText xml:space="preserve">" </w:instrText>
      </w:r>
      <w:r w:rsidR="00363C1C">
        <w:fldChar w:fldCharType="end"/>
      </w:r>
      <w:r>
        <w:t>, die von den Sammelstellen</w:t>
      </w:r>
      <w:r w:rsidR="00363C1C">
        <w:fldChar w:fldCharType="begin"/>
      </w:r>
      <w:r w:rsidR="00E01EA7">
        <w:instrText xml:space="preserve"> XE "</w:instrText>
      </w:r>
      <w:r w:rsidR="00E01EA7" w:rsidRPr="00542402">
        <w:instrText>Sammelstelle</w:instrText>
      </w:r>
      <w:r w:rsidR="00E01EA7">
        <w:instrText xml:space="preserve">" </w:instrText>
      </w:r>
      <w:r w:rsidR="00363C1C">
        <w:fldChar w:fldCharType="end"/>
      </w:r>
      <w:r>
        <w:t xml:space="preserve"> der Mission hergebracht wurden: „Natürlich war es bei der Art unserer Eingeborenen nicht möglich herauszufinden, wie sie sich fühlten, nur sagten sie immer wieder, daß sie sehr frören.“ (1309) Er weiß vielleicht nicht, dass Kälte auch ein Gefühl sein kann.</w:t>
      </w:r>
      <w:r>
        <w:rPr>
          <w:rStyle w:val="Funotenzeichen"/>
        </w:rPr>
        <w:footnoteReference w:id="292"/>
      </w:r>
    </w:p>
    <w:p w:rsidR="00CF6655" w:rsidRDefault="00CF6655" w:rsidP="00061DBE">
      <w:pPr>
        <w:pStyle w:val="Titel3"/>
      </w:pPr>
      <w:bookmarkStart w:id="460" w:name="_Toc122313686"/>
      <w:bookmarkStart w:id="461" w:name="_Toc122313774"/>
      <w:bookmarkStart w:id="462" w:name="_Toc130260781"/>
      <w:bookmarkStart w:id="463" w:name="_Toc327388081"/>
      <w:r>
        <w:lastRenderedPageBreak/>
        <w:t>Militärische Phantasien</w:t>
      </w:r>
      <w:bookmarkEnd w:id="460"/>
      <w:bookmarkEnd w:id="461"/>
      <w:bookmarkEnd w:id="462"/>
      <w:bookmarkEnd w:id="463"/>
    </w:p>
    <w:p w:rsidR="00CF6655" w:rsidRDefault="00CF6655" w:rsidP="00061DBE">
      <w:pPr>
        <w:pStyle w:val="Text"/>
        <w:ind w:firstLine="0"/>
      </w:pPr>
      <w:r>
        <w:t>Noch entschiedener als die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befürworten viele Militärs ein ha</w:t>
      </w:r>
      <w:r>
        <w:t>r</w:t>
      </w:r>
      <w:r>
        <w:t>tes Vorgehen gegen die Eingeborenen. Nach dem Besuch der Lager in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besucht Spiecker Leutnant Wagenführ</w:t>
      </w:r>
      <w:r w:rsidR="00363C1C">
        <w:fldChar w:fldCharType="begin"/>
      </w:r>
      <w:r w:rsidR="00C221A5">
        <w:instrText xml:space="preserve"> XE "</w:instrText>
      </w:r>
      <w:r w:rsidR="00C221A5" w:rsidRPr="001D671D">
        <w:instrText>Wagenführ, Leutnant</w:instrText>
      </w:r>
      <w:r w:rsidR="00C221A5">
        <w:instrText xml:space="preserve">" </w:instrText>
      </w:r>
      <w:r w:rsidR="00363C1C">
        <w:fldChar w:fldCharType="end"/>
      </w:r>
      <w:r>
        <w:t>, den stellvertretenden Hauptmann der dortigen Etappe. Er möchte wenigstens um Unterkünfte für alle Gefangenen bitten, da ihre Überlebenschancen sonst gering sind. Doch die Vo</w:t>
      </w:r>
      <w:r>
        <w:t>r</w:t>
      </w:r>
      <w:r>
        <w:t>stellungen sind sehr unterschiedlich: „"Wir kommen nie zum Ende, so lange di</w:t>
      </w:r>
      <w:r>
        <w:t>e</w:t>
      </w:r>
      <w:r>
        <w:t>se Verhätschelung der Eingeborenen andauert", so ungefähr sagte er. Er meinte die Aufständischen rekrutierten sich aus solchen, die aus den Gefangenenlagern entlohen seien. Ich suchte ihm darzutun, daß das unmöglich sei. Meine Wünsche inbezug auf die Gefangenen auf der Haifischinsel</w:t>
      </w:r>
      <w:r w:rsidR="00363C1C">
        <w:fldChar w:fldCharType="begin"/>
      </w:r>
      <w:r w:rsidR="00C221A5">
        <w:instrText xml:space="preserve"> XE "</w:instrText>
      </w:r>
      <w:r w:rsidR="00C221A5" w:rsidRPr="00C86B6B">
        <w:instrText>Haifischinsel</w:instrText>
      </w:r>
      <w:r w:rsidR="00C221A5">
        <w:instrText xml:space="preserve">" </w:instrText>
      </w:r>
      <w:r w:rsidR="00363C1C">
        <w:fldChar w:fldCharType="end"/>
      </w:r>
      <w:r>
        <w:t xml:space="preserve"> hörte er an und sagte, sie hä</w:t>
      </w:r>
      <w:r>
        <w:t>t</w:t>
      </w:r>
      <w:r>
        <w:t>ten schon sich darüber beschwert, daß man ihnen unbrauchbare Leute sende.“ (1312)</w:t>
      </w:r>
    </w:p>
    <w:p w:rsidR="00CF6655" w:rsidRDefault="00CF6655" w:rsidP="00CF6655">
      <w:pPr>
        <w:pStyle w:val="Text"/>
      </w:pPr>
      <w:r>
        <w:t>Was ist gemeint, wenn der Ist-Zustand in den Lagern, der viele Todesopfer fordert und den Spiecker immer wieder zu ändern versucht, als „Verhätschelung“ bezeichnet wird? Und wenn Gefangenenlager doch nur neue Aufständische pr</w:t>
      </w:r>
      <w:r>
        <w:t>o</w:t>
      </w:r>
      <w:r>
        <w:t>duzieren, was soll man dann machen? Wir erinnern uns, dass alle Hereros, auch Frauen und Kinder in die Lager gebracht werden, nicht etwa nur solche, die im Krieg gefangen genommen wurden. – Doch wir brauchen hier gar keine Bo</w:t>
      </w:r>
      <w:r>
        <w:t>t</w:t>
      </w:r>
      <w:r>
        <w:t>schaft zu entschlüsseln, die an anderer Stelle direkt ausgesprochen wird.</w:t>
      </w:r>
    </w:p>
    <w:p w:rsidR="001600DD" w:rsidRDefault="00CF6655" w:rsidP="00CF6655">
      <w:pPr>
        <w:pStyle w:val="Text"/>
      </w:pPr>
      <w:r>
        <w:t>Aus erster Hand erfährt Spiecker in Hoachanas</w:t>
      </w:r>
      <w:r w:rsidR="00363C1C">
        <w:fldChar w:fldCharType="begin"/>
      </w:r>
      <w:r w:rsidR="00FD439D">
        <w:instrText xml:space="preserve"> XE "</w:instrText>
      </w:r>
      <w:r w:rsidR="00FD439D" w:rsidRPr="0023707C">
        <w:instrText>Hoachanas</w:instrText>
      </w:r>
      <w:r w:rsidR="00FD439D">
        <w:instrText xml:space="preserve">" </w:instrText>
      </w:r>
      <w:r w:rsidR="00363C1C">
        <w:fldChar w:fldCharType="end"/>
      </w:r>
      <w:r>
        <w:t xml:space="preserve"> die Meinung einiger Mil</w:t>
      </w:r>
      <w:r>
        <w:t>i</w:t>
      </w:r>
      <w:r>
        <w:t>tärs, deren persönliches Auftreten in deutlichem Gegensatz zu ihren Meinungen steht:</w:t>
      </w:r>
    </w:p>
    <w:p w:rsidR="00CF6655" w:rsidRDefault="00CF6655" w:rsidP="001600DD">
      <w:pPr>
        <w:pStyle w:val="Zitat"/>
      </w:pPr>
      <w:r>
        <w:t>Zu Mittag aßen die hier weilenden Officiere und ihr Anhang mit uns zusa</w:t>
      </w:r>
      <w:r>
        <w:t>m</w:t>
      </w:r>
      <w:r>
        <w:t>men hier im Missionshaus. Sie waren recht nett und gemütlich. […] Als einer derselben sagte, er halte die Vernichtung der Hottentotten</w:t>
      </w:r>
      <w:r w:rsidR="00363C1C">
        <w:fldChar w:fldCharType="begin"/>
      </w:r>
      <w:r w:rsidR="00DA4F5B">
        <w:instrText xml:space="preserve"> XE "</w:instrText>
      </w:r>
      <w:r w:rsidR="00DA4F5B" w:rsidRPr="002B55F1">
        <w:instrText>Hottentotten</w:instrText>
      </w:r>
      <w:r w:rsidR="00DA4F5B">
        <w:instrText xml:space="preserve">" </w:instrText>
      </w:r>
      <w:r w:rsidR="00363C1C">
        <w:fldChar w:fldCharType="end"/>
      </w:r>
      <w:r>
        <w:rPr>
          <w:rStyle w:val="Funotenzeichen"/>
        </w:rPr>
        <w:footnoteReference w:id="293"/>
      </w:r>
      <w:r>
        <w:t xml:space="preserve"> für unsere Pflicht, widersprach ihn ihm natürlich sehr energisch und sagte ihm unter anderem: Ein solcher Gedanke widerspreche in solchem Maße jedem christlich-sittlichen Empfinden, daß ich zu starke Worte gebrauchen müßte, um ihn zu brandma</w:t>
      </w:r>
      <w:r>
        <w:t>r</w:t>
      </w:r>
      <w:r>
        <w:t>ken und deshalb lieber schweigen wolle. Er lenkte dann auch ein und meinte, vom sittlichen Standpunkt aus sei ein solches Vorgehen unerlaubt. (885f)</w:t>
      </w:r>
    </w:p>
    <w:p w:rsidR="00CF6655" w:rsidRDefault="00CF6655" w:rsidP="001600DD">
      <w:pPr>
        <w:pStyle w:val="Text"/>
        <w:ind w:firstLine="0"/>
      </w:pPr>
      <w:r>
        <w:t>Dieses ‚Einlenken‘ bezieht sich ganz offensichtlich auf die moralische Ebene; dass der hier vorgeschlagene Völkermord</w:t>
      </w:r>
      <w:r w:rsidR="00363C1C">
        <w:fldChar w:fldCharType="begin"/>
      </w:r>
      <w:r w:rsidR="002A26A5">
        <w:instrText xml:space="preserve"> XE "</w:instrText>
      </w:r>
      <w:r w:rsidR="002A26A5" w:rsidRPr="00010D1A">
        <w:instrText>Völkermord</w:instrText>
      </w:r>
      <w:r w:rsidR="002A26A5">
        <w:instrText xml:space="preserve">" </w:instrText>
      </w:r>
      <w:r w:rsidR="00363C1C">
        <w:fldChar w:fldCharType="end"/>
      </w:r>
      <w:r>
        <w:t xml:space="preserve"> auch rechtlich bedenklich sein könnte, </w:t>
      </w:r>
      <w:r>
        <w:lastRenderedPageBreak/>
        <w:t>fällt dem Offizier scheinbar gar nicht auf. Auch darf nicht vergessen werden, dass diese Bemerkung nicht etwa hinter verschlossenen Türen, sondern vor me</w:t>
      </w:r>
      <w:r>
        <w:t>h</w:t>
      </w:r>
      <w:r>
        <w:t>reren kirchlichen Personen gemacht wird, während man im Missionshaus zu Gast ist. Meinungen wie diese waren offenbar „salonfähig“. Die Aussage wird auch nicht zurückgenommen, obwohl Spiecker dies irrtümlich zu glauben scheint, denn was von einem sittlichen Standpunkt aus unerlaubt ist, kann trot</w:t>
      </w:r>
      <w:r>
        <w:t>z</w:t>
      </w:r>
      <w:r>
        <w:t>dem militärisch angeraten und der Staatsraison entsprechend geboten sein. Wer sich einmal anhand solcher Belege klar gemacht hat, was für ein Geist im deu</w:t>
      </w:r>
      <w:r>
        <w:t>t</w:t>
      </w:r>
      <w:r>
        <w:t>schen Militär zu dieser Zeit bereits herrschte, wird sicherlich nicht mehr der Versuchung erliegen, in einigen Nazigrößen die allein Schuldigen für die Verbr</w:t>
      </w:r>
      <w:r>
        <w:t>e</w:t>
      </w:r>
      <w:r>
        <w:t>chen der Wehrmacht im Zweiten Weltkrieg zu suchen. Die Diagnose muss vie</w:t>
      </w:r>
      <w:r>
        <w:t>l</w:t>
      </w:r>
      <w:r>
        <w:t>mehr lauten, dass erst die Nazis es den Militärs ermöglichten, ihre schon lange zuvor belegbaren Phantasien von der Vernichtung solcher Völker, die man für minderwertig hielt, durchzuführen.</w:t>
      </w:r>
      <w:r>
        <w:rPr>
          <w:rStyle w:val="Funotenzeichen"/>
        </w:rPr>
        <w:footnoteReference w:id="294"/>
      </w:r>
    </w:p>
    <w:p w:rsidR="00CF6655" w:rsidRDefault="00CF6655" w:rsidP="00CF6655">
      <w:pPr>
        <w:pStyle w:val="Text"/>
      </w:pPr>
      <w:r>
        <w:t>Spiecker hebt den Widerspruch eines solchen Völkermords</w:t>
      </w:r>
      <w:r w:rsidR="00363C1C">
        <w:fldChar w:fldCharType="begin"/>
      </w:r>
      <w:r w:rsidR="002A26A5">
        <w:instrText xml:space="preserve"> XE "</w:instrText>
      </w:r>
      <w:r w:rsidR="002A26A5" w:rsidRPr="00A23132">
        <w:instrText>Völkermord</w:instrText>
      </w:r>
      <w:r w:rsidR="002A26A5">
        <w:instrText xml:space="preserve">" </w:instrText>
      </w:r>
      <w:r w:rsidR="00363C1C">
        <w:fldChar w:fldCharType="end"/>
      </w:r>
      <w:r>
        <w:t xml:space="preserve"> zu „jedem christlich-sittlichen Empfinden“ hervor. Das ist sicher richtig, doch widerspricht ein solches Vorhaben in seiner ausschließlichen Gewaltorientierung, die nicht einmal mehr den Versuch einer Legitimierung macht, jedem sinnvollen Konzept einer „Zivilisation“ oder „Kultur“. Zugleich ist die von Hauptmann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geäußerte Überzeugung, die Schwarzen könnten nie zur „Höhe der Bildung der Weißen“ aufsteigen (38), die Voraussetzung für von Trothas</w:t>
      </w:r>
      <w:r w:rsidR="00363C1C">
        <w:fldChar w:fldCharType="begin"/>
      </w:r>
      <w:r w:rsidR="000311E8">
        <w:instrText xml:space="preserve"> XE "</w:instrText>
      </w:r>
      <w:r w:rsidR="000311E8" w:rsidRPr="00877269">
        <w:instrText>Trotha, Lothar von</w:instrText>
      </w:r>
      <w:r w:rsidR="000311E8">
        <w:instrText xml:space="preserve">" </w:instrText>
      </w:r>
      <w:r w:rsidR="00363C1C">
        <w:fldChar w:fldCharType="end"/>
      </w:r>
      <w:r>
        <w:t xml:space="preserve"> Au</w:t>
      </w:r>
      <w:r>
        <w:t>s</w:t>
      </w:r>
      <w:r>
        <w:t>rottungspolitik. Mit diesen Wesen „zwischen Mensch und Tier“</w:t>
      </w:r>
      <w:r>
        <w:rPr>
          <w:rStyle w:val="Funotenzeichen"/>
        </w:rPr>
        <w:footnoteReference w:id="295"/>
      </w:r>
      <w:r>
        <w:t xml:space="preserve"> kann man so umgehen. Aus heutiger Sicht wird man umgekehrt die Frage stellen, ob die ve</w:t>
      </w:r>
      <w:r>
        <w:t>r</w:t>
      </w:r>
      <w:r>
        <w:t>gleichsweise fairere Kampfweise der Schwarzen</w:t>
      </w:r>
      <w:r>
        <w:rPr>
          <w:rStyle w:val="Funotenzeichen"/>
        </w:rPr>
        <w:footnoteReference w:id="296"/>
      </w:r>
      <w:r>
        <w:t xml:space="preserve"> nicht gerade jene Gewissheit der kulturellen Überlegenheit, die von Heydebreck</w:t>
      </w:r>
      <w:r w:rsidR="00363C1C">
        <w:fldChar w:fldCharType="begin"/>
      </w:r>
      <w:r w:rsidR="00FF529F">
        <w:instrText xml:space="preserve"> XE "</w:instrText>
      </w:r>
      <w:r w:rsidR="00FF529F" w:rsidRPr="00B46EDD">
        <w:instrText>Heydebreck, Hauptmann von</w:instrText>
      </w:r>
      <w:r w:rsidR="00FF529F">
        <w:instrText xml:space="preserve">" </w:instrText>
      </w:r>
      <w:r w:rsidR="00363C1C">
        <w:fldChar w:fldCharType="end"/>
      </w:r>
      <w:r>
        <w:t xml:space="preserve"> stellvertretend für die ko</w:t>
      </w:r>
      <w:r>
        <w:t>n</w:t>
      </w:r>
      <w:r>
        <w:t>servativen Befürworter der Kolonialpolitik</w:t>
      </w:r>
      <w:r w:rsidR="00363C1C">
        <w:fldChar w:fldCharType="begin"/>
      </w:r>
      <w:r w:rsidR="00C85A35">
        <w:instrText xml:space="preserve"> XE "</w:instrText>
      </w:r>
      <w:r w:rsidR="00C85A35" w:rsidRPr="00346DC5">
        <w:instrText>Kolonialpolitik</w:instrText>
      </w:r>
      <w:r w:rsidR="00C85A35">
        <w:instrText xml:space="preserve">" </w:instrText>
      </w:r>
      <w:r w:rsidR="00363C1C">
        <w:fldChar w:fldCharType="end"/>
      </w:r>
      <w:r>
        <w:t xml:space="preserve"> geäußert wird, ad absurdum führt.</w:t>
      </w:r>
    </w:p>
    <w:p w:rsidR="00CF6655" w:rsidRDefault="00CF6655" w:rsidP="00CF6655">
      <w:pPr>
        <w:pStyle w:val="Text"/>
      </w:pPr>
      <w:r>
        <w:t>Andererseits sind die anwesenden Offiziere fair genug, um das Vorgehen i</w:t>
      </w:r>
      <w:r>
        <w:t>h</w:t>
      </w:r>
      <w:r>
        <w:t>rer Feinde gerecht zu bewerten und die von einzelnen begangenen Verbrechen an weißen Zivilisten von der Vorgehensweise der Aufständischen zu trennen: „Übrigens war mir interessant am Mittag, daß die Officiere erzählten, die E</w:t>
      </w:r>
      <w:r>
        <w:t>r</w:t>
      </w:r>
      <w:r>
        <w:lastRenderedPageBreak/>
        <w:t>mordung des Br. Holzapfel</w:t>
      </w:r>
      <w:r w:rsidR="00363C1C">
        <w:fldChar w:fldCharType="begin"/>
      </w:r>
      <w:r w:rsidR="00710612">
        <w:instrText xml:space="preserve"> XE "</w:instrText>
      </w:r>
      <w:r w:rsidR="00710612" w:rsidRPr="00E95864">
        <w:instrText>Holzapfel, Geschw.</w:instrText>
      </w:r>
      <w:r w:rsidR="00710612">
        <w:instrText xml:space="preserve">" </w:instrText>
      </w:r>
      <w:r w:rsidR="00363C1C">
        <w:fldChar w:fldCharType="end"/>
      </w:r>
      <w:r>
        <w:t xml:space="preserve"> sei entgegen den ausdrücklichen Willen des alten Hendrik Witbooi</w:t>
      </w:r>
      <w:r w:rsidR="00363C1C">
        <w:fldChar w:fldCharType="begin"/>
      </w:r>
      <w:r w:rsidR="00FE4145">
        <w:instrText xml:space="preserve"> XE "</w:instrText>
      </w:r>
      <w:r w:rsidR="00FE4145" w:rsidRPr="00E3580F">
        <w:instrText>Witbooi, Hendrik</w:instrText>
      </w:r>
      <w:r w:rsidR="00FE4145">
        <w:instrText xml:space="preserve">" </w:instrText>
      </w:r>
      <w:r w:rsidR="00363C1C">
        <w:fldChar w:fldCharType="end"/>
      </w:r>
      <w:r>
        <w:t xml:space="preserve"> von einigen Mordbuben vollzogen worden. Es sei auch nicht Hendriks Willen gewesen, daß die Farmer sollten ermordet werden.“ (886f) Di</w:t>
      </w:r>
      <w:r>
        <w:t>e</w:t>
      </w:r>
      <w:r>
        <w:t>se Morde an Weißen dienten ja offiziell als Rechtfertigung für ein hartes Vorg</w:t>
      </w:r>
      <w:r>
        <w:t>e</w:t>
      </w:r>
      <w:r>
        <w:t>hen gegen die Aufständischen.</w:t>
      </w:r>
    </w:p>
    <w:p w:rsidR="00CF6655" w:rsidRDefault="00CF6655" w:rsidP="00E045BF">
      <w:pPr>
        <w:pStyle w:val="Titel3"/>
        <w:rPr>
          <w:lang w:val="en-GB"/>
        </w:rPr>
      </w:pPr>
      <w:bookmarkStart w:id="464" w:name="_Toc122313687"/>
      <w:bookmarkStart w:id="465" w:name="_Toc122313775"/>
      <w:bookmarkStart w:id="466" w:name="_Toc130260782"/>
      <w:bookmarkStart w:id="467" w:name="_Toc327388082"/>
      <w:r>
        <w:rPr>
          <w:lang w:val="en-GB"/>
        </w:rPr>
        <w:t>Ins koloniale ‚Heart of Darkness‘</w:t>
      </w:r>
      <w:bookmarkEnd w:id="464"/>
      <w:bookmarkEnd w:id="465"/>
      <w:bookmarkEnd w:id="466"/>
      <w:bookmarkEnd w:id="467"/>
    </w:p>
    <w:p w:rsidR="00CF6655" w:rsidRDefault="00CF6655" w:rsidP="00E045BF">
      <w:pPr>
        <w:pStyle w:val="Text"/>
        <w:ind w:firstLine="0"/>
      </w:pPr>
      <w:r>
        <w:t>Spiecker muss wieder einmal widersprechen, als er sich auf der Schiffsreise von Lüderitzbucht</w:t>
      </w:r>
      <w:r w:rsidR="00363C1C">
        <w:fldChar w:fldCharType="begin"/>
      </w:r>
      <w:r w:rsidR="00D20257">
        <w:instrText xml:space="preserve"> XE "</w:instrText>
      </w:r>
      <w:r w:rsidR="00D20257" w:rsidRPr="00D04BC1">
        <w:instrText>Lüderitzbucht</w:instrText>
      </w:r>
      <w:r w:rsidR="00D20257">
        <w:instrText xml:space="preserve">" </w:instrText>
      </w:r>
      <w:r w:rsidR="00363C1C">
        <w:fldChar w:fldCharType="end"/>
      </w:r>
      <w:r>
        <w:t xml:space="preserve"> zurück nach Swakopmund</w:t>
      </w:r>
      <w:r w:rsidR="00363C1C">
        <w:fldChar w:fldCharType="begin"/>
      </w:r>
      <w:r w:rsidR="00D20257">
        <w:instrText xml:space="preserve"> XE "</w:instrText>
      </w:r>
      <w:r w:rsidR="00D20257" w:rsidRPr="00655FF6">
        <w:instrText>Swakopmund</w:instrText>
      </w:r>
      <w:r w:rsidR="00D20257">
        <w:instrText xml:space="preserve">" </w:instrText>
      </w:r>
      <w:r w:rsidR="00363C1C">
        <w:fldChar w:fldCharType="end"/>
      </w:r>
      <w:r>
        <w:t xml:space="preserve"> mit einer Gruppe von Offizieren u</w:t>
      </w:r>
      <w:r>
        <w:t>n</w:t>
      </w:r>
      <w:r>
        <w:t>terhält:</w:t>
      </w:r>
    </w:p>
    <w:p w:rsidR="00CF6655" w:rsidRDefault="00CF6655" w:rsidP="00CF6655">
      <w:pPr>
        <w:pStyle w:val="Zitat"/>
      </w:pPr>
      <w:r>
        <w:t>Ein junger Leutnant meinte: Man muß den Krieg im Süden dadurch beendigen, daß man den Bondels</w:t>
      </w:r>
      <w:r w:rsidR="00363C1C">
        <w:fldChar w:fldCharType="begin"/>
      </w:r>
      <w:r w:rsidR="00BF31D1">
        <w:instrText xml:space="preserve"> XE "</w:instrText>
      </w:r>
      <w:r w:rsidR="00BF31D1" w:rsidRPr="00625474">
        <w:instrText>Bondelswart</w:instrText>
      </w:r>
      <w:r w:rsidR="00BF31D1">
        <w:instrText xml:space="preserve">" </w:instrText>
      </w:r>
      <w:r w:rsidR="00363C1C">
        <w:fldChar w:fldCharType="end"/>
      </w:r>
      <w:r w:rsidR="00753A2E">
        <w:rPr>
          <w:rStyle w:val="Funotenzeichen"/>
        </w:rPr>
        <w:footnoteReference w:id="297"/>
      </w:r>
      <w:r>
        <w:t xml:space="preserve"> alles verspricht: Land, Vieh und was sie wollen. Haben wir sie dann, dann hängen wir sie alle. Ich sagte: </w:t>
      </w:r>
      <w:r w:rsidR="007F3D72">
        <w:t>„</w:t>
      </w:r>
      <w:r>
        <w:t>Wo bleibt da die deutsche Treue?</w:t>
      </w:r>
      <w:r w:rsidR="007F3D72">
        <w:t>“</w:t>
      </w:r>
      <w:r>
        <w:t xml:space="preserve"> Ach, was, diesen Leuten gegenüber ist jedes Mittel recht. Wir müssen sie doch unterkriegen. So denkt man hier fast allgemein. Ein anderer betonte mit Nietzsche, daß hier auf Erden das Recht des Stärkeren gelte. Der Wille des Starken sei das Gesetz für den Schwachen. Glauben Sie denn wirklich noch, sagte einer vertraulich zu mir, daß hier auf Erden Gerechtigkeit herrscht? Ich antwortete: Das habe ich nie geglaubt, aber ein gerechter Gott waltet über di</w:t>
      </w:r>
      <w:r>
        <w:t>e</w:t>
      </w:r>
      <w:r>
        <w:t xml:space="preserve">ser Erde und führt die Gerechtigkeit zuletzt immer wieder doch zum Siege. Je mehr der Starke rücksichtslos seine Macht geltend macht, </w:t>
      </w:r>
      <w:proofErr w:type="gramStart"/>
      <w:r>
        <w:t>um so</w:t>
      </w:r>
      <w:proofErr w:type="gramEnd"/>
      <w:r>
        <w:t xml:space="preserve"> tiefer und schrecklicher ist nachher sein Fall. (1321f)</w:t>
      </w:r>
    </w:p>
    <w:p w:rsidR="00CF6655" w:rsidRDefault="00CF6655" w:rsidP="00931561">
      <w:pPr>
        <w:pStyle w:val="Text"/>
        <w:ind w:firstLine="0"/>
      </w:pPr>
      <w:r>
        <w:t>Spiecker pariert zunächst mit einem Konzept aus der Sphäre patriotischer Ideale („deutsche Treue“), die er mit dem Militär assoziiert. Dem Zynismus, mit dem seinem Einwand begegnet wird, kann er nur noch auf seinem eigenen Gebiet, dem der Religion, etwas entgegensetzen. Dieser Zynismus beleuchtet aber die Denkweise, die hinter dem verspäteten deutschen Kolonialabenteuer stand, in a</w:t>
      </w:r>
      <w:r>
        <w:t>l</w:t>
      </w:r>
      <w:r>
        <w:t>ler Schärfe: Man hielt Kolonien für den notwendigen Teil einer Weltmacht und wollte selbst eine sein. Zugleich hatte man bei den Engländern gesehen, dass U</w:t>
      </w:r>
      <w:r>
        <w:t>n</w:t>
      </w:r>
      <w:r>
        <w:t>terdrückung und Ausbeutung ein unverzichtbarer Teil des kolonialen Pr</w:t>
      </w:r>
      <w:r>
        <w:t>o</w:t>
      </w:r>
      <w:r>
        <w:t>gramms waren, wenn es nicht ein unrentables Projekt mit unkalkulierbaren Ris</w:t>
      </w:r>
      <w:r>
        <w:t>i</w:t>
      </w:r>
      <w:r>
        <w:t>ken bleiben sollte, und entschied sich in diesem Wissen ganz bewusst dafür. Die Deutschen ‚schlidderten‘ nicht in irgend etwas ‚hinein‘, das schließlich zu einem unerwarteten Aufstand</w:t>
      </w:r>
      <w:r w:rsidR="00363C1C">
        <w:fldChar w:fldCharType="begin"/>
      </w:r>
      <w:r w:rsidR="003264BA">
        <w:instrText xml:space="preserve"> XE "</w:instrText>
      </w:r>
      <w:r w:rsidR="003264BA" w:rsidRPr="00AA3184">
        <w:instrText>Aufstand</w:instrText>
      </w:r>
      <w:r w:rsidR="003264BA">
        <w:instrText xml:space="preserve">" </w:instrText>
      </w:r>
      <w:r w:rsidR="00363C1C">
        <w:fldChar w:fldCharType="end"/>
      </w:r>
      <w:r>
        <w:t xml:space="preserve"> und zu einer Spirale der Gewalt führte; dann hätte Spi</w:t>
      </w:r>
      <w:r>
        <w:t>e</w:t>
      </w:r>
      <w:r>
        <w:t>cker andere, vielleicht achselzuckend bedauernde Positionen zur ‚leider notwe</w:t>
      </w:r>
      <w:r>
        <w:t>n</w:t>
      </w:r>
      <w:r>
        <w:t>digen‘ kolonialen Gewalt gehört. Vielmehr verhärtete man sich innerlich, wie jemand es tut, der zu kurz zu kommen glaubt und deshalb beschließt, seine Int</w:t>
      </w:r>
      <w:r>
        <w:t>e</w:t>
      </w:r>
      <w:r>
        <w:t>ressen mit aller Macht durchzusetzen. Die argumentative Fundierung dieser P</w:t>
      </w:r>
      <w:r>
        <w:t>o</w:t>
      </w:r>
      <w:r>
        <w:t xml:space="preserve">litik (die Deutschen als Kulturbringer; Hebung der Wilden zur Zivilisation usw.) </w:t>
      </w:r>
      <w:r>
        <w:lastRenderedPageBreak/>
        <w:t>mögen in Deutschland viele geglaubt haben; bei den Beteiligten, zumindest den Militärs, war sie allenfalls Fassade für die Öffentlichkeit. War man unter sich, konnte man auf sie verzichten.</w:t>
      </w:r>
    </w:p>
    <w:p w:rsidR="00CF6655" w:rsidRDefault="00CF6655" w:rsidP="00CF6655">
      <w:pPr>
        <w:pStyle w:val="Text"/>
      </w:pPr>
      <w:r>
        <w:t>Spieckers entschiedener Widerspruch hat doch noch sein Gutes. Einer, der auch anders denkt, vertraut sich ihm an:</w:t>
      </w:r>
    </w:p>
    <w:p w:rsidR="00CF6655" w:rsidRDefault="00CF6655" w:rsidP="00CF6655">
      <w:pPr>
        <w:pStyle w:val="Zitat"/>
      </w:pPr>
      <w:r>
        <w:t>Mit einem der Offiziere hatte ich nachher noch ein ernsteres religiöses G</w:t>
      </w:r>
      <w:r>
        <w:t>e</w:t>
      </w:r>
      <w:r>
        <w:t>spräch. Er verzweifelt an der Gesellschaft und meint die Mission könne keine Erfolge haben, so lange die Mehrheit der Weißen ihr durch ihren Wandel und ihr Wort entgegenarbeite. Der Mann hat ganz recht, doch bei dem Herrn sind alle Dinge möglich. (1322)</w:t>
      </w:r>
    </w:p>
    <w:p w:rsidR="00B5038A" w:rsidRDefault="00CF6655" w:rsidP="00931561">
      <w:pPr>
        <w:pStyle w:val="Text"/>
        <w:ind w:firstLine="0"/>
      </w:pPr>
      <w:r>
        <w:t>Auch Oberst von Deimling</w:t>
      </w:r>
      <w:r w:rsidR="00363C1C">
        <w:fldChar w:fldCharType="begin"/>
      </w:r>
      <w:r w:rsidR="00B5038A">
        <w:instrText xml:space="preserve"> XE "</w:instrText>
      </w:r>
      <w:r w:rsidR="00B5038A" w:rsidRPr="00D31445">
        <w:instrText>Deimling, Oberst von</w:instrText>
      </w:r>
      <w:r w:rsidR="00B5038A">
        <w:instrText xml:space="preserve">" </w:instrText>
      </w:r>
      <w:r w:rsidR="00363C1C">
        <w:fldChar w:fldCharType="end"/>
      </w:r>
      <w:r>
        <w:t xml:space="preserve"> 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gehört zu jenen Militärs, die </w:t>
      </w:r>
      <w:proofErr w:type="gramStart"/>
      <w:r>
        <w:t>lieber</w:t>
      </w:r>
      <w:proofErr w:type="gramEnd"/>
      <w:r>
        <w:t xml:space="preserve"> Frieden als Krieg ha</w:t>
      </w:r>
      <w:r w:rsidR="00B5038A">
        <w:t>ben:</w:t>
      </w:r>
    </w:p>
    <w:p w:rsidR="00B5038A" w:rsidRDefault="00CF6655" w:rsidP="00B5038A">
      <w:pPr>
        <w:pStyle w:val="Zitat"/>
      </w:pPr>
      <w:r>
        <w:t>Er war sehr liebenswürdig und offen und las mir Geheimakten über Amboland vor. Ich freute mich wieder, daß er so entschieden gegen einen Zug gegen die Ovambo auftrat. Natürlich bestätigte ich ihm gerne, daß die Ovambo keinerlei Feindseligkeiten gegen Deutsche unternehmen würden, auch Nechale</w:t>
      </w:r>
      <w:r w:rsidR="00363C1C">
        <w:fldChar w:fldCharType="begin"/>
      </w:r>
      <w:r w:rsidR="005A705C">
        <w:instrText xml:space="preserve"> XE "</w:instrText>
      </w:r>
      <w:r w:rsidR="005A705C" w:rsidRPr="0093172E">
        <w:instrText>Nechale, Häuptling</w:instrText>
      </w:r>
      <w:r w:rsidR="005A705C">
        <w:instrText xml:space="preserve">" </w:instrText>
      </w:r>
      <w:r w:rsidR="00363C1C">
        <w:fldChar w:fldCharType="end"/>
      </w:r>
      <w:r>
        <w:t xml:space="preserve"> nicht. Dann sagte er mir, daß er den Bondels</w:t>
      </w:r>
      <w:r w:rsidR="00363C1C">
        <w:fldChar w:fldCharType="begin"/>
      </w:r>
      <w:r w:rsidR="00BF31D1">
        <w:instrText xml:space="preserve"> XE "</w:instrText>
      </w:r>
      <w:r w:rsidR="00BF31D1" w:rsidRPr="00625474">
        <w:instrText>Bondelswart</w:instrText>
      </w:r>
      <w:r w:rsidR="00BF31D1">
        <w:instrText xml:space="preserve">" </w:instrText>
      </w:r>
      <w:r w:rsidR="00363C1C">
        <w:fldChar w:fldCharType="end"/>
      </w:r>
      <w:r>
        <w:t>, die sich unterwerfen würden, Freiheit und Leben garantieren wolle. (1686)</w:t>
      </w:r>
    </w:p>
    <w:p w:rsidR="00931561" w:rsidRDefault="00CF6655" w:rsidP="00931561">
      <w:pPr>
        <w:pStyle w:val="Text"/>
        <w:ind w:firstLine="0"/>
        <w:sectPr w:rsidR="00931561" w:rsidSect="00D0134D">
          <w:headerReference w:type="even" r:id="rId24"/>
          <w:headerReference w:type="default" r:id="rId25"/>
          <w:pgSz w:w="8789" w:h="13325" w:code="9"/>
          <w:pgMar w:top="1134" w:right="851" w:bottom="1418" w:left="1134" w:header="567" w:footer="680" w:gutter="0"/>
          <w:cols w:space="720"/>
          <w:titlePg/>
          <w:docGrid w:linePitch="360"/>
        </w:sectPr>
      </w:pPr>
      <w:r>
        <w:t>Solche Meinungen waren aber wohl die Ausnahme, und Spiecker trifft sie nicht bei den wirklichen Entscheidungsträgern an. Vermutlich halfen sie kaum beim Aufstieg, da ein solcher Militär leicht als zu wenig ehrgeizig galt. Für das Bewa</w:t>
      </w:r>
      <w:r>
        <w:t>h</w:t>
      </w:r>
      <w:r>
        <w:t xml:space="preserve">ren des Friedens bekamen Offiziere damals wie heute </w:t>
      </w:r>
      <w:r w:rsidR="002573E8">
        <w:t>k</w:t>
      </w:r>
      <w:r>
        <w:t>eine Auszeichnung</w:t>
      </w:r>
      <w:r w:rsidR="002573E8">
        <w:t>en</w:t>
      </w:r>
      <w:r>
        <w:t>.</w:t>
      </w:r>
    </w:p>
    <w:p w:rsidR="00CF6655" w:rsidRDefault="00CF6655" w:rsidP="00931561">
      <w:pPr>
        <w:pStyle w:val="TitelohneNummer"/>
      </w:pPr>
      <w:bookmarkStart w:id="468" w:name="_Toc122313690"/>
      <w:bookmarkStart w:id="469" w:name="_Toc122313778"/>
      <w:bookmarkStart w:id="470" w:name="_Toc130260783"/>
      <w:bookmarkStart w:id="471" w:name="_Toc327388083"/>
      <w:r>
        <w:lastRenderedPageBreak/>
        <w:t>Fazit</w:t>
      </w:r>
      <w:bookmarkEnd w:id="468"/>
      <w:bookmarkEnd w:id="469"/>
      <w:bookmarkEnd w:id="470"/>
      <w:bookmarkEnd w:id="471"/>
    </w:p>
    <w:p w:rsidR="00CF6655" w:rsidRDefault="00CF6655" w:rsidP="00F0444E">
      <w:pPr>
        <w:pStyle w:val="Text"/>
        <w:ind w:firstLine="0"/>
      </w:pPr>
      <w:r>
        <w:t>Das Reisetagebuch</w:t>
      </w:r>
      <w:r w:rsidR="00363C1C">
        <w:fldChar w:fldCharType="begin"/>
      </w:r>
      <w:r w:rsidR="003264BA">
        <w:instrText xml:space="preserve"> XE "</w:instrText>
      </w:r>
      <w:r w:rsidR="003264BA" w:rsidRPr="00DB5853">
        <w:rPr>
          <w:i/>
          <w:iCs/>
        </w:rPr>
        <w:instrText>Reisetagebuch</w:instrText>
      </w:r>
      <w:r w:rsidR="003264BA">
        <w:instrText xml:space="preserve">" </w:instrText>
      </w:r>
      <w:r w:rsidR="00363C1C">
        <w:fldChar w:fldCharType="end"/>
      </w:r>
      <w:r>
        <w:t xml:space="preserve"> von Johannes Spiecker spiegelt die Umstände in der deu</w:t>
      </w:r>
      <w:r>
        <w:t>t</w:t>
      </w:r>
      <w:r>
        <w:t>schen Kolonie Südwestafrika in vielfacher Art, wenn auch in den meisten Bere</w:t>
      </w:r>
      <w:r>
        <w:t>i</w:t>
      </w:r>
      <w:r>
        <w:t>chen nur kursorisch, wieder. Besonders interessant wird es durch die Invol</w:t>
      </w:r>
      <w:r w:rsidR="00C50DC4">
        <w:softHyphen/>
      </w:r>
      <w:r>
        <w:t xml:space="preserve">vierung der Mission in die </w:t>
      </w:r>
      <w:r w:rsidR="00216538">
        <w:t>Herero-Nama</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-Aufstände. Spieckers politische Rolle war zwar schon in groben Zügen bekannt, doch kann das Tagebuch hier das Bild erheblich erweitern, wodurch es auch als Zeitdokument seinen Wert erhält. Z</w:t>
      </w:r>
      <w:r>
        <w:t>u</w:t>
      </w:r>
      <w:r>
        <w:t>gleich steht hinter dem Tagebuch eine feste Persönlichkeit – im positiven wie im negativen Sinn –, der wir uns noch ein wenig widmen wollen.</w:t>
      </w:r>
    </w:p>
    <w:p w:rsidR="00CF6655" w:rsidRDefault="00CF6655" w:rsidP="00CF6655">
      <w:pPr>
        <w:pStyle w:val="Text"/>
      </w:pPr>
      <w:r>
        <w:t>Johannes Spiecker beeindruckt seine unterschiedlichen Gesprächspartner – misstrauische Häuptlinge, erzkonservative Siedler</w:t>
      </w:r>
      <w:r w:rsidR="00363C1C">
        <w:fldChar w:fldCharType="begin"/>
      </w:r>
      <w:r w:rsidR="009769B3">
        <w:instrText xml:space="preserve"> XE "</w:instrText>
      </w:r>
      <w:r w:rsidR="009769B3" w:rsidRPr="00D059BF">
        <w:instrText>Siedler</w:instrText>
      </w:r>
      <w:r w:rsidR="009769B3">
        <w:instrText xml:space="preserve">" </w:instrText>
      </w:r>
      <w:r w:rsidR="00363C1C">
        <w:fldChar w:fldCharType="end"/>
      </w:r>
      <w:r>
        <w:t>, eigensinnige Missionare, r</w:t>
      </w:r>
      <w:r>
        <w:t>e</w:t>
      </w:r>
      <w:r>
        <w:t>bellische Gemeinderäte und die höchsten Beamten der Kolonialregierung</w:t>
      </w:r>
      <w:r w:rsidR="00363C1C">
        <w:fldChar w:fldCharType="begin"/>
      </w:r>
      <w:r w:rsidR="00C221A5">
        <w:instrText xml:space="preserve"> XE "</w:instrText>
      </w:r>
      <w:r w:rsidR="00C221A5" w:rsidRPr="00087CF3">
        <w:instrText>Kolonialregierung</w:instrText>
      </w:r>
      <w:r w:rsidR="00C221A5">
        <w:instrText xml:space="preserve">" </w:instrText>
      </w:r>
      <w:r w:rsidR="00363C1C">
        <w:fldChar w:fldCharType="end"/>
      </w:r>
      <w:r>
        <w:t xml:space="preserve"> bis hin zum Gouverneur – durch mutige und entschiedene Argumentation und Stan</w:t>
      </w:r>
      <w:r>
        <w:t>d</w:t>
      </w:r>
      <w:r>
        <w:t>festigkeit. Sie spüren wohl alle, dass seine Überzeugungen in seinem Glauben verwurzelt sind, und haben Respekt vor seiner konsequenten Haltung, die auch mit Gegnern klar und offen umgeht. Zu den Besonderheiten Spieckers gehört es, dass er im Gespräch keine großen Unterschiede zwischen „einfachen“ Leuten und hohen Funktionären, zwischen Schwarz und Weiß macht: Mit allen redet er höflich, aber entschieden und sagt ihnen klar seine Meinung. Mit Kritik wird d</w:t>
      </w:r>
      <w:r>
        <w:t>a</w:t>
      </w:r>
      <w:r>
        <w:t>bei nicht gespart. Dass er bei seinen Eingriffen in Gemeindeangelegenheiten hä</w:t>
      </w:r>
      <w:r>
        <w:t>u</w:t>
      </w:r>
      <w:r>
        <w:t>fig Erfolg hat, scheint daran zu liegen, dass er in der Lage ist, klare Forderungen mit grundsätzlichem Respekt vor seinem Gegenüber zu verbinden, während die Missionare immer wieder in paternalistisches</w:t>
      </w:r>
      <w:r w:rsidR="00363C1C">
        <w:fldChar w:fldCharType="begin"/>
      </w:r>
      <w:r w:rsidR="00566F67">
        <w:instrText xml:space="preserve"> XE "</w:instrText>
      </w:r>
      <w:r w:rsidR="00566F67" w:rsidRPr="0078231F">
        <w:instrText>Paternalismus</w:instrText>
      </w:r>
      <w:r w:rsidR="00566F67">
        <w:instrText xml:space="preserve">" </w:instrText>
      </w:r>
      <w:r w:rsidR="00363C1C">
        <w:fldChar w:fldCharType="end"/>
      </w:r>
      <w:r>
        <w:t xml:space="preserve"> Denken und in eine Art von ‚R</w:t>
      </w:r>
      <w:r>
        <w:t>e</w:t>
      </w:r>
      <w:r>
        <w:t>gierungsstil‘ zu verfallen scheinen, der dann gerade die selbstbewussten, einflus</w:t>
      </w:r>
      <w:r>
        <w:t>s</w:t>
      </w:r>
      <w:r>
        <w:t>reichen Gemeindeglieder zu Widerspruch anstachelt.</w:t>
      </w:r>
    </w:p>
    <w:p w:rsidR="00CF6655" w:rsidRDefault="00CF6655" w:rsidP="00CF6655">
      <w:pPr>
        <w:pStyle w:val="Text"/>
      </w:pPr>
      <w:r>
        <w:t>Spiecker empfindet sich selbst als Anwalt der Eingeborenen und tritt auch – beispielsweise gegenüber dem Gouverneur in der Frage der Gefangenenlager – immer wieder in dieser Funktion auf. Doch seine Haltung ist weniger eindeutig, als man es erwarten könnte. Es sind meist nur die schlimmsten Missstände in den Lagern – hohe Todesraten, Vergewaltigung</w:t>
      </w:r>
      <w:r w:rsidR="00363C1C">
        <w:fldChar w:fldCharType="begin"/>
      </w:r>
      <w:r w:rsidR="00AF5591">
        <w:instrText xml:space="preserve"> XE "</w:instrText>
      </w:r>
      <w:r w:rsidR="00AF5591" w:rsidRPr="00D21577">
        <w:instrText>Vergewaltigung</w:instrText>
      </w:r>
      <w:r w:rsidR="00AF5591">
        <w:instrText xml:space="preserve">" </w:instrText>
      </w:r>
      <w:r w:rsidR="00363C1C">
        <w:fldChar w:fldCharType="end"/>
      </w:r>
      <w:r>
        <w:t xml:space="preserve"> etc. – sowie die Ausrottung</w:t>
      </w:r>
      <w:r>
        <w:t>s</w:t>
      </w:r>
      <w:r>
        <w:t>phantasien des deutschen Militärs, die er entschieden bekämpft. Weder verlangt er klar ein Verbot der Zwangsarbeit</w:t>
      </w:r>
      <w:r w:rsidR="00363C1C">
        <w:fldChar w:fldCharType="begin"/>
      </w:r>
      <w:r w:rsidR="00AE4CA5">
        <w:instrText xml:space="preserve"> XE "</w:instrText>
      </w:r>
      <w:r w:rsidR="00AE4CA5" w:rsidRPr="008D7EB1">
        <w:instrText>Zwangsarbeit</w:instrText>
      </w:r>
      <w:r w:rsidR="00AE4CA5">
        <w:instrText xml:space="preserve">" </w:instrText>
      </w:r>
      <w:r w:rsidR="00363C1C">
        <w:fldChar w:fldCharType="end"/>
      </w:r>
      <w:r>
        <w:t xml:space="preserve"> der verschleppten Herero</w:t>
      </w:r>
      <w:r w:rsidR="00363C1C">
        <w:fldChar w:fldCharType="begin"/>
      </w:r>
      <w:r w:rsidR="003264BA">
        <w:instrText xml:space="preserve"> XE "</w:instrText>
      </w:r>
      <w:r w:rsidR="003264BA" w:rsidRPr="00D91537">
        <w:instrText>Herero</w:instrText>
      </w:r>
      <w:r w:rsidR="003264BA">
        <w:instrText xml:space="preserve">" </w:instrText>
      </w:r>
      <w:r w:rsidR="00363C1C">
        <w:fldChar w:fldCharType="end"/>
      </w:r>
      <w:r>
        <w:t xml:space="preserve"> (sei es auch nur für die Frauen und Kinder, die nicht mitgekämpft haben und somit nicht als Kriegsgefangene bezeichnet werden können), noch scheint er Macht- und Unterdrückungsmechanismen zu berücksichtigen, wenn er beispielsweise bei s</w:t>
      </w:r>
      <w:r>
        <w:t>e</w:t>
      </w:r>
      <w:r>
        <w:t>xuellen Kontakten in den Gefangenenlagern, sofern es sich nicht um direkte Vergewaltigungen</w:t>
      </w:r>
      <w:r w:rsidR="00363C1C">
        <w:fldChar w:fldCharType="begin"/>
      </w:r>
      <w:r w:rsidR="00AF5591">
        <w:instrText xml:space="preserve"> XE "</w:instrText>
      </w:r>
      <w:r w:rsidR="00AF5591" w:rsidRPr="00446C0E">
        <w:instrText>Vergewaltigung</w:instrText>
      </w:r>
      <w:r w:rsidR="00AF5591">
        <w:instrText xml:space="preserve">" </w:instrText>
      </w:r>
      <w:r w:rsidR="00363C1C">
        <w:fldChar w:fldCharType="end"/>
      </w:r>
      <w:r>
        <w:t xml:space="preserve"> handelt, von Freiwilligkeit ausgeht und – typisch für das De</w:t>
      </w:r>
      <w:r>
        <w:t>n</w:t>
      </w:r>
      <w:r>
        <w:t xml:space="preserve">ken seiner Zeit – die Frauen selbst dafür verantwortlich macht. Ebenso sieht und </w:t>
      </w:r>
      <w:r>
        <w:lastRenderedPageBreak/>
        <w:t>verurteilt er zwar das Unrecht gegen die Schwarzen, das in allen Lebensbereichen ausgeübt wird, scheint aber keine Rechtfertigung eines Aufstands darin zu e</w:t>
      </w:r>
      <w:r>
        <w:t>r</w:t>
      </w:r>
      <w:r>
        <w:t>kennen. Und beim Prozess in Saron</w:t>
      </w:r>
      <w:r w:rsidR="00363C1C">
        <w:fldChar w:fldCharType="begin"/>
      </w:r>
      <w:r w:rsidR="00D20257">
        <w:instrText xml:space="preserve"> XE "</w:instrText>
      </w:r>
      <w:r w:rsidR="00D20257" w:rsidRPr="000001D1">
        <w:instrText>Saron</w:instrText>
      </w:r>
      <w:r w:rsidR="00D20257">
        <w:instrText xml:space="preserve">" </w:instrText>
      </w:r>
      <w:r w:rsidR="00363C1C">
        <w:fldChar w:fldCharType="end"/>
      </w:r>
      <w:r>
        <w:t xml:space="preserve"> kommt ihm nicht einmal ein Zweifel, ob die Ansprüche der Gemeindeglieder auf das von ihnen bebaute Land gerechtfertigt sein könnten.</w:t>
      </w:r>
    </w:p>
    <w:p w:rsidR="00CF6655" w:rsidRDefault="00CF6655" w:rsidP="00CF6655">
      <w:pPr>
        <w:pStyle w:val="Text"/>
      </w:pPr>
      <w:r>
        <w:t>Trotzdem halte ich es für angemessen, Spiecker als relativ liberalen Vertr</w:t>
      </w:r>
      <w:r>
        <w:t>e</w:t>
      </w:r>
      <w:r>
        <w:t>ter der protestantischen Mission einzuordnen, und zwar zum einen deshalb, weil eine deutliche Abweichung seiner Meinung zu den anderen Missionaren häufig erkennbar wird (beispielsweise bei der Frage der Mischehen</w:t>
      </w:r>
      <w:r w:rsidR="00363C1C">
        <w:fldChar w:fldCharType="begin"/>
      </w:r>
      <w:r w:rsidR="00811BBF">
        <w:instrText xml:space="preserve"> XE "</w:instrText>
      </w:r>
      <w:r w:rsidR="00811BBF" w:rsidRPr="009C41F5">
        <w:instrText>Mischehen</w:instrText>
      </w:r>
      <w:r w:rsidR="00811BBF">
        <w:instrText xml:space="preserve">" </w:instrText>
      </w:r>
      <w:r w:rsidR="00363C1C">
        <w:fldChar w:fldCharType="end"/>
      </w:r>
      <w:r>
        <w:t>, bei deren Behan</w:t>
      </w:r>
      <w:r>
        <w:t>d</w:t>
      </w:r>
      <w:r>
        <w:t>lung bei der Konferenz in Keetmanshoop</w:t>
      </w:r>
      <w:r w:rsidR="00363C1C">
        <w:fldChar w:fldCharType="begin"/>
      </w:r>
      <w:r w:rsidR="001F21DF">
        <w:instrText xml:space="preserve"> XE "</w:instrText>
      </w:r>
      <w:r w:rsidR="001F21DF" w:rsidRPr="001F21DF">
        <w:instrText>Keetmanshoop</w:instrText>
      </w:r>
      <w:r w:rsidR="001F21DF">
        <w:instrText xml:space="preserve">" </w:instrText>
      </w:r>
      <w:r w:rsidR="00363C1C">
        <w:fldChar w:fldCharType="end"/>
      </w:r>
      <w:r>
        <w:t xml:space="preserve"> sich zeigt, dass die Brüder „ohne Au</w:t>
      </w:r>
      <w:r>
        <w:t>s</w:t>
      </w:r>
      <w:r>
        <w:t>nahme entschiedene Gegner solcher Ehen“ (1696) sind, während Spieckers Pos</w:t>
      </w:r>
      <w:r>
        <w:t>i</w:t>
      </w:r>
      <w:r>
        <w:t>tion differenzierter ist). Man darf bei der Einordnung von Spieckers Ansichten nicht vergessen, dass der Protestantismus in Deutschland damals politisch ei</w:t>
      </w:r>
      <w:r>
        <w:t>n</w:t>
      </w:r>
      <w:r>
        <w:t>deutig konservativ war und die wenigen sozialdemokratisch tendierenden Pfarrer wohl nicht in der Mission zu finden waren.</w:t>
      </w:r>
      <w:r>
        <w:rPr>
          <w:rStyle w:val="Funotenzeichen"/>
        </w:rPr>
        <w:footnoteReference w:id="298"/>
      </w:r>
      <w:r>
        <w:t xml:space="preserve"> Mit den Reformbemühungen der „liberalen Theologen</w:t>
      </w:r>
      <w:r w:rsidR="00363C1C">
        <w:fldChar w:fldCharType="begin"/>
      </w:r>
      <w:r w:rsidR="00E7748F">
        <w:instrText xml:space="preserve"> XE "</w:instrText>
      </w:r>
      <w:r w:rsidR="00E7748F" w:rsidRPr="00032F8F">
        <w:instrText>Liberale Theologie</w:instrText>
      </w:r>
      <w:r w:rsidR="00E7748F">
        <w:instrText xml:space="preserve">" </w:instrText>
      </w:r>
      <w:r w:rsidR="00363C1C">
        <w:fldChar w:fldCharType="end"/>
      </w:r>
      <w:r>
        <w:t>“ kann Spiecker dagegen gar nichts anfangen.</w:t>
      </w:r>
    </w:p>
    <w:p w:rsidR="00CF6655" w:rsidRDefault="00CF6655" w:rsidP="00CF6655">
      <w:pPr>
        <w:pStyle w:val="Text"/>
      </w:pPr>
      <w:r>
        <w:t>Zum anderen hat Spiecker ein spezifisch sozial orientiertes Verständnis von Mission, das keineswegs selbstverständlich war: „[Wir] müssen nicht nur die sittlich-religiöse, sondern auch in Verband damit die intellektuelle und soziale Hebung der Farbigen ins Auge fassen […], falls wir irgendwie unsere Aufgaben recht erkennen.“ (291) Beachtenswert ist nun, wie das paternalistische</w:t>
      </w:r>
      <w:r w:rsidR="00363C1C">
        <w:fldChar w:fldCharType="begin"/>
      </w:r>
      <w:r w:rsidR="00566F67">
        <w:instrText xml:space="preserve"> XE "</w:instrText>
      </w:r>
      <w:r w:rsidR="00566F67" w:rsidRPr="00A84163">
        <w:instrText>Paternalismus</w:instrText>
      </w:r>
      <w:r w:rsidR="00566F67">
        <w:instrText xml:space="preserve">" </w:instrText>
      </w:r>
      <w:r w:rsidR="00363C1C">
        <w:fldChar w:fldCharType="end"/>
      </w:r>
      <w:r>
        <w:t xml:space="preserve"> Überl</w:t>
      </w:r>
      <w:r>
        <w:t>e</w:t>
      </w:r>
      <w:r>
        <w:t>genheitsdenken, das Erziehung der Eingeborenen mit Europäisierung gleic</w:t>
      </w:r>
      <w:r>
        <w:t>h</w:t>
      </w:r>
      <w:r>
        <w:t>setzt, aus dieser klaren und menschlichen Analyse direkt und scheinbar notwe</w:t>
      </w:r>
      <w:r>
        <w:t>n</w:t>
      </w:r>
      <w:r>
        <w:t>dig einen Umerziehungsauftrag im Sinne der Arbeitsideologie ableitet, der, wie vielfach nachgewiesen worden ist, notwendige Voraussetzung einer wirtschaf</w:t>
      </w:r>
      <w:r>
        <w:t>t</w:t>
      </w:r>
      <w:r>
        <w:lastRenderedPageBreak/>
        <w:t>lich lohnenden Kolonisierung war. Folgende Passage verdeutlicht dies. Sie b</w:t>
      </w:r>
      <w:r>
        <w:t>e</w:t>
      </w:r>
      <w:r>
        <w:t>ginnt mit einem Bekenntnis zum sozialen Auftrag:</w:t>
      </w:r>
    </w:p>
    <w:p w:rsidR="00CF6655" w:rsidRDefault="00CF6655" w:rsidP="00CF6655">
      <w:pPr>
        <w:pStyle w:val="Text"/>
      </w:pPr>
      <w:r>
        <w:t>„Grundverkehrt erscheint es mir freilich zu sagen: Der Missionar hat nur Gottes Wort zu verkündigen. Damit ist seine Aufgabe vollbracht. So wenig wie dem Pastor in der Heimat so wenig und noch viel weniger darf und kann dem Missionar die sociale und ökonomische Lage seiner Pflegebefohlenen gleichgü</w:t>
      </w:r>
      <w:r>
        <w:t>l</w:t>
      </w:r>
      <w:r>
        <w:t>tig sein.“ Doch schon die anschließende Ursachenanalyse wird uns problem</w:t>
      </w:r>
      <w:r>
        <w:t>a</w:t>
      </w:r>
      <w:r>
        <w:t>tisch erscheinen, weil sie externe Faktoren (vor allem die durch die Einwand</w:t>
      </w:r>
      <w:r>
        <w:t>e</w:t>
      </w:r>
      <w:r>
        <w:t>rung und den Verlust des größten Teils ihres Landes bewirkten Veränderungen) außer acht lässt: „Faule und durch eigene Schuld verarmte Leute werden nie rechte Christen werden und lebensfähige Gemeinden bilden.“ Aus dieser Pro</w:t>
      </w:r>
      <w:r>
        <w:t>b</w:t>
      </w:r>
      <w:r>
        <w:t>lemanalyse folgt fast zwingend das Heilmittel: „Es wird aber verkannt, daß die Mission zur Hebung der Lage der Eingeborenen schon viel getan hat und mit a</w:t>
      </w:r>
      <w:r>
        <w:t>l</w:t>
      </w:r>
      <w:r>
        <w:t>ler Macht es auch im Auge hat sie zur Arbeit zu erziehen.“ (1681)</w:t>
      </w:r>
    </w:p>
    <w:p w:rsidR="00CF6655" w:rsidRDefault="00CF6655" w:rsidP="00CF6655">
      <w:pPr>
        <w:pStyle w:val="Text"/>
      </w:pPr>
      <w:r>
        <w:t>So bleibt Spieckers Bekenntnis zu einer anderen Haltung gegenüber den Eingeborenen immer an Bedingungen geknüpft. Wiederholt betont er die Wic</w:t>
      </w:r>
      <w:r>
        <w:t>h</w:t>
      </w:r>
      <w:r>
        <w:t>tigkeit einer guten Schulbildung; diese sieht er – wie es damals auch bei Vertr</w:t>
      </w:r>
      <w:r>
        <w:t>e</w:t>
      </w:r>
      <w:r>
        <w:t>tern einer liberalen Richtung üblich war – als notwendige Voraussetzung einer erst in ferner Zukunft realisierbaren vollständigen Gleichberechtigung der Ei</w:t>
      </w:r>
      <w:r>
        <w:t>n</w:t>
      </w:r>
      <w:r>
        <w:t>geborenen. Da er diese an europäischen Maßstäben und Wertvorstellungen misst, scheint er bei allem immer wieder bezeugten Wohlwollen doch von der Unterlegenheit der Schwarzen in entscheidenden Bereichen (Fleiß, Selbstdiszi</w:t>
      </w:r>
      <w:r>
        <w:t>p</w:t>
      </w:r>
      <w:r>
        <w:t>lin, moralische Stärke, Bildung usw.) auszugehen, und so ergibt sich eine ambiv</w:t>
      </w:r>
      <w:r>
        <w:t>a</w:t>
      </w:r>
      <w:r>
        <w:t>lente Haltung zu den Mechanismen des kolonialen Denkens, die er anlässlich der Diskussion mit einem Konservativen in Hoek ausdrückt:</w:t>
      </w:r>
    </w:p>
    <w:p w:rsidR="00CF6655" w:rsidRDefault="00CF6655" w:rsidP="00CF6655">
      <w:pPr>
        <w:pStyle w:val="Zitat"/>
      </w:pPr>
      <w:r>
        <w:t>Mit Mr. Lübbe</w:t>
      </w:r>
      <w:r w:rsidR="00363C1C">
        <w:fldChar w:fldCharType="begin"/>
      </w:r>
      <w:r w:rsidR="00E7748F">
        <w:instrText xml:space="preserve"> XE "</w:instrText>
      </w:r>
      <w:r w:rsidR="00E7748F" w:rsidRPr="003D79C5">
        <w:instrText xml:space="preserve">Lübbe, </w:instrText>
      </w:r>
      <w:r w:rsidR="00E7748F">
        <w:instrText xml:space="preserve">Ehepaar" </w:instrText>
      </w:r>
      <w:r w:rsidR="00363C1C">
        <w:fldChar w:fldCharType="end"/>
      </w:r>
      <w:r>
        <w:t xml:space="preserve"> sprach ich auch über die Mission. </w:t>
      </w:r>
      <w:r w:rsidR="006E165B">
        <w:t>„</w:t>
      </w:r>
      <w:r>
        <w:t>Dafür bin ich</w:t>
      </w:r>
      <w:r w:rsidR="006E165B">
        <w:t>“</w:t>
      </w:r>
      <w:r>
        <w:t xml:space="preserve">, sagte er, </w:t>
      </w:r>
      <w:r w:rsidR="006E165B">
        <w:t>„</w:t>
      </w:r>
      <w:r>
        <w:t>daß die Schwarzen das Evangelium hören, aber es ist besser, man unterrichtet sie nicht weiter; sie müssen Diener und Knechte der Weißen sein und bleiben. Werden sie unterrichtet, so wollen sie das nicht mehr. Ham muß aber Japhet dienen.</w:t>
      </w:r>
      <w:r w:rsidR="006E165B">
        <w:t>“</w:t>
      </w:r>
      <w:r>
        <w:t xml:space="preserve"> Ich machte ihn darauf aufmerksam, daß durch Christi Blut und durch den Glauben an Jesum jeder Fluch weggenommen werden könne. Das schien er nicht zu verstehen. Weiter gestritten habe ich nicht mit ihm. Vorläufig müssen ja auch durchweg die Farbigen Knechte der Weißen sein. (2027f)</w:t>
      </w:r>
    </w:p>
    <w:p w:rsidR="00CF6655" w:rsidRDefault="00CF6655" w:rsidP="00F0444E">
      <w:pPr>
        <w:pStyle w:val="Text"/>
        <w:ind w:firstLine="0"/>
      </w:pPr>
      <w:r>
        <w:t>In der vorliegenden Arbeit wurden zahlreiche Einzelaspekte des Spieckerschen Tagebuchs untersucht; die große Fülle an Themengebieten, die darin eine Rolle spielt, dürfte deutlich geworden sein. Doch Spieckers Text, über 2000 han</w:t>
      </w:r>
      <w:r>
        <w:t>d</w:t>
      </w:r>
      <w:r>
        <w:t>schriftlich beschriebene Seiten lang, kann auch in seinem Gesamtcharakter e</w:t>
      </w:r>
      <w:r>
        <w:t>r</w:t>
      </w:r>
      <w:r>
        <w:t>fasst werden, obwohl eine solche Beschreibung notwendig vage und subjektiv bleiben muss. Tatsächlich wechseln beim Lesen dieses Dokuments zwei Grun</w:t>
      </w:r>
      <w:r>
        <w:t>d</w:t>
      </w:r>
      <w:r>
        <w:t>eindrücke miteinander ab:</w:t>
      </w:r>
    </w:p>
    <w:p w:rsidR="00CF6655" w:rsidRDefault="00CF6655" w:rsidP="00CF6655">
      <w:pPr>
        <w:pStyle w:val="Text"/>
      </w:pPr>
      <w:r>
        <w:t xml:space="preserve">Zum einen gerät man immer wieder in den Sog einer geradlinigen, aber nicht eindimensionalen Persönlichkeit, die einen gerade durch die Abwesenheit jedes literarischen, wissenschaftlichen oder unterhaltenden Ehrgeizes scheinbar direkt </w:t>
      </w:r>
      <w:r>
        <w:lastRenderedPageBreak/>
        <w:t>an ihrem Leben teilhaben lässt; so kommt es, dass man sich stärker als bei den meist anspruchsvolleren berühmten Reiseberichten vor einem Empfinden der Unmittelbarkeit und Direktheit in Acht nehmen muss.</w:t>
      </w:r>
      <w:r>
        <w:rPr>
          <w:rStyle w:val="Funotenzeichen"/>
        </w:rPr>
        <w:footnoteReference w:id="299"/>
      </w:r>
      <w:r>
        <w:t xml:space="preserve"> Spiecker widmete jede Minute dieser mühevollen Reise seiner gewählten Aufgabe, der Mission, wobei er von seinem christlichen Glauben motiviert wird. Auf sich selbst nimmt er d</w:t>
      </w:r>
      <w:r>
        <w:t>a</w:t>
      </w:r>
      <w:r>
        <w:t>bei wenig Rücksicht. – Das Gefühl, das beim Lesen entsteht, ist Respekt.</w:t>
      </w:r>
    </w:p>
    <w:p w:rsidR="00CF6655" w:rsidRDefault="00CF6655" w:rsidP="00CF6655">
      <w:pPr>
        <w:pStyle w:val="Text"/>
      </w:pPr>
      <w:r>
        <w:t>Doch wie eines jener Vexierbilder, bei denen Ding und Hintergrund au</w:t>
      </w:r>
      <w:r>
        <w:t>s</w:t>
      </w:r>
      <w:r>
        <w:t>tauschbar sind und somit zwei Bedeutungen entstehen, die man nicht gleichze</w:t>
      </w:r>
      <w:r>
        <w:t>i</w:t>
      </w:r>
      <w:r>
        <w:t>tig sehen kann, kippt die Interpretation plötzlich um:</w:t>
      </w:r>
    </w:p>
    <w:p w:rsidR="00CF6655" w:rsidRDefault="00CF6655" w:rsidP="00CF6655">
      <w:pPr>
        <w:pStyle w:val="Text"/>
      </w:pPr>
      <w:r>
        <w:t>Dann wird man auf vielfache Weise von der zynischen Wirklichkeit des K</w:t>
      </w:r>
      <w:r>
        <w:t>o</w:t>
      </w:r>
      <w:r>
        <w:t>lonialismus</w:t>
      </w:r>
      <w:r w:rsidR="00363C1C">
        <w:fldChar w:fldCharType="begin"/>
      </w:r>
      <w:r w:rsidR="003264BA">
        <w:instrText xml:space="preserve"> XE "</w:instrText>
      </w:r>
      <w:r w:rsidR="003264BA" w:rsidRPr="00603729">
        <w:instrText>Kolonialismus</w:instrText>
      </w:r>
      <w:r w:rsidR="003264BA">
        <w:instrText xml:space="preserve">" </w:instrText>
      </w:r>
      <w:r w:rsidR="00363C1C">
        <w:fldChar w:fldCharType="end"/>
      </w:r>
      <w:r>
        <w:t xml:space="preserve"> getroffen, der einem hier als unhinterfragte Realität begegnet. An vielen Punkten möchte man widersprechen, argumentieren, nachhaken, wobei man sich zugleich bewusst ist, dass diese Widersprüche aus heutiger Sicht offe</w:t>
      </w:r>
      <w:r>
        <w:t>n</w:t>
      </w:r>
      <w:r>
        <w:t>sichtlich sind. Doch die Frage bleibt: Wenn es damals nicht zu sehen war, wie lässt sich diese universale Blindheit erklären – gerade bei einem moralischen, v</w:t>
      </w:r>
      <w:r>
        <w:t>e</w:t>
      </w:r>
      <w:r>
        <w:t>rantwortungsbewussten und in Einzelpunkten durchaus kritischen Menschen wie Spiecker?</w:t>
      </w:r>
    </w:p>
    <w:p w:rsidR="00300804" w:rsidRDefault="00CF6655" w:rsidP="00300804">
      <w:pPr>
        <w:pStyle w:val="Text"/>
      </w:pPr>
      <w:r>
        <w:t>Hier wird die Macht der Ideologeme deutlich, die damals das Geschehen b</w:t>
      </w:r>
      <w:r>
        <w:t>e</w:t>
      </w:r>
      <w:r>
        <w:t>stimmten, und man fragt sich befangen, ob wir sie wirklich so vollständig aus der Welt geschafft haben, wie wir glauben. Denn wenn man damals das ‚Offensich</w:t>
      </w:r>
      <w:r>
        <w:t>t</w:t>
      </w:r>
      <w:r>
        <w:t>liche‘ so schwer sehen konnte, sofern man wie Spiecker ganz eingebunden war in dieses System – was können wir dann heute nicht sehen, und Teil welcher Sy</w:t>
      </w:r>
      <w:r>
        <w:t>s</w:t>
      </w:r>
      <w:r>
        <w:t>teme sind wir, ohne es uns einzugestehen?</w:t>
      </w:r>
    </w:p>
    <w:p w:rsidR="00300804" w:rsidRDefault="00300804" w:rsidP="00300804">
      <w:pPr>
        <w:pStyle w:val="Text"/>
        <w:sectPr w:rsidR="00300804" w:rsidSect="00D0134D">
          <w:headerReference w:type="even" r:id="rId26"/>
          <w:headerReference w:type="default" r:id="rId27"/>
          <w:pgSz w:w="8789" w:h="13325" w:code="9"/>
          <w:pgMar w:top="1134" w:right="851" w:bottom="1418" w:left="1134" w:header="567" w:footer="680" w:gutter="0"/>
          <w:cols w:space="720"/>
          <w:titlePg/>
          <w:docGrid w:linePitch="360"/>
        </w:sectPr>
      </w:pPr>
    </w:p>
    <w:p w:rsidR="00CF6655" w:rsidRPr="00300804" w:rsidRDefault="00CF6655" w:rsidP="00300804">
      <w:pPr>
        <w:pStyle w:val="TitelohneNummer"/>
        <w:rPr>
          <w:lang w:val="en-US"/>
        </w:rPr>
      </w:pPr>
      <w:bookmarkStart w:id="472" w:name="_Toc122313691"/>
      <w:bookmarkStart w:id="473" w:name="_Toc122313779"/>
      <w:bookmarkStart w:id="474" w:name="_Toc130260784"/>
      <w:bookmarkStart w:id="475" w:name="_Toc327388084"/>
      <w:r>
        <w:rPr>
          <w:lang w:val="en-GB"/>
        </w:rPr>
        <w:lastRenderedPageBreak/>
        <w:t>Literatur</w:t>
      </w:r>
      <w:bookmarkEnd w:id="472"/>
      <w:bookmarkEnd w:id="473"/>
      <w:bookmarkEnd w:id="474"/>
      <w:bookmarkEnd w:id="475"/>
    </w:p>
    <w:p w:rsidR="00CF6655" w:rsidRPr="004229CF" w:rsidRDefault="00CF6655" w:rsidP="00CF6655">
      <w:pPr>
        <w:pStyle w:val="Literatur"/>
        <w:rPr>
          <w:lang w:val="en-US"/>
        </w:rPr>
      </w:pPr>
      <w:proofErr w:type="gramStart"/>
      <w:r w:rsidRPr="00CF6655">
        <w:rPr>
          <w:lang w:val="en-US"/>
        </w:rPr>
        <w:t>Ashcroft, Bill, Gareth Griffiths and Helen Tiffin (2000)</w:t>
      </w:r>
      <w:r w:rsidR="009A7676">
        <w:rPr>
          <w:lang w:val="en-US"/>
        </w:rPr>
        <w:t>,</w:t>
      </w:r>
      <w:r w:rsidRPr="00CF6655">
        <w:rPr>
          <w:lang w:val="en-US"/>
        </w:rPr>
        <w:t xml:space="preserve"> </w:t>
      </w:r>
      <w:r w:rsidRPr="00CF6655">
        <w:rPr>
          <w:i/>
          <w:iCs/>
          <w:lang w:val="en-US"/>
        </w:rPr>
        <w:t>Post-Colonial Studies.</w:t>
      </w:r>
      <w:proofErr w:type="gramEnd"/>
      <w:r w:rsidRPr="00CF6655">
        <w:rPr>
          <w:i/>
          <w:iCs/>
          <w:lang w:val="en-US"/>
        </w:rPr>
        <w:t xml:space="preserve"> </w:t>
      </w:r>
      <w:proofErr w:type="gramStart"/>
      <w:r w:rsidRPr="00CF6655">
        <w:rPr>
          <w:i/>
          <w:iCs/>
          <w:lang w:val="en-US"/>
        </w:rPr>
        <w:t>The Key Concepts.</w:t>
      </w:r>
      <w:proofErr w:type="gramEnd"/>
      <w:r w:rsidRPr="00CF6655">
        <w:rPr>
          <w:i/>
          <w:iCs/>
          <w:lang w:val="en-US"/>
        </w:rPr>
        <w:t xml:space="preserve"> </w:t>
      </w:r>
      <w:r w:rsidRPr="004229CF">
        <w:rPr>
          <w:lang w:val="en-US"/>
        </w:rPr>
        <w:t>London u.a.: Routledge.</w:t>
      </w:r>
    </w:p>
    <w:p w:rsidR="00CF6655" w:rsidRDefault="00CF6655" w:rsidP="00CF6655">
      <w:pPr>
        <w:pStyle w:val="Literatur"/>
      </w:pPr>
      <w:r w:rsidRPr="004229CF">
        <w:rPr>
          <w:lang w:val="en-US"/>
        </w:rPr>
        <w:t>Baumann, Julius (1965)</w:t>
      </w:r>
      <w:r w:rsidR="009A7676" w:rsidRPr="004229CF">
        <w:rPr>
          <w:lang w:val="en-US"/>
        </w:rPr>
        <w:t>,</w:t>
      </w:r>
      <w:r w:rsidRPr="004229CF">
        <w:rPr>
          <w:lang w:val="en-US"/>
        </w:rPr>
        <w:t xml:space="preserve"> </w:t>
      </w:r>
      <w:r w:rsidRPr="004229CF">
        <w:rPr>
          <w:i/>
          <w:iCs/>
          <w:lang w:val="en-US"/>
        </w:rPr>
        <w:t xml:space="preserve">Mission und Ökumene in Südwestafrika. </w:t>
      </w:r>
      <w:r>
        <w:rPr>
          <w:i/>
          <w:iCs/>
        </w:rPr>
        <w:t xml:space="preserve">Dargestellt am Lebenswerk von Hermann Heinrich Vedder. </w:t>
      </w:r>
      <w:r>
        <w:t>Leiden u.a.: E. J. Brill.</w:t>
      </w:r>
    </w:p>
    <w:p w:rsidR="00CF6655" w:rsidRDefault="00CF6655" w:rsidP="00CF6655">
      <w:pPr>
        <w:pStyle w:val="Literatur"/>
      </w:pPr>
      <w:r>
        <w:t>Becker, Frank (Hg.) (2004)</w:t>
      </w:r>
      <w:r w:rsidR="009A7676">
        <w:t>,</w:t>
      </w:r>
      <w:r>
        <w:t xml:space="preserve"> </w:t>
      </w:r>
      <w:r>
        <w:rPr>
          <w:i/>
          <w:iCs/>
        </w:rPr>
        <w:t xml:space="preserve">Rassenmischehen – Mischlinge – Rassentrennung. Zur Politik der Rasse im deutschen Kolonialreich. </w:t>
      </w:r>
      <w:r>
        <w:t>Stuttgart: Franz Steiner.</w:t>
      </w:r>
    </w:p>
    <w:p w:rsidR="00CF6655" w:rsidRPr="00CF6655" w:rsidRDefault="00CF6655" w:rsidP="00CF6655">
      <w:pPr>
        <w:pStyle w:val="Literatur"/>
        <w:rPr>
          <w:lang w:val="en-US"/>
        </w:rPr>
      </w:pPr>
      <w:proofErr w:type="gramStart"/>
      <w:r w:rsidRPr="00CF6655">
        <w:rPr>
          <w:lang w:val="en-US"/>
        </w:rPr>
        <w:t>Bhabha, Homi K. (1983)</w:t>
      </w:r>
      <w:r w:rsidR="009A7676">
        <w:rPr>
          <w:lang w:val="en-US"/>
        </w:rPr>
        <w:t>,</w:t>
      </w:r>
      <w:r w:rsidRPr="00CF6655">
        <w:rPr>
          <w:lang w:val="en-US"/>
        </w:rPr>
        <w:t xml:space="preserve"> „Difference, Discrimination, and the Discourse of C</w:t>
      </w:r>
      <w:r w:rsidRPr="00CF6655">
        <w:rPr>
          <w:lang w:val="en-US"/>
        </w:rPr>
        <w:t>o</w:t>
      </w:r>
      <w:r w:rsidRPr="00CF6655">
        <w:rPr>
          <w:lang w:val="en-US"/>
        </w:rPr>
        <w:t>lonialism“.</w:t>
      </w:r>
      <w:proofErr w:type="gramEnd"/>
      <w:r w:rsidRPr="00CF6655">
        <w:rPr>
          <w:lang w:val="en-US"/>
        </w:rPr>
        <w:t xml:space="preserve"> In: Francis Barker u.a. (Hg.)</w:t>
      </w:r>
      <w:r w:rsidR="009A7676">
        <w:rPr>
          <w:lang w:val="en-US"/>
        </w:rPr>
        <w:t>,</w:t>
      </w:r>
      <w:r w:rsidRPr="00CF6655">
        <w:rPr>
          <w:lang w:val="en-US"/>
        </w:rPr>
        <w:t xml:space="preserve"> </w:t>
      </w:r>
      <w:r w:rsidRPr="00CF6655">
        <w:rPr>
          <w:i/>
          <w:iCs/>
          <w:lang w:val="en-US"/>
        </w:rPr>
        <w:t xml:space="preserve">The Politics of Theory. </w:t>
      </w:r>
      <w:r w:rsidRPr="00CF6655">
        <w:rPr>
          <w:lang w:val="en-US"/>
        </w:rPr>
        <w:t xml:space="preserve">Colchester: University of Essex Press. </w:t>
      </w:r>
      <w:proofErr w:type="gramStart"/>
      <w:r w:rsidRPr="00CF6655">
        <w:rPr>
          <w:lang w:val="en-US"/>
        </w:rPr>
        <w:t>194-211.</w:t>
      </w:r>
      <w:proofErr w:type="gramEnd"/>
    </w:p>
    <w:p w:rsidR="00CF6655" w:rsidRPr="00CF6655" w:rsidRDefault="00CF6655" w:rsidP="00CF6655">
      <w:pPr>
        <w:pStyle w:val="Literatur"/>
        <w:rPr>
          <w:lang w:val="en-US"/>
        </w:rPr>
      </w:pPr>
      <w:r w:rsidRPr="00CF6655">
        <w:rPr>
          <w:lang w:val="en-US"/>
        </w:rPr>
        <w:t>Bhabha, Homi K. (1985)</w:t>
      </w:r>
      <w:r w:rsidR="009A7676">
        <w:rPr>
          <w:lang w:val="en-US"/>
        </w:rPr>
        <w:t>,</w:t>
      </w:r>
      <w:r w:rsidRPr="00CF6655">
        <w:rPr>
          <w:lang w:val="en-US"/>
        </w:rPr>
        <w:t xml:space="preserve"> „Signs Taken for Wonders: Questions of Ambivalence and Authority under a Tree Outside </w:t>
      </w:r>
      <w:proofErr w:type="gramStart"/>
      <w:r w:rsidRPr="00CF6655">
        <w:rPr>
          <w:lang w:val="en-US"/>
        </w:rPr>
        <w:t>Delhi,</w:t>
      </w:r>
      <w:proofErr w:type="gramEnd"/>
      <w:r w:rsidRPr="00CF6655">
        <w:rPr>
          <w:lang w:val="en-US"/>
        </w:rPr>
        <w:t xml:space="preserve"> May 1817“. </w:t>
      </w:r>
      <w:r w:rsidRPr="00CF6655">
        <w:rPr>
          <w:i/>
          <w:iCs/>
          <w:lang w:val="en-US"/>
        </w:rPr>
        <w:t>Critical Inquiry 12</w:t>
      </w:r>
      <w:proofErr w:type="gramStart"/>
      <w:r w:rsidRPr="00CF6655">
        <w:rPr>
          <w:i/>
          <w:iCs/>
          <w:lang w:val="en-US"/>
        </w:rPr>
        <w:t>,1</w:t>
      </w:r>
      <w:proofErr w:type="gramEnd"/>
      <w:r w:rsidRPr="00CF6655">
        <w:rPr>
          <w:i/>
          <w:iCs/>
          <w:lang w:val="en-US"/>
        </w:rPr>
        <w:t xml:space="preserve">: </w:t>
      </w:r>
      <w:r w:rsidRPr="00CF6655">
        <w:rPr>
          <w:lang w:val="en-US"/>
        </w:rPr>
        <w:t>144-165.</w:t>
      </w:r>
    </w:p>
    <w:p w:rsidR="00CF6655" w:rsidRDefault="00CF6655" w:rsidP="00CF6655">
      <w:pPr>
        <w:pStyle w:val="Literatur"/>
      </w:pPr>
      <w:r w:rsidRPr="00CF6655">
        <w:rPr>
          <w:lang w:val="en-US"/>
        </w:rPr>
        <w:t>Bhabha, Homi K. (1994)</w:t>
      </w:r>
      <w:r w:rsidR="009A7676">
        <w:rPr>
          <w:lang w:val="en-US"/>
        </w:rPr>
        <w:t>,</w:t>
      </w:r>
      <w:r w:rsidRPr="00CF6655">
        <w:rPr>
          <w:lang w:val="en-US"/>
        </w:rPr>
        <w:t xml:space="preserve"> </w:t>
      </w:r>
      <w:proofErr w:type="gramStart"/>
      <w:r w:rsidRPr="00CF6655">
        <w:rPr>
          <w:i/>
          <w:iCs/>
          <w:lang w:val="en-US"/>
        </w:rPr>
        <w:t>The</w:t>
      </w:r>
      <w:proofErr w:type="gramEnd"/>
      <w:r w:rsidRPr="00CF6655">
        <w:rPr>
          <w:i/>
          <w:iCs/>
          <w:lang w:val="en-US"/>
        </w:rPr>
        <w:t xml:space="preserve"> Location of Culture. </w:t>
      </w:r>
      <w:r w:rsidRPr="00CF6655">
        <w:rPr>
          <w:lang w:val="en-US"/>
        </w:rPr>
        <w:t xml:space="preserve">London: Routledge. </w:t>
      </w:r>
      <w:r>
        <w:t>Deutsch als Bhabha (2000)</w:t>
      </w:r>
      <w:r w:rsidR="009A7676">
        <w:t>,</w:t>
      </w:r>
      <w:r>
        <w:t xml:space="preserve"> </w:t>
      </w:r>
      <w:r>
        <w:rPr>
          <w:i/>
          <w:iCs/>
        </w:rPr>
        <w:t xml:space="preserve">Die Verortung der Kultur. </w:t>
      </w:r>
      <w:r>
        <w:t>Tübingen: Stauffenburg.</w:t>
      </w:r>
    </w:p>
    <w:p w:rsidR="00CF6655" w:rsidRPr="00CF6655" w:rsidRDefault="00CF6655" w:rsidP="00CF6655">
      <w:pPr>
        <w:pStyle w:val="Literatur"/>
        <w:rPr>
          <w:lang w:val="en-US"/>
        </w:rPr>
      </w:pPr>
      <w:r w:rsidRPr="00BC7D89">
        <w:t>Bhabha, Homi K. (2005)</w:t>
      </w:r>
      <w:r w:rsidR="009A7676" w:rsidRPr="00BC7D89">
        <w:t>,</w:t>
      </w:r>
      <w:r w:rsidRPr="00BC7D89">
        <w:t xml:space="preserve"> </w:t>
      </w:r>
      <w:r w:rsidRPr="00BC7D89">
        <w:rPr>
          <w:i/>
          <w:iCs/>
        </w:rPr>
        <w:t xml:space="preserve">Edward Said: Continuing the Conversation. </w:t>
      </w:r>
      <w:r w:rsidRPr="00CF6655">
        <w:rPr>
          <w:lang w:val="en-US"/>
        </w:rPr>
        <w:t>Chicago: University of Chicago Press.</w:t>
      </w:r>
    </w:p>
    <w:p w:rsidR="00CF6655" w:rsidRDefault="009A7676" w:rsidP="00CF6655">
      <w:pPr>
        <w:pStyle w:val="Literatur"/>
      </w:pPr>
      <w:r>
        <w:rPr>
          <w:lang w:val="en-US"/>
        </w:rPr>
        <w:t>Bialas, Zbigniew (1997),</w:t>
      </w:r>
      <w:r w:rsidR="00CF6655" w:rsidRPr="00CF6655">
        <w:rPr>
          <w:lang w:val="en-US"/>
        </w:rPr>
        <w:t xml:space="preserve"> </w:t>
      </w:r>
      <w:r w:rsidR="00CF6655" w:rsidRPr="00CF6655">
        <w:rPr>
          <w:i/>
          <w:iCs/>
          <w:lang w:val="en-US"/>
        </w:rPr>
        <w:t>Mapping Wild Gardens</w:t>
      </w:r>
      <w:r>
        <w:rPr>
          <w:i/>
          <w:iCs/>
          <w:lang w:val="en-US"/>
        </w:rPr>
        <w:t>:</w:t>
      </w:r>
      <w:r w:rsidR="00CF6655" w:rsidRPr="00CF6655">
        <w:rPr>
          <w:i/>
          <w:iCs/>
          <w:lang w:val="en-US"/>
        </w:rPr>
        <w:t xml:space="preserve"> The Symbolic Conquest of South Africa. </w:t>
      </w:r>
      <w:r w:rsidR="00CF6655">
        <w:t>Essen: Die Blaue Eule.</w:t>
      </w:r>
    </w:p>
    <w:p w:rsidR="00CF6655" w:rsidRDefault="00CF6655" w:rsidP="00CF6655">
      <w:pPr>
        <w:pStyle w:val="Literatur"/>
      </w:pPr>
      <w:r>
        <w:t>Bleicher, Thomas (1981)</w:t>
      </w:r>
      <w:r w:rsidR="009A7676">
        <w:t>,</w:t>
      </w:r>
      <w:r>
        <w:t xml:space="preserve"> „Einleitung: Literarisches Reisen als literaturwisse</w:t>
      </w:r>
      <w:r>
        <w:t>n</w:t>
      </w:r>
      <w:r>
        <w:t xml:space="preserve">schaftliches Ziel“. In: </w:t>
      </w:r>
      <w:r>
        <w:rPr>
          <w:i/>
          <w:iCs/>
        </w:rPr>
        <w:t xml:space="preserve">Reiseliteratur. </w:t>
      </w:r>
      <w:r>
        <w:t>Komparatistische Hefte 3 (1981). Ba</w:t>
      </w:r>
      <w:r>
        <w:t>y</w:t>
      </w:r>
      <w:r>
        <w:t>reuth: Ellwanger. 3-10.</w:t>
      </w:r>
    </w:p>
    <w:p w:rsidR="00CF6655" w:rsidRDefault="009A7676" w:rsidP="00CF6655">
      <w:pPr>
        <w:pStyle w:val="Literatur"/>
      </w:pPr>
      <w:r>
        <w:t>Braun, Thomas (1992),</w:t>
      </w:r>
      <w:r w:rsidR="00CF6655">
        <w:t xml:space="preserve"> </w:t>
      </w:r>
      <w:r w:rsidR="00CF6655">
        <w:rPr>
          <w:i/>
          <w:iCs/>
        </w:rPr>
        <w:t xml:space="preserve">Die Rheinische Missionsgesellschaft und der Missionshandel im 19. Jahrhundert. </w:t>
      </w:r>
      <w:r w:rsidR="00CF6655">
        <w:t>Erlangen: Verl. der Evangelisch-Lutherischen Mission. Zugl.: Diss., Kiel, Univ., 1991.</w:t>
      </w:r>
    </w:p>
    <w:p w:rsidR="00B27244" w:rsidRDefault="00B27244" w:rsidP="00CF6655">
      <w:pPr>
        <w:pStyle w:val="Literatur"/>
      </w:pPr>
      <w:r>
        <w:t xml:space="preserve">Brincker, Peter Heinrich (1891), </w:t>
      </w:r>
      <w:r w:rsidRPr="00B27244">
        <w:rPr>
          <w:i/>
          <w:iCs/>
        </w:rPr>
        <w:t>Lehrbuch des Oshikuanjama</w:t>
      </w:r>
      <w:r w:rsidR="008E03F3">
        <w:rPr>
          <w:i/>
          <w:iCs/>
        </w:rPr>
        <w:t>:</w:t>
      </w:r>
      <w:r>
        <w:rPr>
          <w:i/>
          <w:iCs/>
        </w:rPr>
        <w:t xml:space="preserve"> </w:t>
      </w:r>
      <w:r w:rsidRPr="008E03F3">
        <w:rPr>
          <w:rStyle w:val="st"/>
          <w:i/>
        </w:rPr>
        <w:t>Bantu-Sprache in Deutsch-Südwest-Afrika</w:t>
      </w:r>
      <w:r w:rsidRPr="008E03F3">
        <w:rPr>
          <w:i/>
          <w:iCs/>
        </w:rPr>
        <w:t>.</w:t>
      </w:r>
      <w:r>
        <w:t xml:space="preserve"> S</w:t>
      </w:r>
      <w:r w:rsidRPr="00B27244">
        <w:t>tuttgart</w:t>
      </w:r>
      <w:r>
        <w:t xml:space="preserve"> u.a.</w:t>
      </w:r>
      <w:r w:rsidRPr="00B27244">
        <w:t>: Spemann</w:t>
      </w:r>
      <w:r>
        <w:t>.</w:t>
      </w:r>
    </w:p>
    <w:p w:rsidR="00CF6655" w:rsidRPr="00CF6655" w:rsidRDefault="009A7676" w:rsidP="00CF6655">
      <w:pPr>
        <w:pStyle w:val="Literatur"/>
        <w:rPr>
          <w:lang w:val="en-US"/>
        </w:rPr>
      </w:pPr>
      <w:r>
        <w:t>Bühler, Andreas H. (2003),</w:t>
      </w:r>
      <w:r w:rsidR="00CF6655">
        <w:t xml:space="preserve"> </w:t>
      </w:r>
      <w:r w:rsidR="00CF6655">
        <w:rPr>
          <w:i/>
          <w:iCs/>
        </w:rPr>
        <w:t>Der Namaaufstand gegen die deutsche Kolonialher</w:t>
      </w:r>
      <w:r w:rsidR="00CF6655">
        <w:rPr>
          <w:i/>
          <w:iCs/>
        </w:rPr>
        <w:t>r</w:t>
      </w:r>
      <w:r w:rsidR="00CF6655">
        <w:rPr>
          <w:i/>
          <w:iCs/>
        </w:rPr>
        <w:t xml:space="preserve">schaft in Namibia von 1904–1913. </w:t>
      </w:r>
      <w:r w:rsidR="00CF6655" w:rsidRPr="002855CD">
        <w:rPr>
          <w:lang w:val="en-US"/>
        </w:rPr>
        <w:t>Frankfurt u.a.: IK</w:t>
      </w:r>
      <w:r w:rsidR="00CF6655" w:rsidRPr="00CF6655">
        <w:rPr>
          <w:lang w:val="en-US"/>
        </w:rPr>
        <w:t>O.</w:t>
      </w:r>
    </w:p>
    <w:p w:rsidR="00CF6655" w:rsidRPr="00CF6655" w:rsidRDefault="00CF6655" w:rsidP="00CF6655">
      <w:pPr>
        <w:pStyle w:val="Literatur"/>
        <w:rPr>
          <w:lang w:val="en-US"/>
        </w:rPr>
      </w:pPr>
      <w:proofErr w:type="gramStart"/>
      <w:r w:rsidRPr="00CF6655">
        <w:rPr>
          <w:lang w:val="en-US"/>
        </w:rPr>
        <w:t>Clark, Steve (Hg.) (1</w:t>
      </w:r>
      <w:r w:rsidR="009A7676">
        <w:rPr>
          <w:lang w:val="en-US"/>
        </w:rPr>
        <w:t>999),</w:t>
      </w:r>
      <w:r w:rsidRPr="00CF6655">
        <w:rPr>
          <w:lang w:val="en-US"/>
        </w:rPr>
        <w:t xml:space="preserve"> </w:t>
      </w:r>
      <w:r w:rsidRPr="00CF6655">
        <w:rPr>
          <w:i/>
          <w:iCs/>
          <w:lang w:val="en-US"/>
        </w:rPr>
        <w:t>Travel Writing and Empire.</w:t>
      </w:r>
      <w:proofErr w:type="gramEnd"/>
      <w:r w:rsidRPr="00CF6655">
        <w:rPr>
          <w:i/>
          <w:iCs/>
          <w:lang w:val="en-US"/>
        </w:rPr>
        <w:t xml:space="preserve"> </w:t>
      </w:r>
      <w:proofErr w:type="gramStart"/>
      <w:r w:rsidRPr="00CF6655">
        <w:rPr>
          <w:i/>
          <w:iCs/>
          <w:lang w:val="en-US"/>
        </w:rPr>
        <w:t>Postcolonial Theory in Transit.</w:t>
      </w:r>
      <w:proofErr w:type="gramEnd"/>
      <w:r w:rsidRPr="00CF6655">
        <w:rPr>
          <w:i/>
          <w:iCs/>
          <w:lang w:val="en-US"/>
        </w:rPr>
        <w:t xml:space="preserve"> </w:t>
      </w:r>
      <w:r w:rsidRPr="00CF6655">
        <w:rPr>
          <w:lang w:val="en-US"/>
        </w:rPr>
        <w:t>London u.a.: Zed Books.</w:t>
      </w:r>
    </w:p>
    <w:p w:rsidR="00CF6655" w:rsidRDefault="00CF6655" w:rsidP="00CF6655">
      <w:pPr>
        <w:pStyle w:val="Literatur"/>
      </w:pPr>
      <w:proofErr w:type="gramStart"/>
      <w:r w:rsidRPr="00CF6655">
        <w:rPr>
          <w:lang w:val="en-US"/>
        </w:rPr>
        <w:t>Clifford, James (1992)</w:t>
      </w:r>
      <w:r w:rsidR="009A7676">
        <w:rPr>
          <w:lang w:val="en-US"/>
        </w:rPr>
        <w:t>,</w:t>
      </w:r>
      <w:r w:rsidRPr="00CF6655">
        <w:rPr>
          <w:lang w:val="en-US"/>
        </w:rPr>
        <w:t xml:space="preserve"> „Traveling Cultures“.</w:t>
      </w:r>
      <w:proofErr w:type="gramEnd"/>
      <w:r w:rsidRPr="00CF6655">
        <w:rPr>
          <w:lang w:val="en-US"/>
        </w:rPr>
        <w:t xml:space="preserve"> In: Lawrence Grossberg, Cary Nelson und Paula A. Treichler (Hg.)</w:t>
      </w:r>
      <w:r w:rsidR="009A7676">
        <w:rPr>
          <w:lang w:val="en-US"/>
        </w:rPr>
        <w:t>,</w:t>
      </w:r>
      <w:r w:rsidRPr="00CF6655">
        <w:rPr>
          <w:lang w:val="en-US"/>
        </w:rPr>
        <w:t xml:space="preserve"> </w:t>
      </w:r>
      <w:r w:rsidRPr="00CF6655">
        <w:rPr>
          <w:i/>
          <w:iCs/>
          <w:lang w:val="en-US"/>
        </w:rPr>
        <w:t xml:space="preserve">Cultural Studies. </w:t>
      </w:r>
      <w:r>
        <w:t>New York u.a.: Rou</w:t>
      </w:r>
      <w:r>
        <w:t>t</w:t>
      </w:r>
      <w:r>
        <w:t>ledge. 96-116.</w:t>
      </w:r>
    </w:p>
    <w:p w:rsidR="00CF6655" w:rsidRDefault="00CF6655" w:rsidP="00CF6655">
      <w:pPr>
        <w:pStyle w:val="Literatur"/>
      </w:pPr>
      <w:r>
        <w:t>Cro</w:t>
      </w:r>
      <w:r w:rsidR="009A7676">
        <w:t>nin, Michael (1995),</w:t>
      </w:r>
      <w:r>
        <w:t xml:space="preserve"> „Andere Stimmen: Reiseliteratur und das Problem der Sprachbarrieren“. In: An</w:t>
      </w:r>
      <w:r w:rsidR="009A7676">
        <w:t xml:space="preserve">ne Fuchs und Theo Harden (Hg.), </w:t>
      </w:r>
      <w:r>
        <w:rPr>
          <w:i/>
          <w:iCs/>
        </w:rPr>
        <w:t>Reisen im Di</w:t>
      </w:r>
      <w:r>
        <w:rPr>
          <w:i/>
          <w:iCs/>
        </w:rPr>
        <w:t>s</w:t>
      </w:r>
      <w:r>
        <w:rPr>
          <w:i/>
          <w:iCs/>
        </w:rPr>
        <w:t xml:space="preserve">kurs. Modelle der literarischen Fremderfahrung von den Pilgerberichten bis zur Postmoderne. </w:t>
      </w:r>
      <w:r>
        <w:t>Heidelberg: Winter. 19-34.</w:t>
      </w:r>
    </w:p>
    <w:p w:rsidR="00CF6655" w:rsidRDefault="00CF6655" w:rsidP="00CF6655">
      <w:pPr>
        <w:pStyle w:val="Literatur"/>
      </w:pPr>
      <w:r>
        <w:lastRenderedPageBreak/>
        <w:t>Deleuze, G</w:t>
      </w:r>
      <w:r w:rsidR="009A7676">
        <w:t>illes und Félix Guattari (1972),</w:t>
      </w:r>
      <w:r>
        <w:t xml:space="preserve"> </w:t>
      </w:r>
      <w:r>
        <w:rPr>
          <w:i/>
          <w:iCs/>
        </w:rPr>
        <w:t>Capitalisme et schizophr</w:t>
      </w:r>
      <w:r>
        <w:rPr>
          <w:rFonts w:hint="eastAsia"/>
          <w:i/>
          <w:iCs/>
        </w:rPr>
        <w:t>é</w:t>
      </w:r>
      <w:r>
        <w:rPr>
          <w:i/>
          <w:iCs/>
        </w:rPr>
        <w:t xml:space="preserve">nie. </w:t>
      </w:r>
      <w:r>
        <w:t xml:space="preserve">Bd. 1: </w:t>
      </w:r>
      <w:r>
        <w:rPr>
          <w:i/>
          <w:iCs/>
        </w:rPr>
        <w:t>L</w:t>
      </w:r>
      <w:r w:rsidR="00702F09">
        <w:rPr>
          <w:i/>
          <w:iCs/>
        </w:rPr>
        <w:t>’</w:t>
      </w:r>
      <w:r>
        <w:rPr>
          <w:i/>
          <w:iCs/>
        </w:rPr>
        <w:t xml:space="preserve">Anti-Œdipe. </w:t>
      </w:r>
      <w:r>
        <w:t>Paris: Minuit. Deutsch als Deleuze und Guattari (1974)</w:t>
      </w:r>
      <w:r w:rsidR="009A7676">
        <w:t>,</w:t>
      </w:r>
      <w:r>
        <w:t xml:space="preserve"> </w:t>
      </w:r>
      <w:r>
        <w:rPr>
          <w:i/>
          <w:iCs/>
        </w:rPr>
        <w:t>Kap</w:t>
      </w:r>
      <w:r>
        <w:rPr>
          <w:i/>
          <w:iCs/>
        </w:rPr>
        <w:t>i</w:t>
      </w:r>
      <w:r>
        <w:rPr>
          <w:i/>
          <w:iCs/>
        </w:rPr>
        <w:t xml:space="preserve">talismus und Schizophrenie. </w:t>
      </w:r>
      <w:r>
        <w:t xml:space="preserve">Bd. 1: </w:t>
      </w:r>
      <w:r>
        <w:rPr>
          <w:i/>
          <w:iCs/>
        </w:rPr>
        <w:t xml:space="preserve">Anti-Ödipus. </w:t>
      </w:r>
      <w:r>
        <w:t>Frankfurt a.M.: Suhrkamp. Englisch als Deleuze un</w:t>
      </w:r>
      <w:r w:rsidR="00615C5A">
        <w:t>d Guattari (1977),</w:t>
      </w:r>
      <w:r>
        <w:t xml:space="preserve"> </w:t>
      </w:r>
      <w:r>
        <w:rPr>
          <w:i/>
          <w:iCs/>
        </w:rPr>
        <w:t xml:space="preserve">Capitalism and Schizophrenia. </w:t>
      </w:r>
      <w:r>
        <w:rPr>
          <w:lang w:val="it-IT"/>
        </w:rPr>
        <w:t xml:space="preserve">Vol. I: </w:t>
      </w:r>
      <w:r>
        <w:rPr>
          <w:i/>
          <w:iCs/>
          <w:lang w:val="it-IT"/>
        </w:rPr>
        <w:t xml:space="preserve">Anti-Oedipus. </w:t>
      </w:r>
      <w:r>
        <w:t>New York: Viking.</w:t>
      </w:r>
    </w:p>
    <w:p w:rsidR="00CF6655" w:rsidRDefault="00CF6655" w:rsidP="00CF6655">
      <w:pPr>
        <w:pStyle w:val="Literatur"/>
      </w:pPr>
      <w:r>
        <w:rPr>
          <w:i/>
          <w:iCs/>
        </w:rPr>
        <w:t xml:space="preserve">Die Bibel. Nach der Übersetzung Martin Luthers. </w:t>
      </w:r>
      <w:r>
        <w:t>Deutsche Bibelgesellschaft Stuttgart.</w:t>
      </w:r>
    </w:p>
    <w:p w:rsidR="00CF6655" w:rsidRDefault="00615C5A" w:rsidP="00CF6655">
      <w:pPr>
        <w:pStyle w:val="Literatur"/>
      </w:pPr>
      <w:r>
        <w:t>Doyle, Arthur Conan (1902),</w:t>
      </w:r>
      <w:r w:rsidR="00CF6655">
        <w:t xml:space="preserve"> </w:t>
      </w:r>
      <w:r w:rsidR="00CF6655">
        <w:rPr>
          <w:i/>
          <w:iCs/>
        </w:rPr>
        <w:t xml:space="preserve">Der Krieg in Südafrika: seine Ursache und Führung. </w:t>
      </w:r>
      <w:r w:rsidR="00CF6655">
        <w:t>London: Smith, Elder &amp; Co.</w:t>
      </w:r>
    </w:p>
    <w:p w:rsidR="00CF6655" w:rsidRDefault="00615C5A" w:rsidP="00CF6655">
      <w:pPr>
        <w:pStyle w:val="Literatur"/>
      </w:pPr>
      <w:r>
        <w:t>Drechsler, Horst (1966),</w:t>
      </w:r>
      <w:r w:rsidR="00CF6655">
        <w:t xml:space="preserve"> </w:t>
      </w:r>
      <w:r w:rsidR="00CF6655">
        <w:rPr>
          <w:i/>
          <w:iCs/>
        </w:rPr>
        <w:t>Südwestafrika unter deutscher Kolonialherrschaft. Der Kampf der Herero und Nama gegen den deutschen Imperialismus (1884–1915).</w:t>
      </w:r>
      <w:r w:rsidR="00CF6655">
        <w:t xml:space="preserve"> Berlin (O): Akademie.</w:t>
      </w:r>
    </w:p>
    <w:p w:rsidR="00CF6655" w:rsidRDefault="00615C5A" w:rsidP="00CF6655">
      <w:pPr>
        <w:pStyle w:val="Literatur"/>
      </w:pPr>
      <w:r>
        <w:t>Drießler, Heinrich (1932),</w:t>
      </w:r>
      <w:r w:rsidR="00CF6655">
        <w:t xml:space="preserve"> </w:t>
      </w:r>
      <w:r w:rsidR="00CF6655">
        <w:rPr>
          <w:i/>
          <w:iCs/>
        </w:rPr>
        <w:t xml:space="preserve">Die Rheinische Mission in Südwestafrika </w:t>
      </w:r>
      <w:r w:rsidR="00CF6655">
        <w:t>(Geschichte der Rheinischen Mission, Bd. II). Gütersloh: Bertelsmann.</w:t>
      </w:r>
    </w:p>
    <w:p w:rsidR="00CF6655" w:rsidRDefault="00955583" w:rsidP="00CF6655">
      <w:pPr>
        <w:pStyle w:val="Literatur"/>
      </w:pPr>
      <w:r>
        <w:t>Engel, Lothar (1972),</w:t>
      </w:r>
      <w:r w:rsidR="00CF6655">
        <w:t xml:space="preserve"> </w:t>
      </w:r>
      <w:r w:rsidR="00CF6655">
        <w:rPr>
          <w:i/>
          <w:iCs/>
        </w:rPr>
        <w:t>Die Stellung der Rheinischen Missionsgesellschaft zu den p</w:t>
      </w:r>
      <w:r w:rsidR="00CF6655">
        <w:rPr>
          <w:i/>
          <w:iCs/>
        </w:rPr>
        <w:t>o</w:t>
      </w:r>
      <w:r w:rsidR="00CF6655">
        <w:rPr>
          <w:i/>
          <w:iCs/>
        </w:rPr>
        <w:t xml:space="preserve">litischen und gesellschaftlichen Verhältnissen Südwestafrikas und ihr Beitrag zur dortigen kirchlichen Entwicklung bis zum Nama-Herero-Aufstand 1904–1907. </w:t>
      </w:r>
      <w:r w:rsidR="00CF6655">
        <w:t>Dissertation, Universität Hamburg.</w:t>
      </w:r>
    </w:p>
    <w:p w:rsidR="00CF6655" w:rsidRDefault="00CF6655" w:rsidP="00CF6655">
      <w:pPr>
        <w:pStyle w:val="Literatur"/>
      </w:pPr>
      <w:r>
        <w:t xml:space="preserve">Engel, </w:t>
      </w:r>
      <w:r w:rsidR="00955583">
        <w:t>Lothar (1976),</w:t>
      </w:r>
      <w:r>
        <w:t xml:space="preserve"> </w:t>
      </w:r>
      <w:r>
        <w:rPr>
          <w:i/>
          <w:iCs/>
        </w:rPr>
        <w:t>Kolonialismus und Nationalismus im deutschen Protesta</w:t>
      </w:r>
      <w:r>
        <w:rPr>
          <w:i/>
          <w:iCs/>
        </w:rPr>
        <w:t>n</w:t>
      </w:r>
      <w:r>
        <w:rPr>
          <w:i/>
          <w:iCs/>
        </w:rPr>
        <w:t>tismus in Namibia 1907 bis 1945. Beiträge zur Geschichte der deutschen evang</w:t>
      </w:r>
      <w:r>
        <w:rPr>
          <w:i/>
          <w:iCs/>
        </w:rPr>
        <w:t>e</w:t>
      </w:r>
      <w:r>
        <w:rPr>
          <w:i/>
          <w:iCs/>
        </w:rPr>
        <w:t>lischen Mission und Kirche im ehemaligen Kolonial- und Mandatsgebiet Sü</w:t>
      </w:r>
      <w:r>
        <w:rPr>
          <w:i/>
          <w:iCs/>
        </w:rPr>
        <w:t>d</w:t>
      </w:r>
      <w:r>
        <w:rPr>
          <w:i/>
          <w:iCs/>
        </w:rPr>
        <w:t xml:space="preserve">westafrika. </w:t>
      </w:r>
      <w:r>
        <w:t>Bern u.a.: Lang.</w:t>
      </w:r>
    </w:p>
    <w:p w:rsidR="00CF6655" w:rsidRPr="00CF6655" w:rsidRDefault="00CF6655" w:rsidP="00CF6655">
      <w:pPr>
        <w:pStyle w:val="Literatur"/>
        <w:rPr>
          <w:lang w:val="en-US"/>
        </w:rPr>
      </w:pPr>
      <w:r>
        <w:t>Erichsen,</w:t>
      </w:r>
      <w:r w:rsidR="00955583">
        <w:t xml:space="preserve"> Casper W. (2003),</w:t>
      </w:r>
      <w:r>
        <w:t xml:space="preserve"> „Zwangsarbeit im Konzentrationslager auf der Ha</w:t>
      </w:r>
      <w:r>
        <w:t>i</w:t>
      </w:r>
      <w:r>
        <w:t xml:space="preserve">fischinsel“. </w:t>
      </w:r>
      <w:r w:rsidRPr="00CF6655">
        <w:rPr>
          <w:lang w:val="en-US"/>
        </w:rPr>
        <w:t>In: Zimmerer 2003</w:t>
      </w:r>
      <w:r w:rsidR="00BB59DF">
        <w:rPr>
          <w:lang w:val="en-US"/>
        </w:rPr>
        <w:t>:</w:t>
      </w:r>
      <w:r w:rsidRPr="00CF6655">
        <w:rPr>
          <w:lang w:val="en-US"/>
        </w:rPr>
        <w:t xml:space="preserve"> 80-85.</w:t>
      </w:r>
    </w:p>
    <w:p w:rsidR="00CF6655" w:rsidRPr="00AE4CA5" w:rsidRDefault="00955583" w:rsidP="00CF6655">
      <w:pPr>
        <w:pStyle w:val="Literatur"/>
        <w:rPr>
          <w:lang w:val="en-US"/>
        </w:rPr>
      </w:pPr>
      <w:r>
        <w:rPr>
          <w:lang w:val="en-US"/>
        </w:rPr>
        <w:t>Gandhi, Leela (1998),</w:t>
      </w:r>
      <w:r w:rsidR="00CF6655" w:rsidRPr="00CF6655">
        <w:rPr>
          <w:lang w:val="en-US"/>
        </w:rPr>
        <w:t xml:space="preserve"> </w:t>
      </w:r>
      <w:r w:rsidR="00CF6655" w:rsidRPr="00CF6655">
        <w:rPr>
          <w:i/>
          <w:iCs/>
          <w:lang w:val="en-US"/>
        </w:rPr>
        <w:t>Postcolonial Theory</w:t>
      </w:r>
      <w:r>
        <w:rPr>
          <w:i/>
          <w:iCs/>
          <w:lang w:val="en-US"/>
        </w:rPr>
        <w:t>:</w:t>
      </w:r>
      <w:r w:rsidR="00CF6655" w:rsidRPr="00CF6655">
        <w:rPr>
          <w:i/>
          <w:iCs/>
          <w:lang w:val="en-US"/>
        </w:rPr>
        <w:t xml:space="preserve"> A Critical Introduction. </w:t>
      </w:r>
      <w:r w:rsidR="00CF6655" w:rsidRPr="00AE4CA5">
        <w:rPr>
          <w:lang w:val="en-US"/>
        </w:rPr>
        <w:t>New York: Columbia University Press.</w:t>
      </w:r>
    </w:p>
    <w:p w:rsidR="00CF6655" w:rsidRDefault="00CF6655" w:rsidP="00CF6655">
      <w:pPr>
        <w:pStyle w:val="Literatur"/>
      </w:pPr>
      <w:r>
        <w:t>Gründer, Horst (1982)</w:t>
      </w:r>
      <w:r w:rsidR="00955583">
        <w:t>,</w:t>
      </w:r>
      <w:r>
        <w:t xml:space="preserve"> </w:t>
      </w:r>
      <w:r>
        <w:rPr>
          <w:i/>
          <w:iCs/>
        </w:rPr>
        <w:t>Christliche Mission und deutscher Imperialismus. Eine p</w:t>
      </w:r>
      <w:r>
        <w:rPr>
          <w:i/>
          <w:iCs/>
        </w:rPr>
        <w:t>o</w:t>
      </w:r>
      <w:r>
        <w:rPr>
          <w:i/>
          <w:iCs/>
        </w:rPr>
        <w:t>litische Geschichte ihrer Beziehungen während der deutschen Kolonialzeit (1884</w:t>
      </w:r>
      <w:r w:rsidR="00955583">
        <w:rPr>
          <w:i/>
          <w:iCs/>
        </w:rPr>
        <w:t>–</w:t>
      </w:r>
      <w:r>
        <w:rPr>
          <w:i/>
          <w:iCs/>
        </w:rPr>
        <w:t xml:space="preserve">1914) unter besonderer Berücksichtigung Afrikas und Chinas. </w:t>
      </w:r>
      <w:r>
        <w:t>Paderborn u.a.: Schöningh.</w:t>
      </w:r>
    </w:p>
    <w:p w:rsidR="00CF6655" w:rsidRDefault="00955583" w:rsidP="00CF6655">
      <w:pPr>
        <w:pStyle w:val="Literatur"/>
      </w:pPr>
      <w:r>
        <w:t>Gründer, Horst (1984),</w:t>
      </w:r>
      <w:r w:rsidR="00CF6655">
        <w:t xml:space="preserve"> </w:t>
      </w:r>
      <w:r w:rsidR="00CF6655">
        <w:rPr>
          <w:i/>
          <w:iCs/>
        </w:rPr>
        <w:t xml:space="preserve">Das deutsche Reich als Kolonialmacht. </w:t>
      </w:r>
      <w:r w:rsidR="00CF6655">
        <w:t>Schwerte: Kathol</w:t>
      </w:r>
      <w:r w:rsidR="00CF6655">
        <w:t>i</w:t>
      </w:r>
      <w:r w:rsidR="00CF6655">
        <w:t>sche Akademie.</w:t>
      </w:r>
    </w:p>
    <w:p w:rsidR="00CF6655" w:rsidRDefault="00295834" w:rsidP="00CF6655">
      <w:pPr>
        <w:pStyle w:val="Literatur"/>
      </w:pPr>
      <w:r>
        <w:t>Gründer, Horst (1985),</w:t>
      </w:r>
      <w:r w:rsidR="00CF6655">
        <w:t xml:space="preserve"> </w:t>
      </w:r>
      <w:r w:rsidR="00CF6655">
        <w:rPr>
          <w:i/>
          <w:iCs/>
        </w:rPr>
        <w:t xml:space="preserve">Geschichte der deutschen Kolonien. </w:t>
      </w:r>
      <w:r w:rsidR="00CF6655">
        <w:t>Paderborn u.a.: Schöningh.</w:t>
      </w:r>
    </w:p>
    <w:p w:rsidR="0087083E" w:rsidRDefault="0087083E" w:rsidP="00CF6655">
      <w:pPr>
        <w:pStyle w:val="Literatur"/>
      </w:pPr>
      <w:r>
        <w:t>Gründer</w:t>
      </w:r>
      <w:r w:rsidR="008045B2">
        <w:t>, Horst</w:t>
      </w:r>
      <w:r>
        <w:t xml:space="preserve"> (Hg.) (1986), </w:t>
      </w:r>
      <w:r w:rsidRPr="0087083E">
        <w:rPr>
          <w:i/>
        </w:rPr>
        <w:t>Mission und Kolonialismus</w:t>
      </w:r>
      <w:r w:rsidR="001A7A03">
        <w:rPr>
          <w:i/>
        </w:rPr>
        <w:t>. D</w:t>
      </w:r>
      <w:r w:rsidRPr="0087083E">
        <w:rPr>
          <w:i/>
        </w:rPr>
        <w:t>ie Basler Mission und die Landfrage in Deutsch-Kamerun</w:t>
      </w:r>
      <w:r>
        <w:t>. Basel: Basler Mission.</w:t>
      </w:r>
    </w:p>
    <w:p w:rsidR="00CF6655" w:rsidRDefault="00955583" w:rsidP="00CF6655">
      <w:pPr>
        <w:pStyle w:val="Literatur"/>
      </w:pPr>
      <w:r>
        <w:t>Gründer, Horst (2004),</w:t>
      </w:r>
      <w:r w:rsidR="00CF6655">
        <w:t xml:space="preserve"> </w:t>
      </w:r>
      <w:r w:rsidR="00CF6655">
        <w:rPr>
          <w:i/>
          <w:iCs/>
        </w:rPr>
        <w:t xml:space="preserve">Christliche Heilsbotschaft und weltliche Macht. Studien zum Verhältnis von Mission und Kolonialismus. </w:t>
      </w:r>
      <w:r w:rsidR="00CF6655">
        <w:t>Gesammelte Aufsätze. Mün</w:t>
      </w:r>
      <w:r w:rsidR="00CF6655">
        <w:t>s</w:t>
      </w:r>
      <w:r w:rsidR="00CF6655">
        <w:t>ter: Lit.</w:t>
      </w:r>
    </w:p>
    <w:p w:rsidR="00CF6655" w:rsidRDefault="00955583" w:rsidP="00CF6655">
      <w:pPr>
        <w:pStyle w:val="Literatur"/>
      </w:pPr>
      <w:r>
        <w:t>Guthke, Karl S. (2000),</w:t>
      </w:r>
      <w:r w:rsidR="00CF6655">
        <w:t xml:space="preserve"> </w:t>
      </w:r>
      <w:r w:rsidR="00CF6655">
        <w:rPr>
          <w:i/>
          <w:iCs/>
        </w:rPr>
        <w:t xml:space="preserve">Der Blick in die Fremde. Das Ich und das andere in der Literatur. </w:t>
      </w:r>
      <w:r w:rsidR="00CF6655">
        <w:t>Tübingen u.a.: Francke.</w:t>
      </w:r>
    </w:p>
    <w:p w:rsidR="00CF6655" w:rsidRDefault="00955583" w:rsidP="00CF6655">
      <w:pPr>
        <w:pStyle w:val="Literatur"/>
      </w:pPr>
      <w:r>
        <w:t>Hassert, Kurt (1899),</w:t>
      </w:r>
      <w:r w:rsidR="00CF6655">
        <w:t xml:space="preserve"> </w:t>
      </w:r>
      <w:r w:rsidR="00CF6655">
        <w:rPr>
          <w:i/>
          <w:iCs/>
        </w:rPr>
        <w:t xml:space="preserve">Deutschlands Kolonien. </w:t>
      </w:r>
      <w:r w:rsidR="00CF6655">
        <w:t>Leipzig: Dr. Seele &amp; Co.</w:t>
      </w:r>
    </w:p>
    <w:p w:rsidR="00CF6655" w:rsidRPr="00CF6655" w:rsidRDefault="00CF6655" w:rsidP="00CF6655">
      <w:pPr>
        <w:pStyle w:val="Literatur"/>
        <w:rPr>
          <w:lang w:val="en-US"/>
        </w:rPr>
      </w:pPr>
      <w:r>
        <w:lastRenderedPageBreak/>
        <w:t>Hemme, Tanja (2000)</w:t>
      </w:r>
      <w:r w:rsidR="00955583">
        <w:t>,</w:t>
      </w:r>
      <w:r>
        <w:t xml:space="preserve"> </w:t>
      </w:r>
      <w:r>
        <w:rPr>
          <w:i/>
          <w:iCs/>
        </w:rPr>
        <w:t>Streifzüge durch eine fremde Welt. Untersuchung ausg</w:t>
      </w:r>
      <w:r>
        <w:rPr>
          <w:i/>
          <w:iCs/>
        </w:rPr>
        <w:t>e</w:t>
      </w:r>
      <w:r>
        <w:rPr>
          <w:i/>
          <w:iCs/>
        </w:rPr>
        <w:t xml:space="preserve">wählter schriftlicher Zeugnisse deutscher Reisender im südlichen Afrika im 19. Jahrhundert unter besonderer Berücksichtigung der kulturellen Fremderfahrung. </w:t>
      </w:r>
      <w:r w:rsidRPr="005C3656">
        <w:rPr>
          <w:lang w:val="en-US"/>
        </w:rPr>
        <w:t xml:space="preserve">Stuttgart: Franz Steiner. </w:t>
      </w:r>
      <w:proofErr w:type="gramStart"/>
      <w:r w:rsidRPr="00CF6655">
        <w:rPr>
          <w:lang w:val="en-US"/>
        </w:rPr>
        <w:t>Zugl.:</w:t>
      </w:r>
      <w:proofErr w:type="gramEnd"/>
      <w:r w:rsidRPr="00CF6655">
        <w:rPr>
          <w:lang w:val="en-US"/>
        </w:rPr>
        <w:t xml:space="preserve"> Diss., Kapstadt, Univ.</w:t>
      </w:r>
      <w:r w:rsidR="00955583">
        <w:rPr>
          <w:lang w:val="en-US"/>
        </w:rPr>
        <w:t>,</w:t>
      </w:r>
      <w:r w:rsidRPr="00CF6655">
        <w:rPr>
          <w:lang w:val="en-US"/>
        </w:rPr>
        <w:t xml:space="preserve"> 1998.</w:t>
      </w:r>
    </w:p>
    <w:p w:rsidR="00CF6655" w:rsidRPr="00955583" w:rsidRDefault="00CF6655" w:rsidP="00CF6655">
      <w:pPr>
        <w:pStyle w:val="Literatur"/>
        <w:rPr>
          <w:lang w:val="en-US"/>
        </w:rPr>
      </w:pPr>
      <w:r w:rsidRPr="00CF6655">
        <w:rPr>
          <w:lang w:val="en-US"/>
        </w:rPr>
        <w:t>Huigen, Siegfried (2004)</w:t>
      </w:r>
      <w:r w:rsidR="00955583">
        <w:rPr>
          <w:lang w:val="en-US"/>
        </w:rPr>
        <w:t>,</w:t>
      </w:r>
      <w:r w:rsidRPr="00CF6655">
        <w:rPr>
          <w:lang w:val="en-US"/>
        </w:rPr>
        <w:t xml:space="preserve"> „‘Erroneous and Completely False Assertions on the Hottentots’: Peter Kolbe's Reassessment of the Early Modern Discourse on the ‘Hottentots’“. In: Siegfrie</w:t>
      </w:r>
      <w:r w:rsidR="00955583">
        <w:rPr>
          <w:lang w:val="en-US"/>
        </w:rPr>
        <w:t>d Huigen und Jean Kommers (Hg.),</w:t>
      </w:r>
      <w:r w:rsidRPr="00CF6655">
        <w:rPr>
          <w:lang w:val="en-US"/>
        </w:rPr>
        <w:t xml:space="preserve"> </w:t>
      </w:r>
      <w:r w:rsidRPr="00CF6655">
        <w:rPr>
          <w:i/>
          <w:iCs/>
          <w:lang w:val="en-US"/>
        </w:rPr>
        <w:t>Interpret</w:t>
      </w:r>
      <w:r w:rsidRPr="00CF6655">
        <w:rPr>
          <w:i/>
          <w:iCs/>
          <w:lang w:val="en-US"/>
        </w:rPr>
        <w:t>a</w:t>
      </w:r>
      <w:r w:rsidRPr="00CF6655">
        <w:rPr>
          <w:i/>
          <w:iCs/>
          <w:lang w:val="en-US"/>
        </w:rPr>
        <w:t xml:space="preserve">tions of Colonial Representations. </w:t>
      </w:r>
      <w:proofErr w:type="gramStart"/>
      <w:r w:rsidRPr="00CF6655">
        <w:rPr>
          <w:i/>
          <w:iCs/>
          <w:lang w:val="en-US"/>
        </w:rPr>
        <w:t>Reflections on Alterity, Colonial History, and Intercultural Contact.</w:t>
      </w:r>
      <w:proofErr w:type="gramEnd"/>
      <w:r w:rsidRPr="00CF6655">
        <w:rPr>
          <w:i/>
          <w:iCs/>
          <w:lang w:val="en-US"/>
        </w:rPr>
        <w:t xml:space="preserve"> </w:t>
      </w:r>
      <w:r w:rsidRPr="00955583">
        <w:rPr>
          <w:lang w:val="en-US"/>
        </w:rPr>
        <w:t xml:space="preserve">Saarbrücken: Verlag für Entwicklungspolitik. </w:t>
      </w:r>
      <w:proofErr w:type="gramStart"/>
      <w:r w:rsidRPr="00955583">
        <w:rPr>
          <w:lang w:val="en-US"/>
        </w:rPr>
        <w:t>7-33.</w:t>
      </w:r>
      <w:proofErr w:type="gramEnd"/>
    </w:p>
    <w:p w:rsidR="00CF6655" w:rsidRPr="00955583" w:rsidRDefault="00955583" w:rsidP="00CF6655">
      <w:pPr>
        <w:pStyle w:val="Literatur"/>
        <w:rPr>
          <w:lang w:val="en-US"/>
        </w:rPr>
      </w:pPr>
      <w:r>
        <w:rPr>
          <w:lang w:val="en-US"/>
        </w:rPr>
        <w:t>Islam, Syed M. (1996),</w:t>
      </w:r>
      <w:r w:rsidR="00CF6655" w:rsidRPr="00737F2B">
        <w:rPr>
          <w:lang w:val="en-US"/>
        </w:rPr>
        <w:t xml:space="preserve"> </w:t>
      </w:r>
      <w:proofErr w:type="gramStart"/>
      <w:r w:rsidR="00CF6655" w:rsidRPr="00737F2B">
        <w:rPr>
          <w:i/>
          <w:iCs/>
          <w:lang w:val="en-US"/>
        </w:rPr>
        <w:t>The</w:t>
      </w:r>
      <w:proofErr w:type="gramEnd"/>
      <w:r>
        <w:rPr>
          <w:i/>
          <w:iCs/>
          <w:lang w:val="en-US"/>
        </w:rPr>
        <w:t xml:space="preserve"> Ethics of Travel:</w:t>
      </w:r>
      <w:r w:rsidR="00CF6655" w:rsidRPr="00737F2B">
        <w:rPr>
          <w:i/>
          <w:iCs/>
          <w:lang w:val="en-US"/>
        </w:rPr>
        <w:t xml:space="preserve"> </w:t>
      </w:r>
      <w:r w:rsidR="00CF6655" w:rsidRPr="00CF6655">
        <w:rPr>
          <w:i/>
          <w:iCs/>
          <w:lang w:val="en-US"/>
        </w:rPr>
        <w:t xml:space="preserve">From Marco Polo to Kafka. </w:t>
      </w:r>
      <w:r w:rsidR="00CF6655" w:rsidRPr="00955583">
        <w:rPr>
          <w:lang w:val="en-US"/>
        </w:rPr>
        <w:t>Ma</w:t>
      </w:r>
      <w:r w:rsidR="00CF6655" w:rsidRPr="00955583">
        <w:rPr>
          <w:lang w:val="en-US"/>
        </w:rPr>
        <w:t>n</w:t>
      </w:r>
      <w:r w:rsidR="00CF6655" w:rsidRPr="00955583">
        <w:rPr>
          <w:lang w:val="en-US"/>
        </w:rPr>
        <w:t>chester u.a.: Manchester University Press.</w:t>
      </w:r>
    </w:p>
    <w:p w:rsidR="00CF6655" w:rsidRPr="009F79F0" w:rsidRDefault="00CF6655" w:rsidP="00CF6655">
      <w:pPr>
        <w:pStyle w:val="Literatur"/>
      </w:pPr>
      <w:r>
        <w:t>Jura, Guido (2002)</w:t>
      </w:r>
      <w:r w:rsidR="00955583">
        <w:t>,</w:t>
      </w:r>
      <w:r>
        <w:t xml:space="preserve"> </w:t>
      </w:r>
      <w:r>
        <w:rPr>
          <w:i/>
          <w:iCs/>
        </w:rPr>
        <w:t>Deutsche Spuren in der Kirchen- und Gesellschaftsgeschichte Namibias: eine Analyse unter besonderer Berücksichtigung des Emanzipation</w:t>
      </w:r>
      <w:r>
        <w:rPr>
          <w:i/>
          <w:iCs/>
        </w:rPr>
        <w:t>s</w:t>
      </w:r>
      <w:r>
        <w:rPr>
          <w:i/>
          <w:iCs/>
        </w:rPr>
        <w:t>prozesses einer ehemals kolonialen Missionskirche zu einer eigenständigen Par</w:t>
      </w:r>
      <w:r>
        <w:rPr>
          <w:i/>
          <w:iCs/>
        </w:rPr>
        <w:t>t</w:t>
      </w:r>
      <w:r>
        <w:rPr>
          <w:i/>
          <w:iCs/>
        </w:rPr>
        <w:t>nerkirche im heutigen Namibia sowie der Interessenwahrnehmung der deutsc</w:t>
      </w:r>
      <w:r>
        <w:rPr>
          <w:i/>
          <w:iCs/>
        </w:rPr>
        <w:t>h</w:t>
      </w:r>
      <w:r>
        <w:rPr>
          <w:i/>
          <w:iCs/>
        </w:rPr>
        <w:t>sprachigen Minderheit innerhalb einer eigenen lutherischen Kirchengemeinschaft.</w:t>
      </w:r>
      <w:r>
        <w:t xml:space="preserve"> </w:t>
      </w:r>
      <w:r w:rsidRPr="009F79F0">
        <w:t>Diss., Bochum, Ruhr-Universität.</w:t>
      </w:r>
      <w:r w:rsidR="009F79F0" w:rsidRPr="009F79F0">
        <w:t xml:space="preserve"> Online unter: </w:t>
      </w:r>
      <w:r w:rsidRPr="009F79F0">
        <w:t>http://hydra.ub.ruhr-uni-bochum</w:t>
      </w:r>
      <w:r w:rsidR="009F79F0" w:rsidRPr="009F79F0">
        <w:t>.de/netahtml/HSS/Diss/JuraGuido</w:t>
      </w:r>
      <w:r w:rsidR="009F79F0">
        <w:t>; Einsicht am 4.06.2012.</w:t>
      </w:r>
    </w:p>
    <w:p w:rsidR="00CF6655" w:rsidRPr="00CF6655" w:rsidRDefault="00707B94" w:rsidP="00CF6655">
      <w:pPr>
        <w:pStyle w:val="Literatur"/>
        <w:rPr>
          <w:lang w:val="en-US"/>
        </w:rPr>
      </w:pPr>
      <w:r>
        <w:t>Kaiser, Jochen-Christoph (1995),</w:t>
      </w:r>
      <w:r w:rsidR="00CF6655">
        <w:t xml:space="preserve"> „Friedrich Albert Spiecker (1854</w:t>
      </w:r>
      <w:r w:rsidR="00081453">
        <w:t xml:space="preserve"> – </w:t>
      </w:r>
      <w:r w:rsidR="00CF6655">
        <w:t>1936) – E</w:t>
      </w:r>
      <w:r w:rsidR="00CF6655">
        <w:t>i</w:t>
      </w:r>
      <w:r w:rsidR="00CF6655">
        <w:t>ne Karriere zwischen Großindustrie und freiem Protestantismus“. In: The</w:t>
      </w:r>
      <w:r w:rsidR="00CF6655">
        <w:t>o</w:t>
      </w:r>
      <w:r w:rsidR="00CF6655">
        <w:t xml:space="preserve">dor Strohm und Jörg Thierfelder (Hg.), </w:t>
      </w:r>
      <w:r w:rsidR="00CF6655">
        <w:rPr>
          <w:i/>
          <w:iCs/>
        </w:rPr>
        <w:t>Diakonie im Deutschen Kaiserreich (1871</w:t>
      </w:r>
      <w:r w:rsidR="00081453">
        <w:rPr>
          <w:i/>
          <w:iCs/>
        </w:rPr>
        <w:t xml:space="preserve"> – </w:t>
      </w:r>
      <w:r w:rsidR="00CF6655">
        <w:rPr>
          <w:i/>
          <w:iCs/>
        </w:rPr>
        <w:t xml:space="preserve">1918). Neuere Beiträge aus der diakoniegeschichtlichen Forschung </w:t>
      </w:r>
      <w:r w:rsidR="00CF6655">
        <w:t>(Ver</w:t>
      </w:r>
      <w:r w:rsidR="00BB59DF">
        <w:softHyphen/>
      </w:r>
      <w:r w:rsidR="00CF6655">
        <w:t>öffent</w:t>
      </w:r>
      <w:r w:rsidR="00BB59DF">
        <w:softHyphen/>
      </w:r>
      <w:r w:rsidR="00CF6655">
        <w:t>lichungen des Diakoniewissenschaftlichen Instituts an der Unive</w:t>
      </w:r>
      <w:r w:rsidR="00CF6655">
        <w:t>r</w:t>
      </w:r>
      <w:r w:rsidR="00CF6655">
        <w:t xml:space="preserve">sität Heidelberg, 7). </w:t>
      </w:r>
      <w:r w:rsidR="00CF6655" w:rsidRPr="00CF6655">
        <w:rPr>
          <w:lang w:val="en-US"/>
        </w:rPr>
        <w:t xml:space="preserve">Heidelberg: Heidelberger Verlags-Anstalt. </w:t>
      </w:r>
      <w:proofErr w:type="gramStart"/>
      <w:r w:rsidR="00CF6655" w:rsidRPr="00CF6655">
        <w:rPr>
          <w:lang w:val="en-US"/>
        </w:rPr>
        <w:t>105-144.</w:t>
      </w:r>
      <w:proofErr w:type="gramEnd"/>
    </w:p>
    <w:p w:rsidR="00CF6655" w:rsidRDefault="00707B94" w:rsidP="00CF6655">
      <w:pPr>
        <w:pStyle w:val="Literatur"/>
      </w:pPr>
      <w:r>
        <w:rPr>
          <w:lang w:val="en-US"/>
        </w:rPr>
        <w:t>Kerridge, Richard (1999),</w:t>
      </w:r>
      <w:r w:rsidR="00CF6655" w:rsidRPr="00CF6655">
        <w:rPr>
          <w:lang w:val="en-US"/>
        </w:rPr>
        <w:t xml:space="preserve"> „Ecologies of Desire: Travel Writing and Nature Wri</w:t>
      </w:r>
      <w:r w:rsidR="00CF6655" w:rsidRPr="00CF6655">
        <w:rPr>
          <w:lang w:val="en-US"/>
        </w:rPr>
        <w:t>t</w:t>
      </w:r>
      <w:r w:rsidR="00CF6655" w:rsidRPr="00CF6655">
        <w:rPr>
          <w:lang w:val="en-US"/>
        </w:rPr>
        <w:t xml:space="preserve">ing as Travelogue“. </w:t>
      </w:r>
      <w:r w:rsidR="00CF6655">
        <w:t>In: Clark 1999</w:t>
      </w:r>
      <w:r w:rsidR="00D179F9">
        <w:t>:</w:t>
      </w:r>
      <w:r w:rsidR="00CF6655">
        <w:t xml:space="preserve"> 164-182.</w:t>
      </w:r>
    </w:p>
    <w:p w:rsidR="00CF6655" w:rsidRDefault="00707B94" w:rsidP="00CF6655">
      <w:pPr>
        <w:pStyle w:val="Literatur"/>
      </w:pPr>
      <w:r>
        <w:t>Korte, Barbara (1996),</w:t>
      </w:r>
      <w:r w:rsidR="00CF6655">
        <w:t xml:space="preserve"> </w:t>
      </w:r>
      <w:r w:rsidR="00CF6655">
        <w:rPr>
          <w:i/>
          <w:iCs/>
        </w:rPr>
        <w:t xml:space="preserve">Der englische Reisebericht. Von der Pilgerfahrt bis zur Postmoderne. </w:t>
      </w:r>
      <w:r w:rsidR="00CF6655">
        <w:t>Darmstadt: Wissenschaftliche Buchgesellschaft.</w:t>
      </w:r>
    </w:p>
    <w:p w:rsidR="00CF6655" w:rsidRDefault="00CF6655" w:rsidP="00CF6655">
      <w:pPr>
        <w:pStyle w:val="Literatur"/>
      </w:pPr>
      <w:r w:rsidRPr="005C3656">
        <w:rPr>
          <w:lang w:val="en-US"/>
        </w:rPr>
        <w:t>Ling, Lily H. M. (2002)</w:t>
      </w:r>
      <w:r w:rsidR="00707B94" w:rsidRPr="005C3656">
        <w:rPr>
          <w:lang w:val="en-US"/>
        </w:rPr>
        <w:t>,</w:t>
      </w:r>
      <w:r w:rsidRPr="005C3656">
        <w:rPr>
          <w:lang w:val="en-US"/>
        </w:rPr>
        <w:t xml:space="preserve"> </w:t>
      </w:r>
      <w:r w:rsidRPr="005C3656">
        <w:rPr>
          <w:i/>
          <w:iCs/>
          <w:lang w:val="en-US"/>
        </w:rPr>
        <w:t xml:space="preserve">Postcolonial International Relations. </w:t>
      </w:r>
      <w:proofErr w:type="gramStart"/>
      <w:r w:rsidRPr="00CF6655">
        <w:rPr>
          <w:i/>
          <w:iCs/>
          <w:lang w:val="en-US"/>
        </w:rPr>
        <w:t>Conquest and D</w:t>
      </w:r>
      <w:r w:rsidRPr="00CF6655">
        <w:rPr>
          <w:i/>
          <w:iCs/>
          <w:lang w:val="en-US"/>
        </w:rPr>
        <w:t>e</w:t>
      </w:r>
      <w:r w:rsidRPr="00CF6655">
        <w:rPr>
          <w:i/>
          <w:iCs/>
          <w:lang w:val="en-US"/>
        </w:rPr>
        <w:t>sire between Asia and the West.</w:t>
      </w:r>
      <w:proofErr w:type="gramEnd"/>
      <w:r w:rsidRPr="00CF6655">
        <w:rPr>
          <w:i/>
          <w:iCs/>
          <w:lang w:val="en-US"/>
        </w:rPr>
        <w:t xml:space="preserve"> </w:t>
      </w:r>
      <w:r>
        <w:t>London: Palgrave.</w:t>
      </w:r>
    </w:p>
    <w:p w:rsidR="00CF6655" w:rsidRDefault="00CF6655" w:rsidP="00CF6655">
      <w:pPr>
        <w:pStyle w:val="Literatur"/>
      </w:pPr>
      <w:r>
        <w:t>Loth, Heinrich (1988)</w:t>
      </w:r>
      <w:r w:rsidR="00707B94">
        <w:t>,</w:t>
      </w:r>
      <w:r>
        <w:t xml:space="preserve"> </w:t>
      </w:r>
      <w:r>
        <w:rPr>
          <w:i/>
        </w:rPr>
        <w:t xml:space="preserve">Audienzen auf dem Schwarzen Kontinent. Afrika in der Reiseliteratur des 18. und 19. Jahrhunderts. </w:t>
      </w:r>
      <w:r>
        <w:t>Berlin: Union Verlag.</w:t>
      </w:r>
    </w:p>
    <w:p w:rsidR="00CA300E" w:rsidRDefault="00CA300E" w:rsidP="00CF6655">
      <w:pPr>
        <w:pStyle w:val="Literatur"/>
      </w:pPr>
      <w:r>
        <w:t xml:space="preserve">Luther, Martin (1523), </w:t>
      </w:r>
      <w:r w:rsidRPr="00164C40">
        <w:rPr>
          <w:i/>
        </w:rPr>
        <w:t>Dr. Martin Luthers sämtliche Werke</w:t>
      </w:r>
      <w:r>
        <w:t xml:space="preserve">. </w:t>
      </w:r>
      <w:r w:rsidR="00F63282">
        <w:t xml:space="preserve">67 Bde. </w:t>
      </w:r>
      <w:r>
        <w:t>Hg. v. Ernst Ludwig Enders und Karl Irmscher</w:t>
      </w:r>
      <w:r w:rsidR="00F63282">
        <w:t xml:space="preserve">. Bd. 11: </w:t>
      </w:r>
      <w:r w:rsidR="00F63282" w:rsidRPr="00F63282">
        <w:rPr>
          <w:i/>
        </w:rPr>
        <w:t>Von weltlicher Obrigkeit</w:t>
      </w:r>
      <w:r w:rsidR="00F63282">
        <w:t>.</w:t>
      </w:r>
      <w:r w:rsidR="00F63282" w:rsidRPr="00F63282">
        <w:t xml:space="preserve"> </w:t>
      </w:r>
      <w:r w:rsidR="00F63282">
        <w:t>Fran</w:t>
      </w:r>
      <w:r w:rsidR="00F63282">
        <w:t>k</w:t>
      </w:r>
      <w:r w:rsidR="00F63282">
        <w:t>furt a.M.: Heyder und Zimmer.</w:t>
      </w:r>
    </w:p>
    <w:p w:rsidR="00CF6655" w:rsidRDefault="00707B94" w:rsidP="00CF6655">
      <w:pPr>
        <w:pStyle w:val="Literatur"/>
      </w:pPr>
      <w:r>
        <w:t>Memmi, Albert (1994),</w:t>
      </w:r>
      <w:r w:rsidR="00CF6655">
        <w:t xml:space="preserve"> </w:t>
      </w:r>
      <w:r w:rsidR="00CF6655">
        <w:rPr>
          <w:i/>
          <w:iCs/>
        </w:rPr>
        <w:t xml:space="preserve">Der Kolonisator und der Kolonisierte. Zwei Porträts. </w:t>
      </w:r>
      <w:r w:rsidR="00CF6655">
        <w:t>Hamburg: Europäische Verlagsanstalt.</w:t>
      </w:r>
    </w:p>
    <w:p w:rsidR="00F03A60" w:rsidRPr="00F03A60" w:rsidRDefault="00F03A60" w:rsidP="00CF6655">
      <w:pPr>
        <w:pStyle w:val="Literatur"/>
      </w:pPr>
      <w:r>
        <w:t xml:space="preserve">Meyer, Hans (1909–1910), </w:t>
      </w:r>
      <w:r w:rsidRPr="00F03A60">
        <w:rPr>
          <w:i/>
        </w:rPr>
        <w:t>Das deutsche Kolonialreich. Eine Länderkunde der deutschen Schutzgebiete.</w:t>
      </w:r>
      <w:r>
        <w:t xml:space="preserve"> </w:t>
      </w:r>
      <w:r w:rsidRPr="00F03A60">
        <w:t xml:space="preserve">Bd. 1: </w:t>
      </w:r>
      <w:r w:rsidRPr="00F03A60">
        <w:rPr>
          <w:i/>
        </w:rPr>
        <w:t>Ostafrika und Kamerun</w:t>
      </w:r>
      <w:r>
        <w:t>,</w:t>
      </w:r>
      <w:r w:rsidRPr="00F03A60">
        <w:t xml:space="preserve"> </w:t>
      </w:r>
      <w:r>
        <w:t xml:space="preserve">1909. </w:t>
      </w:r>
      <w:r w:rsidRPr="00F03A60">
        <w:t xml:space="preserve">Bd. </w:t>
      </w:r>
      <w:r>
        <w:t xml:space="preserve">2: </w:t>
      </w:r>
      <w:r w:rsidRPr="00F03A60">
        <w:rPr>
          <w:i/>
        </w:rPr>
        <w:t>Togo, Südwestafrika, Schutzgebiete in der Südsee und Kiautschougebiet</w:t>
      </w:r>
      <w:r>
        <w:t xml:space="preserve">, 1910. </w:t>
      </w:r>
      <w:r w:rsidRPr="00F03A60">
        <w:t>Leipzig: Bibliographisches Institut.</w:t>
      </w:r>
    </w:p>
    <w:p w:rsidR="00CF6655" w:rsidRDefault="00707B94" w:rsidP="00CF6655">
      <w:pPr>
        <w:pStyle w:val="Literatur"/>
      </w:pPr>
      <w:r>
        <w:lastRenderedPageBreak/>
        <w:t>Oermann, Nils Ole (1999),</w:t>
      </w:r>
      <w:r w:rsidR="00CF6655" w:rsidRPr="00F03A60">
        <w:t xml:space="preserve"> </w:t>
      </w:r>
      <w:r w:rsidR="00CF6655" w:rsidRPr="00F03A60">
        <w:rPr>
          <w:i/>
          <w:iCs/>
        </w:rPr>
        <w:t xml:space="preserve">Mission, Church and State Relations in South West Africa under German Rule (1884–1915) </w:t>
      </w:r>
      <w:r w:rsidR="00CF6655" w:rsidRPr="00F03A60">
        <w:rPr>
          <w:rStyle w:val="Fett"/>
          <w:b w:val="0"/>
          <w:bCs w:val="0"/>
        </w:rPr>
        <w:t>(Studien de</w:t>
      </w:r>
      <w:r w:rsidR="00CF6655">
        <w:rPr>
          <w:rStyle w:val="Fett"/>
          <w:b w:val="0"/>
          <w:bCs w:val="0"/>
        </w:rPr>
        <w:t xml:space="preserve">r Berliner Gesellschaft für Missionsgeschichte, 5). </w:t>
      </w:r>
      <w:r w:rsidR="00CF6655">
        <w:t>Stuttgart: Franz Steiner.</w:t>
      </w:r>
    </w:p>
    <w:p w:rsidR="00CF6655" w:rsidRDefault="00707B94" w:rsidP="00CF6655">
      <w:pPr>
        <w:pStyle w:val="Literatur"/>
      </w:pPr>
      <w:r>
        <w:t>Panzergrau, Kurt (1998),</w:t>
      </w:r>
      <w:r w:rsidR="00CF6655">
        <w:t xml:space="preserve"> </w:t>
      </w:r>
      <w:r w:rsidR="00CF6655">
        <w:rPr>
          <w:i/>
          <w:iCs/>
        </w:rPr>
        <w:t>Die Bildung und Erziehung der Eingeborenen Südwes</w:t>
      </w:r>
      <w:r w:rsidR="00CF6655">
        <w:rPr>
          <w:i/>
          <w:iCs/>
        </w:rPr>
        <w:t>t</w:t>
      </w:r>
      <w:r w:rsidR="00CF6655">
        <w:rPr>
          <w:i/>
          <w:iCs/>
        </w:rPr>
        <w:t>afrikas (Hereroland und Gross-Namaqualand) durch die Rheinische Mission</w:t>
      </w:r>
      <w:r w:rsidR="00CF6655">
        <w:rPr>
          <w:i/>
          <w:iCs/>
        </w:rPr>
        <w:t>s</w:t>
      </w:r>
      <w:r w:rsidR="00CF6655">
        <w:rPr>
          <w:i/>
          <w:iCs/>
        </w:rPr>
        <w:t>gesellschaft von 1842–1914. Ein Beitrag zur Beziehung von Pädagogik und K</w:t>
      </w:r>
      <w:r w:rsidR="00CF6655">
        <w:rPr>
          <w:i/>
          <w:iCs/>
        </w:rPr>
        <w:t>o</w:t>
      </w:r>
      <w:r w:rsidR="00CF6655">
        <w:rPr>
          <w:i/>
          <w:iCs/>
        </w:rPr>
        <w:t xml:space="preserve">lonialismus. </w:t>
      </w:r>
      <w:r w:rsidR="00CF6655">
        <w:t>München: Akademischer Verl.</w:t>
      </w:r>
    </w:p>
    <w:p w:rsidR="00CF6655" w:rsidRPr="00CF6655" w:rsidRDefault="00CF6655" w:rsidP="00CF6655">
      <w:pPr>
        <w:pStyle w:val="Literatur"/>
        <w:rPr>
          <w:lang w:val="en-US"/>
        </w:rPr>
      </w:pPr>
      <w:r w:rsidRPr="00CF6655">
        <w:rPr>
          <w:lang w:val="en-US"/>
        </w:rPr>
        <w:t>Pordzik, Ralph (200</w:t>
      </w:r>
      <w:r w:rsidR="00707B94">
        <w:rPr>
          <w:lang w:val="en-US"/>
        </w:rPr>
        <w:t>5),</w:t>
      </w:r>
      <w:r w:rsidRPr="00CF6655">
        <w:rPr>
          <w:lang w:val="en-US"/>
        </w:rPr>
        <w:t xml:space="preserve"> </w:t>
      </w:r>
      <w:proofErr w:type="gramStart"/>
      <w:r w:rsidRPr="00CF6655">
        <w:rPr>
          <w:i/>
          <w:iCs/>
          <w:lang w:val="en-US"/>
        </w:rPr>
        <w:t>The</w:t>
      </w:r>
      <w:proofErr w:type="gramEnd"/>
      <w:r w:rsidRPr="00CF6655">
        <w:rPr>
          <w:i/>
          <w:iCs/>
          <w:lang w:val="en-US"/>
        </w:rPr>
        <w:t xml:space="preserve"> Wonder of Travel. </w:t>
      </w:r>
      <w:proofErr w:type="gramStart"/>
      <w:r w:rsidRPr="00CF6655">
        <w:rPr>
          <w:i/>
          <w:iCs/>
          <w:lang w:val="en-US"/>
        </w:rPr>
        <w:t>Fiction, Tourism and the Social Construction of the Nostalgic.</w:t>
      </w:r>
      <w:proofErr w:type="gramEnd"/>
      <w:r w:rsidRPr="00CF6655">
        <w:rPr>
          <w:i/>
          <w:iCs/>
          <w:lang w:val="en-US"/>
        </w:rPr>
        <w:t xml:space="preserve"> </w:t>
      </w:r>
      <w:r w:rsidRPr="00CF6655">
        <w:rPr>
          <w:lang w:val="en-US"/>
        </w:rPr>
        <w:t>Heidelberg: Winter.</w:t>
      </w:r>
    </w:p>
    <w:p w:rsidR="00CF6655" w:rsidRPr="00CF6655" w:rsidRDefault="00802E6C" w:rsidP="00CF6655">
      <w:pPr>
        <w:pStyle w:val="Literatur"/>
        <w:rPr>
          <w:lang w:val="en-US"/>
        </w:rPr>
      </w:pPr>
      <w:r>
        <w:rPr>
          <w:lang w:val="en-US"/>
        </w:rPr>
        <w:t>Porter, Dennis (1991),</w:t>
      </w:r>
      <w:r w:rsidR="00CF6655" w:rsidRPr="00CF6655">
        <w:rPr>
          <w:lang w:val="en-US"/>
        </w:rPr>
        <w:t xml:space="preserve"> </w:t>
      </w:r>
      <w:r w:rsidR="00CF6655" w:rsidRPr="00CF6655">
        <w:rPr>
          <w:i/>
          <w:iCs/>
          <w:lang w:val="en-US"/>
        </w:rPr>
        <w:t xml:space="preserve">Haunted Journeys. </w:t>
      </w:r>
      <w:proofErr w:type="gramStart"/>
      <w:r w:rsidR="00CF6655" w:rsidRPr="00CF6655">
        <w:rPr>
          <w:i/>
          <w:iCs/>
          <w:lang w:val="en-US"/>
        </w:rPr>
        <w:t>Desire and Transgression in European Travel Writing.</w:t>
      </w:r>
      <w:proofErr w:type="gramEnd"/>
      <w:r w:rsidR="00CF6655" w:rsidRPr="00CF6655">
        <w:rPr>
          <w:i/>
          <w:iCs/>
          <w:lang w:val="en-US"/>
        </w:rPr>
        <w:t xml:space="preserve"> </w:t>
      </w:r>
      <w:r w:rsidR="00CF6655" w:rsidRPr="00CF6655">
        <w:rPr>
          <w:lang w:val="en-US"/>
        </w:rPr>
        <w:t>Princeton NJ: Princeton University Press.</w:t>
      </w:r>
    </w:p>
    <w:p w:rsidR="00CF6655" w:rsidRDefault="00CF6655" w:rsidP="00CF6655">
      <w:pPr>
        <w:pStyle w:val="Literatur"/>
      </w:pPr>
      <w:r w:rsidRPr="00CF6655">
        <w:rPr>
          <w:lang w:val="en-US"/>
        </w:rPr>
        <w:t>Pratt, Mary Louise (1992)</w:t>
      </w:r>
      <w:r w:rsidR="00802E6C">
        <w:rPr>
          <w:lang w:val="en-US"/>
        </w:rPr>
        <w:t>,</w:t>
      </w:r>
      <w:r w:rsidRPr="00CF6655">
        <w:rPr>
          <w:lang w:val="en-US"/>
        </w:rPr>
        <w:t xml:space="preserve"> </w:t>
      </w:r>
      <w:r w:rsidRPr="00CF6655">
        <w:rPr>
          <w:i/>
          <w:iCs/>
          <w:lang w:val="en-US"/>
        </w:rPr>
        <w:t xml:space="preserve">Imperial Eyes: Travel Writing and Transculturation. </w:t>
      </w:r>
      <w:r>
        <w:t>London u.a.: Routledge.</w:t>
      </w:r>
    </w:p>
    <w:p w:rsidR="00CF6655" w:rsidRPr="00CF6655" w:rsidRDefault="00802E6C" w:rsidP="00CF6655">
      <w:pPr>
        <w:pStyle w:val="Literatur"/>
        <w:rPr>
          <w:lang w:val="en-US"/>
        </w:rPr>
      </w:pPr>
      <w:r>
        <w:t>Rüdiger, Klaus H. (1993),</w:t>
      </w:r>
      <w:r w:rsidR="00CF6655">
        <w:t xml:space="preserve"> </w:t>
      </w:r>
      <w:r w:rsidR="00CF6655">
        <w:rPr>
          <w:i/>
          <w:iCs/>
        </w:rPr>
        <w:t xml:space="preserve">Die Namibia-Deutschen. Geschichte einer Nationalität im Werden. </w:t>
      </w:r>
      <w:r w:rsidR="00CF6655" w:rsidRPr="00CF6655">
        <w:rPr>
          <w:lang w:val="en-US"/>
        </w:rPr>
        <w:t>Stuttgart: Franz Steiner.</w:t>
      </w:r>
    </w:p>
    <w:p w:rsidR="00CF6655" w:rsidRPr="005C3656" w:rsidRDefault="00802E6C" w:rsidP="00CF6655">
      <w:pPr>
        <w:pStyle w:val="Literatur"/>
      </w:pPr>
      <w:proofErr w:type="gramStart"/>
      <w:r>
        <w:rPr>
          <w:lang w:val="en-US"/>
        </w:rPr>
        <w:t>Said, Edward W. (1978),</w:t>
      </w:r>
      <w:r w:rsidR="00CF6655" w:rsidRPr="00CF6655">
        <w:rPr>
          <w:lang w:val="en-US"/>
        </w:rPr>
        <w:t xml:space="preserve"> </w:t>
      </w:r>
      <w:r w:rsidR="00CF6655" w:rsidRPr="00CF6655">
        <w:rPr>
          <w:i/>
          <w:iCs/>
          <w:lang w:val="en-US"/>
        </w:rPr>
        <w:t>Orientalism: Western Representations of the Orient.</w:t>
      </w:r>
      <w:proofErr w:type="gramEnd"/>
      <w:r w:rsidR="00CF6655" w:rsidRPr="00CF6655">
        <w:rPr>
          <w:i/>
          <w:iCs/>
          <w:lang w:val="en-US"/>
        </w:rPr>
        <w:t xml:space="preserve"> </w:t>
      </w:r>
      <w:r w:rsidR="00CF6655" w:rsidRPr="005C3656">
        <w:t>London: Routledge &amp; Kegan Paul.</w:t>
      </w:r>
    </w:p>
    <w:p w:rsidR="00C237FD" w:rsidRPr="008A221F" w:rsidRDefault="00C237FD" w:rsidP="00CF6655">
      <w:pPr>
        <w:pStyle w:val="Literatur"/>
      </w:pPr>
      <w:r>
        <w:rPr>
          <w:rStyle w:val="st"/>
        </w:rPr>
        <w:t xml:space="preserve">Samassa, Paul (1905), </w:t>
      </w:r>
      <w:r w:rsidRPr="00C237FD">
        <w:rPr>
          <w:rStyle w:val="st"/>
          <w:i/>
        </w:rPr>
        <w:t>Das neue Südafrika</w:t>
      </w:r>
      <w:r>
        <w:rPr>
          <w:rStyle w:val="st"/>
        </w:rPr>
        <w:t>. Berlin: Schwetschke.</w:t>
      </w:r>
    </w:p>
    <w:p w:rsidR="00273185" w:rsidRPr="004229CF" w:rsidRDefault="00273185" w:rsidP="00CF6655">
      <w:pPr>
        <w:pStyle w:val="Literatur"/>
        <w:rPr>
          <w:lang w:val="en-US"/>
        </w:rPr>
      </w:pPr>
      <w:r>
        <w:t xml:space="preserve">Schouten, Wouter (1676), </w:t>
      </w:r>
      <w:r w:rsidRPr="00273185">
        <w:rPr>
          <w:i/>
        </w:rPr>
        <w:t>Oost-Indische voyagie</w:t>
      </w:r>
      <w:r>
        <w:t>.</w:t>
      </w:r>
      <w:r w:rsidRPr="00273185">
        <w:rPr>
          <w:rStyle w:val="Funotenzeichen"/>
        </w:rPr>
        <w:t xml:space="preserve"> </w:t>
      </w:r>
      <w:r w:rsidRPr="00273185">
        <w:rPr>
          <w:rStyle w:val="reference-text"/>
          <w:i/>
        </w:rPr>
        <w:t>Vervattende veel voorname voorvallen en ongemeene oreemde geschiedenissen, bloedige zee- en landtgevechten tegen de Portugeesen en Makassaren.</w:t>
      </w:r>
      <w:r w:rsidRPr="00273185">
        <w:rPr>
          <w:i/>
        </w:rPr>
        <w:t xml:space="preserve"> </w:t>
      </w:r>
      <w:proofErr w:type="gramStart"/>
      <w:r w:rsidRPr="004229CF">
        <w:rPr>
          <w:lang w:val="en-US"/>
        </w:rPr>
        <w:t>Teil 2.</w:t>
      </w:r>
      <w:proofErr w:type="gramEnd"/>
      <w:r w:rsidRPr="004229CF">
        <w:rPr>
          <w:lang w:val="en-US"/>
        </w:rPr>
        <w:t xml:space="preserve"> Amsterdam: Jacob Meurs &amp; Johannes van Someren.</w:t>
      </w:r>
    </w:p>
    <w:p w:rsidR="00CF6655" w:rsidRDefault="00802E6C" w:rsidP="00CF6655">
      <w:pPr>
        <w:pStyle w:val="Literatur"/>
        <w:rPr>
          <w:lang w:val="en-US"/>
        </w:rPr>
      </w:pPr>
      <w:r>
        <w:rPr>
          <w:lang w:val="en-US"/>
        </w:rPr>
        <w:t>Scott, David (2004),</w:t>
      </w:r>
      <w:r w:rsidR="00CF6655" w:rsidRPr="00CF6655">
        <w:rPr>
          <w:lang w:val="en-US"/>
        </w:rPr>
        <w:t xml:space="preserve"> </w:t>
      </w:r>
      <w:r w:rsidR="00CF6655" w:rsidRPr="00CF6655">
        <w:rPr>
          <w:i/>
          <w:iCs/>
          <w:lang w:val="en-US"/>
        </w:rPr>
        <w:t xml:space="preserve">Semiologies of Travel. </w:t>
      </w:r>
      <w:proofErr w:type="gramStart"/>
      <w:r w:rsidR="00CF6655" w:rsidRPr="00CF6655">
        <w:rPr>
          <w:i/>
          <w:iCs/>
          <w:lang w:val="en-US"/>
        </w:rPr>
        <w:t>From Gautier to Baudrillard.</w:t>
      </w:r>
      <w:proofErr w:type="gramEnd"/>
      <w:r w:rsidR="00CF6655" w:rsidRPr="00CF6655">
        <w:rPr>
          <w:i/>
          <w:iCs/>
          <w:lang w:val="en-US"/>
        </w:rPr>
        <w:t xml:space="preserve"> </w:t>
      </w:r>
      <w:r w:rsidR="00CF6655" w:rsidRPr="00AE4CA5">
        <w:rPr>
          <w:lang w:val="en-US"/>
        </w:rPr>
        <w:t>Ca</w:t>
      </w:r>
      <w:r w:rsidR="00CF6655" w:rsidRPr="00AE4CA5">
        <w:rPr>
          <w:lang w:val="en-US"/>
        </w:rPr>
        <w:t>m</w:t>
      </w:r>
      <w:r w:rsidR="00CF6655" w:rsidRPr="00AE4CA5">
        <w:rPr>
          <w:lang w:val="en-US"/>
        </w:rPr>
        <w:t>bridge GB: Cambridge University Press.</w:t>
      </w:r>
    </w:p>
    <w:p w:rsidR="00442C6A" w:rsidRPr="00442C6A" w:rsidRDefault="00442C6A" w:rsidP="00CF6655">
      <w:pPr>
        <w:pStyle w:val="Literatur"/>
      </w:pPr>
      <w:r>
        <w:t xml:space="preserve">Seeberg, Reinhold (1902), </w:t>
      </w:r>
      <w:r w:rsidRPr="00442C6A">
        <w:rPr>
          <w:i/>
        </w:rPr>
        <w:t>Die Grundwahrheiten der christlichen Religion</w:t>
      </w:r>
      <w:r>
        <w:t>. Lei</w:t>
      </w:r>
      <w:r>
        <w:t>p</w:t>
      </w:r>
      <w:r>
        <w:t>zig: Deichert.</w:t>
      </w:r>
    </w:p>
    <w:p w:rsidR="00CF6655" w:rsidRPr="004677B9" w:rsidRDefault="00CF6655" w:rsidP="00CF6655">
      <w:pPr>
        <w:pStyle w:val="Literatur"/>
      </w:pPr>
      <w:r w:rsidRPr="004677B9">
        <w:t>Siefkes, Elisabeth (1993)</w:t>
      </w:r>
      <w:r w:rsidR="00802E6C">
        <w:t>,</w:t>
      </w:r>
      <w:r w:rsidRPr="004677B9">
        <w:t xml:space="preserve"> </w:t>
      </w:r>
      <w:r w:rsidRPr="004677B9">
        <w:rPr>
          <w:i/>
        </w:rPr>
        <w:t>Erinnerungen an die Familie Spiecker.</w:t>
      </w:r>
      <w:r w:rsidRPr="004677B9">
        <w:t xml:space="preserve"> </w:t>
      </w:r>
      <w:r>
        <w:t>Unveröffen</w:t>
      </w:r>
      <w:r>
        <w:t>t</w:t>
      </w:r>
      <w:r>
        <w:t>licht, im Besitz der Familie Siefkes.</w:t>
      </w:r>
    </w:p>
    <w:p w:rsidR="00CF6655" w:rsidRDefault="00802E6C" w:rsidP="00CF6655">
      <w:pPr>
        <w:pStyle w:val="Literatur"/>
      </w:pPr>
      <w:r>
        <w:t>Siefkes, Martin (2002),</w:t>
      </w:r>
      <w:r w:rsidR="00CF6655">
        <w:t xml:space="preserve"> </w:t>
      </w:r>
      <w:r w:rsidR="00CF6655">
        <w:rPr>
          <w:i/>
          <w:iCs/>
        </w:rPr>
        <w:t xml:space="preserve">Zwei Seiten derselben Medaille? – Der Zusammenhang zwischen Rationalisierung und Arbeitslosigkeit. </w:t>
      </w:r>
      <w:r w:rsidR="00CF6655">
        <w:t>Hausarbeit, Freie Universität Berlin.</w:t>
      </w:r>
    </w:p>
    <w:p w:rsidR="00CF6655" w:rsidRDefault="00802E6C" w:rsidP="00CF6655">
      <w:pPr>
        <w:pStyle w:val="Literatur"/>
      </w:pPr>
      <w:r>
        <w:t>Sippel, Harald (2004),</w:t>
      </w:r>
      <w:r w:rsidR="00CF6655">
        <w:t xml:space="preserve"> „Rechtspolitische Ansätze zur Vermeidung einer Misc</w:t>
      </w:r>
      <w:r w:rsidR="00CF6655">
        <w:t>h</w:t>
      </w:r>
      <w:r w:rsidR="00CF6655">
        <w:t>lingsbevölkerung in Deutsch-Südwestafrika“. In: Becker 2004</w:t>
      </w:r>
      <w:r w:rsidR="00D179F9">
        <w:t>:</w:t>
      </w:r>
      <w:r w:rsidR="00CF6655">
        <w:t xml:space="preserve"> 138-164.</w:t>
      </w:r>
    </w:p>
    <w:p w:rsidR="00CF6655" w:rsidRDefault="007607F2" w:rsidP="00CF6655">
      <w:pPr>
        <w:pStyle w:val="Literatur"/>
      </w:pPr>
      <w:r>
        <w:t>Spiecker, Johannes (1905–1907),</w:t>
      </w:r>
      <w:r w:rsidR="00CF6655">
        <w:t xml:space="preserve"> </w:t>
      </w:r>
      <w:r w:rsidR="00CF6655">
        <w:rPr>
          <w:i/>
          <w:iCs/>
        </w:rPr>
        <w:t xml:space="preserve">Afrika-Tagebuch. </w:t>
      </w:r>
      <w:r w:rsidR="00CF6655">
        <w:t>Typoskript. 2 Bde.</w:t>
      </w:r>
    </w:p>
    <w:p w:rsidR="00CF6655" w:rsidRDefault="007607F2" w:rsidP="00CF6655">
      <w:pPr>
        <w:pStyle w:val="Literatur"/>
      </w:pPr>
      <w:r>
        <w:t>Spiecker, Johannes (1907),</w:t>
      </w:r>
      <w:r w:rsidR="00CF6655">
        <w:t xml:space="preserve"> </w:t>
      </w:r>
      <w:r w:rsidR="00CF6655">
        <w:rPr>
          <w:i/>
          <w:iCs/>
        </w:rPr>
        <w:t>Die Rheinische Mission im Hereroland. Zugleich Vis</w:t>
      </w:r>
      <w:r w:rsidR="00CF6655">
        <w:rPr>
          <w:i/>
          <w:iCs/>
        </w:rPr>
        <w:t>i</w:t>
      </w:r>
      <w:r w:rsidR="00CF6655">
        <w:rPr>
          <w:i/>
          <w:iCs/>
        </w:rPr>
        <w:t xml:space="preserve">tationsbericht des Missionsinspektors Pastor Spiecker. </w:t>
      </w:r>
      <w:r w:rsidR="00CF6655">
        <w:t>Rheinische Missions-Schriften, Nr. 130. Barmen: Verlag des Missionshauses.</w:t>
      </w:r>
    </w:p>
    <w:p w:rsidR="005C664A" w:rsidRDefault="005C664A" w:rsidP="00CF6655">
      <w:pPr>
        <w:pStyle w:val="Literatur"/>
      </w:pPr>
      <w:r>
        <w:t xml:space="preserve">Spiecker, Johannes (2012), </w:t>
      </w:r>
      <w:r>
        <w:rPr>
          <w:rStyle w:val="Hervorhebung"/>
        </w:rPr>
        <w:t>Johannes Spiecker – Mein Tagebuch: Erfahrungen eines deutschen Missionars in Südwestafrika 1905-1907</w:t>
      </w:r>
      <w:r>
        <w:t>.</w:t>
      </w:r>
      <w:r w:rsidRPr="005C664A">
        <w:t xml:space="preserve"> </w:t>
      </w:r>
      <w:r>
        <w:t xml:space="preserve">Hg. von </w:t>
      </w:r>
      <w:r w:rsidR="006D4790">
        <w:t xml:space="preserve">Lisa Kopelmann und </w:t>
      </w:r>
      <w:r w:rsidR="008E648D">
        <w:t>Martin Siefkes</w:t>
      </w:r>
      <w:r>
        <w:t>. Berlin: Simon Verlag für Bibliothekswissenschaften.</w:t>
      </w:r>
    </w:p>
    <w:p w:rsidR="00CF6655" w:rsidRDefault="00CF6655" w:rsidP="00CF6655">
      <w:pPr>
        <w:pStyle w:val="Literatur"/>
      </w:pPr>
      <w:r>
        <w:t>Spiecker-Salazar, Marlies (1994)</w:t>
      </w:r>
      <w:r w:rsidR="007607F2">
        <w:t>,</w:t>
      </w:r>
      <w:r>
        <w:t xml:space="preserve"> „Mission und Kolonialherrschaft aus der Sicht eines Missionsinspektors: Das Tagebuch der Afrikareise von Pfarrer Joha</w:t>
      </w:r>
      <w:r>
        <w:t>n</w:t>
      </w:r>
      <w:r>
        <w:lastRenderedPageBreak/>
        <w:t>nes Spiecker, 1905–1907“. In: Wilfried Wagner (Hg.)</w:t>
      </w:r>
      <w:r w:rsidR="007607F2">
        <w:t>,</w:t>
      </w:r>
      <w:r>
        <w:t xml:space="preserve"> </w:t>
      </w:r>
      <w:r>
        <w:rPr>
          <w:i/>
          <w:iCs/>
        </w:rPr>
        <w:t>Kolonien und Missi</w:t>
      </w:r>
      <w:r>
        <w:rPr>
          <w:i/>
          <w:iCs/>
        </w:rPr>
        <w:t>o</w:t>
      </w:r>
      <w:r>
        <w:rPr>
          <w:i/>
          <w:iCs/>
        </w:rPr>
        <w:t xml:space="preserve">nen. </w:t>
      </w:r>
      <w:r>
        <w:t xml:space="preserve">Münster: Lit. </w:t>
      </w:r>
      <w:r>
        <w:rPr>
          <w:szCs w:val="20"/>
        </w:rPr>
        <w:t>426-439.</w:t>
      </w:r>
    </w:p>
    <w:p w:rsidR="00CF6655" w:rsidRPr="00CF6655" w:rsidRDefault="007607F2" w:rsidP="00CF6655">
      <w:pPr>
        <w:pStyle w:val="Literatur"/>
        <w:rPr>
          <w:lang w:val="en-US"/>
        </w:rPr>
      </w:pPr>
      <w:r>
        <w:t>Stoecker, Helmuth (Hg.) (1991),</w:t>
      </w:r>
      <w:r w:rsidR="00CF6655">
        <w:t xml:space="preserve"> </w:t>
      </w:r>
      <w:r w:rsidR="00CF6655">
        <w:rPr>
          <w:i/>
          <w:iCs/>
        </w:rPr>
        <w:t>Drang nach Afrika. Die deutsche koloniale E</w:t>
      </w:r>
      <w:r w:rsidR="00CF6655">
        <w:rPr>
          <w:i/>
          <w:iCs/>
        </w:rPr>
        <w:t>x</w:t>
      </w:r>
      <w:r w:rsidR="00CF6655">
        <w:rPr>
          <w:i/>
          <w:iCs/>
        </w:rPr>
        <w:t xml:space="preserve">pansionspolitik und Herrschaft in Afrika von den Anfängen bis zum Verlust der Kolonien. </w:t>
      </w:r>
      <w:r w:rsidR="00CF6655" w:rsidRPr="00CF6655">
        <w:rPr>
          <w:lang w:val="en-US"/>
        </w:rPr>
        <w:t>2., überarbeitete Auflage. Berlin: Akademie.</w:t>
      </w:r>
    </w:p>
    <w:p w:rsidR="00CF6655" w:rsidRPr="00CF6655" w:rsidRDefault="007607F2" w:rsidP="00CF6655">
      <w:pPr>
        <w:pStyle w:val="Literatur"/>
        <w:rPr>
          <w:lang w:val="en-US"/>
        </w:rPr>
      </w:pPr>
      <w:proofErr w:type="gramStart"/>
      <w:r>
        <w:rPr>
          <w:lang w:val="en-US"/>
        </w:rPr>
        <w:t>Stoler, Laura (2002),</w:t>
      </w:r>
      <w:r w:rsidR="00CF6655" w:rsidRPr="00CF6655">
        <w:rPr>
          <w:lang w:val="en-US"/>
        </w:rPr>
        <w:t xml:space="preserve"> </w:t>
      </w:r>
      <w:r w:rsidR="00CF6655" w:rsidRPr="00CF6655">
        <w:rPr>
          <w:i/>
          <w:iCs/>
          <w:lang w:val="en-US"/>
        </w:rPr>
        <w:t>Carnal Knowledge and Imperial Power.</w:t>
      </w:r>
      <w:proofErr w:type="gramEnd"/>
      <w:r w:rsidR="00CF6655" w:rsidRPr="00CF6655">
        <w:rPr>
          <w:i/>
          <w:iCs/>
          <w:lang w:val="en-US"/>
        </w:rPr>
        <w:t xml:space="preserve"> </w:t>
      </w:r>
      <w:proofErr w:type="gramStart"/>
      <w:r w:rsidR="00CF6655" w:rsidRPr="00CF6655">
        <w:rPr>
          <w:i/>
          <w:iCs/>
          <w:lang w:val="en-US"/>
        </w:rPr>
        <w:t>Race and the Int</w:t>
      </w:r>
      <w:r w:rsidR="00CF6655" w:rsidRPr="00CF6655">
        <w:rPr>
          <w:i/>
          <w:iCs/>
          <w:lang w:val="en-US"/>
        </w:rPr>
        <w:t>i</w:t>
      </w:r>
      <w:r w:rsidR="00CF6655" w:rsidRPr="00CF6655">
        <w:rPr>
          <w:i/>
          <w:iCs/>
          <w:lang w:val="en-US"/>
        </w:rPr>
        <w:t>mate in Colonial Rule.</w:t>
      </w:r>
      <w:proofErr w:type="gramEnd"/>
      <w:r w:rsidR="00CF6655" w:rsidRPr="00CF6655">
        <w:rPr>
          <w:i/>
          <w:iCs/>
          <w:lang w:val="en-US"/>
        </w:rPr>
        <w:t xml:space="preserve"> </w:t>
      </w:r>
      <w:r w:rsidR="00CF6655" w:rsidRPr="00CF6655">
        <w:rPr>
          <w:lang w:val="en-US"/>
        </w:rPr>
        <w:t>Berkeley u.a.: University of California Press.</w:t>
      </w:r>
    </w:p>
    <w:p w:rsidR="00CF6655" w:rsidRDefault="00CF6655" w:rsidP="00CF6655">
      <w:pPr>
        <w:pStyle w:val="Literatur"/>
      </w:pPr>
      <w:r w:rsidRPr="00BC7D89">
        <w:rPr>
          <w:lang w:val="en-US"/>
        </w:rPr>
        <w:t>Timm, Uwe (19</w:t>
      </w:r>
      <w:r w:rsidR="007607F2" w:rsidRPr="00BC7D89">
        <w:rPr>
          <w:lang w:val="en-US"/>
        </w:rPr>
        <w:t>81),</w:t>
      </w:r>
      <w:r w:rsidRPr="00BC7D89">
        <w:rPr>
          <w:lang w:val="en-US"/>
        </w:rPr>
        <w:t xml:space="preserve"> </w:t>
      </w:r>
      <w:r w:rsidRPr="00BC7D89">
        <w:rPr>
          <w:i/>
          <w:iCs/>
          <w:lang w:val="en-US"/>
        </w:rPr>
        <w:t xml:space="preserve">Deutsche Kolonien. </w:t>
      </w:r>
      <w:r>
        <w:t>München: AutorenEdition.</w:t>
      </w:r>
    </w:p>
    <w:p w:rsidR="00CF6655" w:rsidRDefault="00CF6655" w:rsidP="00CF6655">
      <w:pPr>
        <w:pStyle w:val="Literatur"/>
      </w:pPr>
      <w:r>
        <w:t>Trüper, Ursula (2005)</w:t>
      </w:r>
      <w:r w:rsidR="007607F2">
        <w:t>,</w:t>
      </w:r>
      <w:r>
        <w:t xml:space="preserve"> „‚Eine Frau hat keine Stimme in den Versammlungen‘. Frauen, Mission und politische Macht im Namibia des frühen 19. Jahrhu</w:t>
      </w:r>
      <w:r>
        <w:t>n</w:t>
      </w:r>
      <w:r>
        <w:t>derts am Beispiel der Missionsstationen Bethanien, Windhoek und Rehoboth“. In: van der Heyden 2005</w:t>
      </w:r>
      <w:r w:rsidR="00D179F9">
        <w:t>:</w:t>
      </w:r>
      <w:r>
        <w:t xml:space="preserve"> 437-450.</w:t>
      </w:r>
    </w:p>
    <w:p w:rsidR="00CF6655" w:rsidRDefault="00CF6655" w:rsidP="00CF6655">
      <w:pPr>
        <w:pStyle w:val="Literatur"/>
      </w:pPr>
      <w:r>
        <w:t xml:space="preserve">Heyden, Ulrich </w:t>
      </w:r>
      <w:r w:rsidR="00295834">
        <w:t xml:space="preserve">van der </w:t>
      </w:r>
      <w:r>
        <w:t>und Holger Stoecker (Hg.) (2005)</w:t>
      </w:r>
      <w:r w:rsidR="007607F2">
        <w:t>,</w:t>
      </w:r>
      <w:r>
        <w:t xml:space="preserve"> </w:t>
      </w:r>
      <w:r>
        <w:rPr>
          <w:i/>
          <w:iCs/>
        </w:rPr>
        <w:t>Mission und Macht im Wandel politischer Orientierungen. Europäische Missionsgesellschaften in p</w:t>
      </w:r>
      <w:r>
        <w:rPr>
          <w:i/>
          <w:iCs/>
        </w:rPr>
        <w:t>o</w:t>
      </w:r>
      <w:r>
        <w:rPr>
          <w:i/>
          <w:iCs/>
        </w:rPr>
        <w:t xml:space="preserve">litischen Spannungsfeldern in Afrika und Asien zwischen 1800 und 1945. </w:t>
      </w:r>
      <w:r>
        <w:t>Stut</w:t>
      </w:r>
      <w:r>
        <w:t>t</w:t>
      </w:r>
      <w:r>
        <w:t>gart: Steiner.</w:t>
      </w:r>
    </w:p>
    <w:p w:rsidR="00CF6655" w:rsidRDefault="00CF6655" w:rsidP="00CF6655">
      <w:pPr>
        <w:pStyle w:val="Literatur"/>
      </w:pPr>
      <w:r>
        <w:t>Vedder, Heinrich</w:t>
      </w:r>
      <w:r w:rsidR="007607F2">
        <w:t xml:space="preserve"> (1981),</w:t>
      </w:r>
      <w:r>
        <w:t xml:space="preserve"> </w:t>
      </w:r>
      <w:r>
        <w:rPr>
          <w:i/>
          <w:iCs/>
        </w:rPr>
        <w:t xml:space="preserve">Das alte Südwestafrika. Südwestafrikas Geschichte bis zum Tode Mahareros 1890. </w:t>
      </w:r>
      <w:r>
        <w:t>3. Aufl. Windhoek: SWA Wissenschaftliche G</w:t>
      </w:r>
      <w:r>
        <w:t>e</w:t>
      </w:r>
      <w:r>
        <w:t>sellschaft.</w:t>
      </w:r>
    </w:p>
    <w:p w:rsidR="00CF6655" w:rsidRDefault="00CF6655" w:rsidP="00CF6655">
      <w:pPr>
        <w:pStyle w:val="Literatur"/>
      </w:pPr>
      <w:r>
        <w:t>Wangemann, Hermann Theodor (1868)</w:t>
      </w:r>
      <w:r w:rsidR="007607F2">
        <w:t>,</w:t>
      </w:r>
      <w:r>
        <w:t xml:space="preserve"> </w:t>
      </w:r>
      <w:r>
        <w:rPr>
          <w:i/>
          <w:iCs/>
        </w:rPr>
        <w:t>Ein Reise-Jahr in Südafrika. Ausführl</w:t>
      </w:r>
      <w:r>
        <w:rPr>
          <w:i/>
          <w:iCs/>
        </w:rPr>
        <w:t>i</w:t>
      </w:r>
      <w:r>
        <w:rPr>
          <w:i/>
          <w:iCs/>
        </w:rPr>
        <w:t>ches Tagebuch über eine in den Jahren 1866 und 1867 ausgeführte Inspections</w:t>
      </w:r>
      <w:r w:rsidR="007607F2">
        <w:rPr>
          <w:i/>
          <w:iCs/>
        </w:rPr>
        <w:softHyphen/>
      </w:r>
      <w:r>
        <w:rPr>
          <w:i/>
          <w:iCs/>
        </w:rPr>
        <w:t xml:space="preserve">reise durch die Missions-Stationen der Berliner-Missions-Gesellschaft. </w:t>
      </w:r>
      <w:r>
        <w:t>Berlin: Verlag des Missionshauses.</w:t>
      </w:r>
    </w:p>
    <w:p w:rsidR="00236D9A" w:rsidRDefault="00236D9A" w:rsidP="00CF6655">
      <w:pPr>
        <w:pStyle w:val="Literatur"/>
      </w:pPr>
      <w:r>
        <w:t xml:space="preserve">Weber, Ernst von (1878), </w:t>
      </w:r>
      <w:r w:rsidRPr="00236D9A">
        <w:rPr>
          <w:i/>
        </w:rPr>
        <w:t>Vier Jahre in Südafrika 1871–1875</w:t>
      </w:r>
      <w:r>
        <w:t>. 2 Bde. Leipzig: Brockhaus.</w:t>
      </w:r>
    </w:p>
    <w:p w:rsidR="00CF6655" w:rsidRDefault="00CF6655" w:rsidP="00CF6655">
      <w:pPr>
        <w:pStyle w:val="Literatur"/>
      </w:pPr>
      <w:r>
        <w:t>Weber, Otto von (1979</w:t>
      </w:r>
      <w:r w:rsidR="007607F2">
        <w:t xml:space="preserve">), </w:t>
      </w:r>
      <w:r>
        <w:rPr>
          <w:i/>
          <w:iCs/>
        </w:rPr>
        <w:t xml:space="preserve">Geschichte des Schutzgebietes Deutsch-Südwest-Afrika. </w:t>
      </w:r>
      <w:r>
        <w:t>2. Aufl. Windhoek: SWA Wissenschaftliche Gesellschaft.</w:t>
      </w:r>
    </w:p>
    <w:p w:rsidR="00CF6655" w:rsidRPr="00225B30" w:rsidRDefault="007607F2" w:rsidP="00CF6655">
      <w:pPr>
        <w:pStyle w:val="Literatur"/>
        <w:rPr>
          <w:lang w:val="en-US"/>
        </w:rPr>
      </w:pPr>
      <w:r>
        <w:t>Wöhe, Gerti (1982),</w:t>
      </w:r>
      <w:r w:rsidR="00CF6655">
        <w:t xml:space="preserve"> </w:t>
      </w:r>
      <w:r w:rsidR="00CF6655">
        <w:rPr>
          <w:i/>
          <w:iCs/>
        </w:rPr>
        <w:t>Schwarz auf Weiß: Südwestafrika/Namibia. Hintergrundi</w:t>
      </w:r>
      <w:r w:rsidR="00CF6655">
        <w:rPr>
          <w:i/>
          <w:iCs/>
        </w:rPr>
        <w:t>n</w:t>
      </w:r>
      <w:r w:rsidR="00CF6655">
        <w:rPr>
          <w:i/>
          <w:iCs/>
        </w:rPr>
        <w:t xml:space="preserve">formationen mit einem Reisebericht. </w:t>
      </w:r>
      <w:r w:rsidR="00CF6655">
        <w:t xml:space="preserve">2., überarbeitete Aufl. </w:t>
      </w:r>
      <w:r w:rsidR="00CF6655" w:rsidRPr="00225B30">
        <w:rPr>
          <w:lang w:val="en-US"/>
        </w:rPr>
        <w:t>Hemsbach: Selbstverlag.</w:t>
      </w:r>
    </w:p>
    <w:p w:rsidR="00CF6655" w:rsidRPr="004229CF" w:rsidRDefault="00CF6655" w:rsidP="00CF6655">
      <w:pPr>
        <w:pStyle w:val="Literatur"/>
      </w:pPr>
      <w:r w:rsidRPr="00CF6655">
        <w:rPr>
          <w:lang w:val="en-US"/>
        </w:rPr>
        <w:t>Young, Robert J. C. (1995)</w:t>
      </w:r>
      <w:r w:rsidR="007607F2">
        <w:rPr>
          <w:lang w:val="en-US"/>
        </w:rPr>
        <w:t>,</w:t>
      </w:r>
      <w:r w:rsidRPr="00CF6655">
        <w:rPr>
          <w:lang w:val="en-US"/>
        </w:rPr>
        <w:t xml:space="preserve"> </w:t>
      </w:r>
      <w:r w:rsidRPr="00CF6655">
        <w:rPr>
          <w:i/>
          <w:iCs/>
          <w:lang w:val="en-US"/>
        </w:rPr>
        <w:t xml:space="preserve">Colonial Desire. </w:t>
      </w:r>
      <w:proofErr w:type="gramStart"/>
      <w:r w:rsidRPr="00CF6655">
        <w:rPr>
          <w:i/>
          <w:iCs/>
          <w:lang w:val="en-US"/>
        </w:rPr>
        <w:t>Hybridity in Theory, Culture and Race.</w:t>
      </w:r>
      <w:proofErr w:type="gramEnd"/>
      <w:r w:rsidRPr="00CF6655">
        <w:rPr>
          <w:i/>
          <w:iCs/>
          <w:lang w:val="en-US"/>
        </w:rPr>
        <w:t xml:space="preserve"> </w:t>
      </w:r>
      <w:r w:rsidRPr="004229CF">
        <w:t>London u.a.: Routledge.</w:t>
      </w:r>
    </w:p>
    <w:p w:rsidR="00CF6655" w:rsidRDefault="007607F2" w:rsidP="00CF6655">
      <w:pPr>
        <w:pStyle w:val="Literatur"/>
      </w:pPr>
      <w:r w:rsidRPr="003B3536">
        <w:t>Zeller, Joachim</w:t>
      </w:r>
      <w:r w:rsidR="003407E5" w:rsidRPr="003B3536">
        <w:t xml:space="preserve"> (2003)</w:t>
      </w:r>
      <w:r w:rsidRPr="003B3536">
        <w:t>,</w:t>
      </w:r>
      <w:r w:rsidR="00CF6655" w:rsidRPr="003B3536">
        <w:t xml:space="preserve"> „Ombepera i koza – Die Kälte tötet mich“. </w:t>
      </w:r>
      <w:r w:rsidR="00CF6655">
        <w:t>In: Zimmerer 2003</w:t>
      </w:r>
      <w:r w:rsidR="00D179F9">
        <w:t>:</w:t>
      </w:r>
      <w:r w:rsidR="00CF6655">
        <w:t xml:space="preserve"> 64-79.</w:t>
      </w:r>
    </w:p>
    <w:p w:rsidR="00CF6655" w:rsidRDefault="00CF6655" w:rsidP="00CF6655">
      <w:pPr>
        <w:pStyle w:val="Literatur"/>
      </w:pPr>
      <w:r>
        <w:t xml:space="preserve">Zimmerer, Jürgen und </w:t>
      </w:r>
      <w:r w:rsidR="007607F2">
        <w:t>Joachim Zeller (Hg.) (2003),</w:t>
      </w:r>
      <w:r>
        <w:t xml:space="preserve"> </w:t>
      </w:r>
      <w:r>
        <w:rPr>
          <w:i/>
          <w:iCs/>
        </w:rPr>
        <w:t xml:space="preserve">Völkermord in Deutsch-Südwestafrika. Der Kolonialkrieg (1904–1908) in Namibia und seine Folgen. </w:t>
      </w:r>
      <w:r>
        <w:t>Berlin: Links.</w:t>
      </w:r>
    </w:p>
    <w:p w:rsidR="0046694C" w:rsidRDefault="007607F2" w:rsidP="00702F09">
      <w:pPr>
        <w:pStyle w:val="Literatur"/>
        <w:sectPr w:rsidR="0046694C" w:rsidSect="00D0134D">
          <w:headerReference w:type="even" r:id="rId28"/>
          <w:headerReference w:type="default" r:id="rId29"/>
          <w:pgSz w:w="8789" w:h="13325" w:code="9"/>
          <w:pgMar w:top="1134" w:right="851" w:bottom="1418" w:left="1134" w:header="567" w:footer="680" w:gutter="0"/>
          <w:cols w:space="720"/>
          <w:titlePg/>
          <w:docGrid w:linePitch="360"/>
        </w:sectPr>
      </w:pPr>
      <w:r>
        <w:t>Zimmerer, Jürgen (2004),</w:t>
      </w:r>
      <w:r w:rsidR="00702F09">
        <w:t xml:space="preserve"> „Von Windhuk nach Warschau. Die rassische Privilegiengesellschaft in Deutsch-Südwestafrika, ein Modell mit Zukunft?“ In: Becker 2004</w:t>
      </w:r>
      <w:r w:rsidR="00D179F9">
        <w:t>:</w:t>
      </w:r>
      <w:r w:rsidR="00702F09">
        <w:t xml:space="preserve"> 97-123.</w:t>
      </w:r>
    </w:p>
    <w:p w:rsidR="00100546" w:rsidRDefault="00100546" w:rsidP="00100546">
      <w:pPr>
        <w:pStyle w:val="TitelohneNummer"/>
      </w:pPr>
      <w:bookmarkStart w:id="476" w:name="_Toc327388085"/>
      <w:r>
        <w:lastRenderedPageBreak/>
        <w:t>Abbildungen</w:t>
      </w:r>
      <w:bookmarkEnd w:id="476"/>
    </w:p>
    <w:p w:rsidR="00E66CE9" w:rsidRDefault="00DA41B4" w:rsidP="00E66CE9">
      <w:pPr>
        <w:pStyle w:val="Text"/>
        <w:spacing w:after="360"/>
        <w:ind w:firstLine="0"/>
      </w:pPr>
      <w:r>
        <w:t xml:space="preserve">Die Zeichnungen wurden in den 1990er Jahren von Uta Siefkes nach Fotografien </w:t>
      </w:r>
      <w:r w:rsidR="00627FFC">
        <w:t xml:space="preserve">der Reise </w:t>
      </w:r>
      <w:r>
        <w:t>hergestellt.</w:t>
      </w:r>
      <w:r w:rsidR="00E66CE9">
        <w:t xml:space="preserve"> </w:t>
      </w:r>
      <w:r w:rsidR="00066E7D">
        <w:t>Die Karte wurde entnommen</w:t>
      </w:r>
      <w:r w:rsidR="00E66CE9">
        <w:t>:</w:t>
      </w:r>
      <w:r w:rsidR="00066E7D">
        <w:t xml:space="preserve"> Meyer </w:t>
      </w:r>
      <w:r w:rsidR="00F03A60">
        <w:t>1909–1910, Bd. 1</w:t>
      </w:r>
      <w:r w:rsidR="00D2109D">
        <w:t>, Teil „Südwestafrika“, Anhang</w:t>
      </w:r>
      <w:r w:rsidR="00F03A60">
        <w:t>.</w:t>
      </w:r>
    </w:p>
    <w:p w:rsidR="005976E3" w:rsidRDefault="00363C1C">
      <w:pPr>
        <w:pStyle w:val="Abbildungsverzeichnis"/>
        <w:rPr>
          <w:rFonts w:asciiTheme="minorHAnsi" w:eastAsiaTheme="minorEastAsia" w:hAnsiTheme="minorHAnsi" w:cstheme="minorBidi"/>
          <w:noProof/>
          <w:sz w:val="22"/>
          <w:szCs w:val="22"/>
        </w:rPr>
      </w:pPr>
      <w:r>
        <w:rPr>
          <w:rFonts w:ascii="Times New Roman" w:hAnsi="Times New Roman"/>
          <w:sz w:val="26"/>
        </w:rPr>
        <w:fldChar w:fldCharType="begin"/>
      </w:r>
      <w:r w:rsidR="004C3839">
        <w:rPr>
          <w:rFonts w:ascii="Times New Roman" w:hAnsi="Times New Roman"/>
          <w:sz w:val="26"/>
        </w:rPr>
        <w:instrText xml:space="preserve"> TOC \h \z \t "Beschriftung" \c </w:instrText>
      </w:r>
      <w:r>
        <w:rPr>
          <w:rFonts w:ascii="Times New Roman" w:hAnsi="Times New Roman"/>
          <w:sz w:val="26"/>
        </w:rPr>
        <w:fldChar w:fldCharType="separate"/>
      </w:r>
      <w:hyperlink w:anchor="_Toc327393033" w:history="1">
        <w:r w:rsidR="005976E3" w:rsidRPr="00345AC3">
          <w:rPr>
            <w:rStyle w:val="Hyperlink"/>
            <w:noProof/>
          </w:rPr>
          <w:t>Abb. 1</w:t>
        </w:r>
        <w:r w:rsidR="005976E3" w:rsidRPr="00345AC3">
          <w:rPr>
            <w:rFonts w:asciiTheme="minorHAnsi" w:eastAsiaTheme="minorEastAsia" w:hAnsiTheme="minorHAnsi" w:cstheme="minorBidi"/>
            <w:noProof/>
            <w:sz w:val="22"/>
            <w:szCs w:val="22"/>
          </w:rPr>
          <w:tab/>
        </w:r>
        <w:r w:rsidR="005976E3" w:rsidRPr="001D0519">
          <w:rPr>
            <w:rStyle w:val="Hyperlink"/>
            <w:noProof/>
          </w:rPr>
          <w:t>Spiecker und seine Familie nach der Rückkehr (1908)</w:t>
        </w:r>
        <w:r w:rsidR="005976E3">
          <w:rPr>
            <w:noProof/>
            <w:webHidden/>
          </w:rPr>
          <w:tab/>
        </w:r>
        <w:r>
          <w:rPr>
            <w:noProof/>
            <w:webHidden/>
          </w:rPr>
          <w:fldChar w:fldCharType="begin"/>
        </w:r>
        <w:r w:rsidR="005976E3">
          <w:rPr>
            <w:noProof/>
            <w:webHidden/>
          </w:rPr>
          <w:instrText xml:space="preserve"> PAGEREF _Toc327393033 \h </w:instrText>
        </w:r>
        <w:r>
          <w:rPr>
            <w:noProof/>
            <w:webHidden/>
          </w:rPr>
        </w:r>
        <w:r>
          <w:rPr>
            <w:noProof/>
            <w:webHidden/>
          </w:rPr>
          <w:fldChar w:fldCharType="separate"/>
        </w:r>
        <w:r w:rsidR="00216538">
          <w:rPr>
            <w:noProof/>
            <w:webHidden/>
          </w:rPr>
          <w:t>18</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4" w:history="1">
        <w:r w:rsidR="005976E3" w:rsidRPr="00345AC3">
          <w:rPr>
            <w:rStyle w:val="Hyperlink"/>
            <w:noProof/>
          </w:rPr>
          <w:t>Abb. 2</w:t>
        </w:r>
        <w:r w:rsidR="005976E3" w:rsidRPr="00345AC3">
          <w:rPr>
            <w:rFonts w:asciiTheme="minorHAnsi" w:eastAsiaTheme="minorEastAsia" w:hAnsiTheme="minorHAnsi" w:cstheme="minorBidi"/>
            <w:noProof/>
            <w:sz w:val="22"/>
            <w:szCs w:val="22"/>
          </w:rPr>
          <w:tab/>
        </w:r>
        <w:r w:rsidR="005976E3" w:rsidRPr="001D0519">
          <w:rPr>
            <w:rStyle w:val="Hyperlink"/>
            <w:noProof/>
          </w:rPr>
          <w:t>Karte von Deutsch-Südwestafrika im Jahr 1910</w:t>
        </w:r>
        <w:r w:rsidR="005976E3">
          <w:rPr>
            <w:noProof/>
            <w:webHidden/>
          </w:rPr>
          <w:tab/>
        </w:r>
        <w:r>
          <w:rPr>
            <w:noProof/>
            <w:webHidden/>
          </w:rPr>
          <w:fldChar w:fldCharType="begin"/>
        </w:r>
        <w:r w:rsidR="005976E3">
          <w:rPr>
            <w:noProof/>
            <w:webHidden/>
          </w:rPr>
          <w:instrText xml:space="preserve"> PAGEREF _Toc327393034 \h </w:instrText>
        </w:r>
        <w:r>
          <w:rPr>
            <w:noProof/>
            <w:webHidden/>
          </w:rPr>
        </w:r>
        <w:r>
          <w:rPr>
            <w:noProof/>
            <w:webHidden/>
          </w:rPr>
          <w:fldChar w:fldCharType="separate"/>
        </w:r>
        <w:r w:rsidR="00216538">
          <w:rPr>
            <w:noProof/>
            <w:webHidden/>
          </w:rPr>
          <w:t>24</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5" w:history="1">
        <w:r w:rsidR="005976E3" w:rsidRPr="00345AC3">
          <w:rPr>
            <w:rStyle w:val="Hyperlink"/>
            <w:noProof/>
          </w:rPr>
          <w:t>Abb. 3</w:t>
        </w:r>
        <w:r w:rsidR="005976E3" w:rsidRPr="00345AC3">
          <w:rPr>
            <w:rFonts w:asciiTheme="minorHAnsi" w:eastAsiaTheme="minorEastAsia" w:hAnsiTheme="minorHAnsi" w:cstheme="minorBidi"/>
            <w:noProof/>
            <w:sz w:val="22"/>
            <w:szCs w:val="22"/>
          </w:rPr>
          <w:tab/>
        </w:r>
        <w:r w:rsidR="005976E3" w:rsidRPr="001D0519">
          <w:rPr>
            <w:rStyle w:val="Hyperlink"/>
            <w:noProof/>
          </w:rPr>
          <w:t>Vor der Mauleselskarre</w:t>
        </w:r>
        <w:r w:rsidR="005976E3">
          <w:rPr>
            <w:noProof/>
            <w:webHidden/>
          </w:rPr>
          <w:tab/>
        </w:r>
        <w:r>
          <w:rPr>
            <w:noProof/>
            <w:webHidden/>
          </w:rPr>
          <w:fldChar w:fldCharType="begin"/>
        </w:r>
        <w:r w:rsidR="005976E3">
          <w:rPr>
            <w:noProof/>
            <w:webHidden/>
          </w:rPr>
          <w:instrText xml:space="preserve"> PAGEREF _Toc327393035 \h </w:instrText>
        </w:r>
        <w:r>
          <w:rPr>
            <w:noProof/>
            <w:webHidden/>
          </w:rPr>
        </w:r>
        <w:r>
          <w:rPr>
            <w:noProof/>
            <w:webHidden/>
          </w:rPr>
          <w:fldChar w:fldCharType="separate"/>
        </w:r>
        <w:r w:rsidR="00216538">
          <w:rPr>
            <w:noProof/>
            <w:webHidden/>
          </w:rPr>
          <w:t>28</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6" w:history="1">
        <w:r w:rsidR="005976E3" w:rsidRPr="00345AC3">
          <w:rPr>
            <w:rStyle w:val="Hyperlink"/>
            <w:noProof/>
          </w:rPr>
          <w:t>Abb. 4</w:t>
        </w:r>
        <w:r w:rsidR="005976E3" w:rsidRPr="00345AC3">
          <w:rPr>
            <w:rFonts w:asciiTheme="minorHAnsi" w:eastAsiaTheme="minorEastAsia" w:hAnsiTheme="minorHAnsi" w:cstheme="minorBidi"/>
            <w:noProof/>
            <w:sz w:val="22"/>
            <w:szCs w:val="22"/>
          </w:rPr>
          <w:tab/>
        </w:r>
        <w:r w:rsidR="005976E3" w:rsidRPr="001D0519">
          <w:rPr>
            <w:rStyle w:val="Hyperlink"/>
            <w:noProof/>
          </w:rPr>
          <w:t>Der Ochsenwagen auf der Reise nach Amboland nahe Ondangua</w:t>
        </w:r>
        <w:r w:rsidR="005976E3">
          <w:rPr>
            <w:noProof/>
            <w:webHidden/>
          </w:rPr>
          <w:tab/>
        </w:r>
        <w:r>
          <w:rPr>
            <w:noProof/>
            <w:webHidden/>
          </w:rPr>
          <w:fldChar w:fldCharType="begin"/>
        </w:r>
        <w:r w:rsidR="005976E3">
          <w:rPr>
            <w:noProof/>
            <w:webHidden/>
          </w:rPr>
          <w:instrText xml:space="preserve"> PAGEREF _Toc327393036 \h </w:instrText>
        </w:r>
        <w:r>
          <w:rPr>
            <w:noProof/>
            <w:webHidden/>
          </w:rPr>
        </w:r>
        <w:r>
          <w:rPr>
            <w:noProof/>
            <w:webHidden/>
          </w:rPr>
          <w:fldChar w:fldCharType="separate"/>
        </w:r>
        <w:r w:rsidR="00216538">
          <w:rPr>
            <w:noProof/>
            <w:webHidden/>
          </w:rPr>
          <w:t>33</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7" w:history="1">
        <w:r w:rsidR="005976E3" w:rsidRPr="00345AC3">
          <w:rPr>
            <w:rStyle w:val="Hyperlink"/>
            <w:noProof/>
          </w:rPr>
          <w:t>Abb. 5</w:t>
        </w:r>
        <w:r w:rsidR="005976E3" w:rsidRPr="00345AC3">
          <w:rPr>
            <w:rFonts w:asciiTheme="minorHAnsi" w:eastAsiaTheme="minorEastAsia" w:hAnsiTheme="minorHAnsi" w:cstheme="minorBidi"/>
            <w:noProof/>
            <w:sz w:val="22"/>
            <w:szCs w:val="22"/>
          </w:rPr>
          <w:tab/>
        </w:r>
        <w:r w:rsidR="005976E3" w:rsidRPr="001D0519">
          <w:rPr>
            <w:rStyle w:val="Hyperlink"/>
            <w:noProof/>
          </w:rPr>
          <w:t>Missionsstation in O</w:t>
        </w:r>
        <w:r w:rsidR="005976E3" w:rsidRPr="001D0519">
          <w:rPr>
            <w:rStyle w:val="Hyperlink"/>
            <w:noProof/>
          </w:rPr>
          <w:t>t</w:t>
        </w:r>
        <w:r w:rsidR="005976E3" w:rsidRPr="001D0519">
          <w:rPr>
            <w:rStyle w:val="Hyperlink"/>
            <w:noProof/>
          </w:rPr>
          <w:t>avi (Postkarte an die kleine Elisabeth)</w:t>
        </w:r>
        <w:r w:rsidR="005976E3">
          <w:rPr>
            <w:noProof/>
            <w:webHidden/>
          </w:rPr>
          <w:tab/>
        </w:r>
        <w:r>
          <w:rPr>
            <w:noProof/>
            <w:webHidden/>
          </w:rPr>
          <w:fldChar w:fldCharType="begin"/>
        </w:r>
        <w:r w:rsidR="005976E3">
          <w:rPr>
            <w:noProof/>
            <w:webHidden/>
          </w:rPr>
          <w:instrText xml:space="preserve"> PAGEREF _Toc327393037 \h </w:instrText>
        </w:r>
        <w:r>
          <w:rPr>
            <w:noProof/>
            <w:webHidden/>
          </w:rPr>
        </w:r>
        <w:r>
          <w:rPr>
            <w:noProof/>
            <w:webHidden/>
          </w:rPr>
          <w:fldChar w:fldCharType="separate"/>
        </w:r>
        <w:r w:rsidR="00216538">
          <w:rPr>
            <w:noProof/>
            <w:webHidden/>
          </w:rPr>
          <w:t>69</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8" w:history="1">
        <w:r w:rsidR="005976E3" w:rsidRPr="00345AC3">
          <w:rPr>
            <w:rStyle w:val="Hyperlink"/>
            <w:noProof/>
          </w:rPr>
          <w:t>Abb. 6</w:t>
        </w:r>
        <w:r w:rsidR="005976E3" w:rsidRPr="00345AC3">
          <w:rPr>
            <w:rFonts w:asciiTheme="minorHAnsi" w:eastAsiaTheme="minorEastAsia" w:hAnsiTheme="minorHAnsi" w:cstheme="minorBidi"/>
            <w:noProof/>
            <w:sz w:val="22"/>
            <w:szCs w:val="22"/>
          </w:rPr>
          <w:tab/>
        </w:r>
        <w:r w:rsidR="005976E3" w:rsidRPr="001D0519">
          <w:rPr>
            <w:rStyle w:val="Hyperlink"/>
            <w:noProof/>
          </w:rPr>
          <w:t>Inspektor Johannes Spiecker auf seinem Ochsenwagen</w:t>
        </w:r>
        <w:r w:rsidR="005976E3">
          <w:rPr>
            <w:noProof/>
            <w:webHidden/>
          </w:rPr>
          <w:tab/>
        </w:r>
        <w:r>
          <w:rPr>
            <w:noProof/>
            <w:webHidden/>
          </w:rPr>
          <w:fldChar w:fldCharType="begin"/>
        </w:r>
        <w:r w:rsidR="005976E3">
          <w:rPr>
            <w:noProof/>
            <w:webHidden/>
          </w:rPr>
          <w:instrText xml:space="preserve"> PAGEREF _Toc327393038 \h </w:instrText>
        </w:r>
        <w:r>
          <w:rPr>
            <w:noProof/>
            <w:webHidden/>
          </w:rPr>
        </w:r>
        <w:r>
          <w:rPr>
            <w:noProof/>
            <w:webHidden/>
          </w:rPr>
          <w:fldChar w:fldCharType="separate"/>
        </w:r>
        <w:r w:rsidR="00216538">
          <w:rPr>
            <w:noProof/>
            <w:webHidden/>
          </w:rPr>
          <w:t>89</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39" w:history="1">
        <w:r w:rsidR="005976E3" w:rsidRPr="00345AC3">
          <w:rPr>
            <w:rStyle w:val="Hyperlink"/>
            <w:noProof/>
          </w:rPr>
          <w:t>Abb. 7</w:t>
        </w:r>
        <w:r w:rsidR="005976E3" w:rsidRPr="00345AC3">
          <w:rPr>
            <w:rFonts w:asciiTheme="minorHAnsi" w:eastAsiaTheme="minorEastAsia" w:hAnsiTheme="minorHAnsi" w:cstheme="minorBidi"/>
            <w:noProof/>
            <w:sz w:val="22"/>
            <w:szCs w:val="22"/>
          </w:rPr>
          <w:tab/>
        </w:r>
        <w:r w:rsidR="005976E3" w:rsidRPr="001D0519">
          <w:rPr>
            <w:rStyle w:val="Hyperlink"/>
            <w:noProof/>
          </w:rPr>
          <w:t>Missionar Pettinen in seiner Werkstatt in Ondangua</w:t>
        </w:r>
        <w:r w:rsidR="005976E3">
          <w:rPr>
            <w:noProof/>
            <w:webHidden/>
          </w:rPr>
          <w:tab/>
        </w:r>
        <w:r>
          <w:rPr>
            <w:noProof/>
            <w:webHidden/>
          </w:rPr>
          <w:fldChar w:fldCharType="begin"/>
        </w:r>
        <w:r w:rsidR="005976E3">
          <w:rPr>
            <w:noProof/>
            <w:webHidden/>
          </w:rPr>
          <w:instrText xml:space="preserve"> PAGEREF _Toc327393039 \h </w:instrText>
        </w:r>
        <w:r>
          <w:rPr>
            <w:noProof/>
            <w:webHidden/>
          </w:rPr>
        </w:r>
        <w:r>
          <w:rPr>
            <w:noProof/>
            <w:webHidden/>
          </w:rPr>
          <w:fldChar w:fldCharType="separate"/>
        </w:r>
        <w:r w:rsidR="00216538">
          <w:rPr>
            <w:noProof/>
            <w:webHidden/>
          </w:rPr>
          <w:t>112</w:t>
        </w:r>
        <w:r>
          <w:rPr>
            <w:noProof/>
            <w:webHidden/>
          </w:rPr>
          <w:fldChar w:fldCharType="end"/>
        </w:r>
      </w:hyperlink>
    </w:p>
    <w:p w:rsidR="005976E3" w:rsidRDefault="00363C1C">
      <w:pPr>
        <w:pStyle w:val="Abbildungsverzeichnis"/>
        <w:rPr>
          <w:rFonts w:asciiTheme="minorHAnsi" w:eastAsiaTheme="minorEastAsia" w:hAnsiTheme="minorHAnsi" w:cstheme="minorBidi"/>
          <w:noProof/>
          <w:sz w:val="22"/>
          <w:szCs w:val="22"/>
        </w:rPr>
      </w:pPr>
      <w:hyperlink w:anchor="_Toc327393040" w:history="1">
        <w:r w:rsidR="005976E3" w:rsidRPr="00345AC3">
          <w:rPr>
            <w:rStyle w:val="Hyperlink"/>
            <w:noProof/>
          </w:rPr>
          <w:t>Abb. 8</w:t>
        </w:r>
        <w:r w:rsidR="005976E3" w:rsidRPr="00345AC3">
          <w:rPr>
            <w:rFonts w:asciiTheme="minorHAnsi" w:eastAsiaTheme="minorEastAsia" w:hAnsiTheme="minorHAnsi" w:cstheme="minorBidi"/>
            <w:noProof/>
            <w:sz w:val="22"/>
            <w:szCs w:val="22"/>
          </w:rPr>
          <w:tab/>
        </w:r>
        <w:r w:rsidR="005976E3" w:rsidRPr="001D0519">
          <w:rPr>
            <w:rStyle w:val="Hyperlink"/>
            <w:noProof/>
          </w:rPr>
          <w:t xml:space="preserve">Häuptling Nechale (links) und andere </w:t>
        </w:r>
        <w:r w:rsidR="00AE29E7">
          <w:rPr>
            <w:rStyle w:val="Hyperlink"/>
            <w:noProof/>
          </w:rPr>
          <w:t>Ovambo</w:t>
        </w:r>
        <w:r w:rsidR="005976E3">
          <w:rPr>
            <w:noProof/>
            <w:webHidden/>
          </w:rPr>
          <w:tab/>
        </w:r>
        <w:r>
          <w:rPr>
            <w:noProof/>
            <w:webHidden/>
          </w:rPr>
          <w:fldChar w:fldCharType="begin"/>
        </w:r>
        <w:r w:rsidR="005976E3">
          <w:rPr>
            <w:noProof/>
            <w:webHidden/>
          </w:rPr>
          <w:instrText xml:space="preserve"> PAGEREF _Toc327393040 \h </w:instrText>
        </w:r>
        <w:r>
          <w:rPr>
            <w:noProof/>
            <w:webHidden/>
          </w:rPr>
        </w:r>
        <w:r>
          <w:rPr>
            <w:noProof/>
            <w:webHidden/>
          </w:rPr>
          <w:fldChar w:fldCharType="separate"/>
        </w:r>
        <w:r w:rsidR="00216538">
          <w:rPr>
            <w:noProof/>
            <w:webHidden/>
          </w:rPr>
          <w:t>132</w:t>
        </w:r>
        <w:r>
          <w:rPr>
            <w:noProof/>
            <w:webHidden/>
          </w:rPr>
          <w:fldChar w:fldCharType="end"/>
        </w:r>
      </w:hyperlink>
    </w:p>
    <w:p w:rsidR="005976E3" w:rsidRDefault="00363C1C">
      <w:pPr>
        <w:pStyle w:val="Abbildungsverzeichnis"/>
        <w:rPr>
          <w:rStyle w:val="Hyperlink"/>
          <w:noProof/>
        </w:rPr>
      </w:pPr>
      <w:hyperlink w:anchor="_Toc327393041" w:history="1">
        <w:r w:rsidR="005976E3" w:rsidRPr="00345AC3">
          <w:rPr>
            <w:rStyle w:val="Hyperlink"/>
            <w:noProof/>
          </w:rPr>
          <w:t>Abb. 9</w:t>
        </w:r>
        <w:r w:rsidR="005976E3" w:rsidRPr="00345AC3">
          <w:rPr>
            <w:rFonts w:asciiTheme="minorHAnsi" w:eastAsiaTheme="minorEastAsia" w:hAnsiTheme="minorHAnsi" w:cstheme="minorBidi"/>
            <w:noProof/>
            <w:sz w:val="22"/>
            <w:szCs w:val="22"/>
          </w:rPr>
          <w:tab/>
        </w:r>
        <w:r w:rsidR="005976E3" w:rsidRPr="001D0519">
          <w:rPr>
            <w:rStyle w:val="Hyperlink"/>
            <w:noProof/>
          </w:rPr>
          <w:t>Missionarin mit Kindern und Kindermädchen</w:t>
        </w:r>
        <w:r w:rsidR="005976E3">
          <w:rPr>
            <w:noProof/>
            <w:webHidden/>
          </w:rPr>
          <w:tab/>
        </w:r>
        <w:r>
          <w:rPr>
            <w:noProof/>
            <w:webHidden/>
          </w:rPr>
          <w:fldChar w:fldCharType="begin"/>
        </w:r>
        <w:r w:rsidR="005976E3">
          <w:rPr>
            <w:noProof/>
            <w:webHidden/>
          </w:rPr>
          <w:instrText xml:space="preserve"> PAGEREF _Toc327393041 \h </w:instrText>
        </w:r>
        <w:r>
          <w:rPr>
            <w:noProof/>
            <w:webHidden/>
          </w:rPr>
        </w:r>
        <w:r>
          <w:rPr>
            <w:noProof/>
            <w:webHidden/>
          </w:rPr>
          <w:fldChar w:fldCharType="separate"/>
        </w:r>
        <w:r w:rsidR="00216538">
          <w:rPr>
            <w:noProof/>
            <w:webHidden/>
          </w:rPr>
          <w:t>155</w:t>
        </w:r>
        <w:r>
          <w:rPr>
            <w:noProof/>
            <w:webHidden/>
          </w:rPr>
          <w:fldChar w:fldCharType="end"/>
        </w:r>
      </w:hyperlink>
    </w:p>
    <w:p w:rsidR="005976E3" w:rsidRDefault="005976E3" w:rsidP="005976E3">
      <w:pPr>
        <w:rPr>
          <w:noProof/>
        </w:rPr>
        <w:sectPr w:rsidR="005976E3" w:rsidSect="00F114AB">
          <w:headerReference w:type="even" r:id="rId30"/>
          <w:headerReference w:type="default" r:id="rId31"/>
          <w:pgSz w:w="8789" w:h="13325" w:code="9"/>
          <w:pgMar w:top="1134" w:right="851" w:bottom="1418" w:left="1134" w:header="567" w:footer="680" w:gutter="0"/>
          <w:cols w:space="720"/>
          <w:titlePg/>
          <w:docGrid w:linePitch="360"/>
        </w:sectPr>
      </w:pPr>
    </w:p>
    <w:p w:rsidR="0078232E" w:rsidRPr="00FD12E8" w:rsidRDefault="00363C1C" w:rsidP="0078232E">
      <w:pPr>
        <w:pStyle w:val="TitelohneNummer"/>
      </w:pPr>
      <w:r>
        <w:rPr>
          <w:rFonts w:ascii="Times New Roman" w:eastAsia="Lucida Sans Unicode" w:hAnsi="Times New Roman" w:cs="Tahoma"/>
          <w:color w:val="auto"/>
          <w:sz w:val="26"/>
          <w:szCs w:val="24"/>
        </w:rPr>
        <w:lastRenderedPageBreak/>
        <w:fldChar w:fldCharType="end"/>
      </w:r>
      <w:bookmarkStart w:id="477" w:name="_Toc325456844"/>
      <w:bookmarkStart w:id="478" w:name="_Toc327388086"/>
      <w:r w:rsidR="0078232E" w:rsidRPr="00FD12E8">
        <w:t>Index</w:t>
      </w:r>
      <w:bookmarkEnd w:id="477"/>
      <w:bookmarkEnd w:id="478"/>
    </w:p>
    <w:p w:rsidR="00A35244" w:rsidRDefault="00363C1C" w:rsidP="00AB383B">
      <w:pPr>
        <w:pStyle w:val="Text"/>
        <w:rPr>
          <w:noProof/>
        </w:rPr>
        <w:sectPr w:rsidR="00A35244" w:rsidSect="00A35244">
          <w:pgSz w:w="8789" w:h="13325" w:code="9"/>
          <w:pgMar w:top="1134" w:right="851" w:bottom="1418" w:left="1134" w:header="567" w:footer="680" w:gutter="0"/>
          <w:cols w:space="720"/>
          <w:titlePg/>
          <w:docGrid w:linePitch="360"/>
        </w:sectPr>
      </w:pPr>
      <w:r>
        <w:fldChar w:fldCharType="begin"/>
      </w:r>
      <w:r w:rsidR="0078232E">
        <w:instrText xml:space="preserve"> INDEX \c "2" \z "1031" </w:instrText>
      </w:r>
      <w:r>
        <w:fldChar w:fldCharType="separate"/>
      </w:r>
    </w:p>
    <w:p w:rsidR="000F6FEF" w:rsidRPr="00DB1DF3" w:rsidRDefault="000F6FEF" w:rsidP="000F6FEF">
      <w:pPr>
        <w:pStyle w:val="Index1"/>
        <w:keepNext/>
        <w:spacing w:after="246"/>
        <w:ind w:left="238" w:hanging="238"/>
        <w:jc w:val="center"/>
        <w:rPr>
          <w:b/>
          <w:noProof/>
        </w:rPr>
      </w:pPr>
      <w:r>
        <w:rPr>
          <w:b/>
          <w:noProof/>
        </w:rPr>
        <w:lastRenderedPageBreak/>
        <w:t>A</w:t>
      </w:r>
    </w:p>
    <w:p w:rsidR="00A35244" w:rsidRDefault="00A35244">
      <w:pPr>
        <w:pStyle w:val="Index1"/>
        <w:rPr>
          <w:noProof/>
        </w:rPr>
      </w:pPr>
      <w:r>
        <w:rPr>
          <w:noProof/>
        </w:rPr>
        <w:t>Abendmahl  76, 77, 84, 111, 113</w:t>
      </w:r>
    </w:p>
    <w:p w:rsidR="00A35244" w:rsidRDefault="00A35244">
      <w:pPr>
        <w:pStyle w:val="Index1"/>
        <w:rPr>
          <w:noProof/>
        </w:rPr>
      </w:pPr>
      <w:r>
        <w:rPr>
          <w:noProof/>
        </w:rPr>
        <w:t>Abolitionismus  156</w:t>
      </w:r>
    </w:p>
    <w:p w:rsidR="00A35244" w:rsidRDefault="00A35244">
      <w:pPr>
        <w:pStyle w:val="Index1"/>
        <w:rPr>
          <w:noProof/>
        </w:rPr>
      </w:pPr>
      <w:r>
        <w:rPr>
          <w:noProof/>
        </w:rPr>
        <w:t>Alfred von Otjosazu  143</w:t>
      </w:r>
    </w:p>
    <w:p w:rsidR="00A35244" w:rsidRDefault="00A35244">
      <w:pPr>
        <w:pStyle w:val="Index1"/>
        <w:rPr>
          <w:noProof/>
        </w:rPr>
      </w:pPr>
      <w:r>
        <w:rPr>
          <w:noProof/>
        </w:rPr>
        <w:t>Amarula-Likör  71</w:t>
      </w:r>
    </w:p>
    <w:p w:rsidR="00A35244" w:rsidRDefault="00A35244">
      <w:pPr>
        <w:pStyle w:val="Index1"/>
        <w:rPr>
          <w:noProof/>
        </w:rPr>
      </w:pPr>
      <w:r>
        <w:rPr>
          <w:noProof/>
        </w:rPr>
        <w:t>Ameib  108</w:t>
      </w:r>
    </w:p>
    <w:p w:rsidR="00A35244" w:rsidRDefault="00A35244">
      <w:pPr>
        <w:pStyle w:val="Index1"/>
        <w:rPr>
          <w:noProof/>
        </w:rPr>
      </w:pPr>
      <w:r>
        <w:rPr>
          <w:noProof/>
        </w:rPr>
        <w:t>Antisemitismus  103, 153</w:t>
      </w:r>
    </w:p>
    <w:p w:rsidR="00A35244" w:rsidRDefault="00A35244">
      <w:pPr>
        <w:pStyle w:val="Index1"/>
        <w:rPr>
          <w:noProof/>
        </w:rPr>
      </w:pPr>
      <w:r>
        <w:rPr>
          <w:noProof/>
        </w:rPr>
        <w:t>Arbeitsethik, protestantische  66</w:t>
      </w:r>
    </w:p>
    <w:p w:rsidR="00A35244" w:rsidRDefault="00A35244">
      <w:pPr>
        <w:pStyle w:val="Index1"/>
        <w:rPr>
          <w:noProof/>
        </w:rPr>
      </w:pPr>
      <w:r>
        <w:rPr>
          <w:noProof/>
        </w:rPr>
        <w:t>Arenberg, Leutnant Prinz von  96</w:t>
      </w:r>
    </w:p>
    <w:p w:rsidR="00A35244" w:rsidRDefault="00A35244">
      <w:pPr>
        <w:pStyle w:val="Index1"/>
        <w:rPr>
          <w:noProof/>
        </w:rPr>
      </w:pPr>
      <w:r>
        <w:rPr>
          <w:noProof/>
        </w:rPr>
        <w:t>Aufstand  11, 73, 78, 86, 107, 114, 121, 128, 129, 131, 142, 165, 166, 171, 172, 173, 174, 176, 184</w:t>
      </w:r>
    </w:p>
    <w:p w:rsidR="00A35244" w:rsidRDefault="00A35244">
      <w:pPr>
        <w:pStyle w:val="Index1"/>
        <w:rPr>
          <w:noProof/>
        </w:rPr>
      </w:pPr>
      <w:r>
        <w:rPr>
          <w:noProof/>
        </w:rPr>
        <w:t>Augustinus von Hippo  104</w:t>
      </w:r>
    </w:p>
    <w:p w:rsidR="00A35244" w:rsidRDefault="00A35244">
      <w:pPr>
        <w:pStyle w:val="Index1"/>
        <w:rPr>
          <w:noProof/>
        </w:rPr>
      </w:pPr>
      <w:r>
        <w:rPr>
          <w:noProof/>
        </w:rPr>
        <w:t>Aus  23</w:t>
      </w:r>
    </w:p>
    <w:p w:rsidR="00A35244" w:rsidRDefault="00A35244">
      <w:pPr>
        <w:pStyle w:val="Index1"/>
        <w:rPr>
          <w:noProof/>
        </w:rPr>
      </w:pPr>
      <w:r>
        <w:rPr>
          <w:noProof/>
        </w:rPr>
        <w:t>Auz (Pastor in Windhuk)  110</w:t>
      </w:r>
    </w:p>
    <w:p w:rsidR="000F6FEF" w:rsidRPr="00DB1DF3" w:rsidRDefault="000F6FEF" w:rsidP="000F6FEF">
      <w:pPr>
        <w:pStyle w:val="Index1"/>
        <w:keepNext/>
        <w:spacing w:before="246" w:after="246"/>
        <w:ind w:left="238" w:hanging="238"/>
        <w:jc w:val="center"/>
        <w:rPr>
          <w:b/>
          <w:noProof/>
        </w:rPr>
      </w:pPr>
      <w:r>
        <w:rPr>
          <w:b/>
          <w:noProof/>
        </w:rPr>
        <w:t>B</w:t>
      </w:r>
    </w:p>
    <w:p w:rsidR="00A35244" w:rsidRDefault="00A35244">
      <w:pPr>
        <w:pStyle w:val="Index1"/>
        <w:rPr>
          <w:noProof/>
        </w:rPr>
      </w:pPr>
      <w:r>
        <w:rPr>
          <w:noProof/>
        </w:rPr>
        <w:t>Bam, Johannes  98, 127</w:t>
      </w:r>
    </w:p>
    <w:p w:rsidR="00A35244" w:rsidRDefault="00A35244">
      <w:pPr>
        <w:pStyle w:val="Index1"/>
        <w:rPr>
          <w:noProof/>
        </w:rPr>
      </w:pPr>
      <w:r>
        <w:rPr>
          <w:noProof/>
        </w:rPr>
        <w:t>Bantusprachen  182</w:t>
      </w:r>
    </w:p>
    <w:p w:rsidR="00A35244" w:rsidRDefault="00A35244">
      <w:pPr>
        <w:pStyle w:val="Index1"/>
        <w:rPr>
          <w:noProof/>
        </w:rPr>
      </w:pPr>
      <w:r>
        <w:rPr>
          <w:noProof/>
        </w:rPr>
        <w:t>Barack, Hauptmann  143</w:t>
      </w:r>
    </w:p>
    <w:p w:rsidR="00A35244" w:rsidRDefault="00A35244">
      <w:pPr>
        <w:pStyle w:val="Index1"/>
        <w:rPr>
          <w:noProof/>
        </w:rPr>
      </w:pPr>
      <w:r>
        <w:rPr>
          <w:noProof/>
        </w:rPr>
        <w:t>Barmen  11, 14, 15, 19, 23, 29, 44, 72, 130</w:t>
      </w:r>
    </w:p>
    <w:p w:rsidR="00A35244" w:rsidRDefault="00A35244">
      <w:pPr>
        <w:pStyle w:val="Index1"/>
        <w:rPr>
          <w:noProof/>
        </w:rPr>
      </w:pPr>
      <w:r>
        <w:rPr>
          <w:noProof/>
        </w:rPr>
        <w:t>Barth, Karl  104</w:t>
      </w:r>
    </w:p>
    <w:p w:rsidR="00A35244" w:rsidRDefault="00A35244">
      <w:pPr>
        <w:pStyle w:val="Index1"/>
        <w:rPr>
          <w:noProof/>
        </w:rPr>
      </w:pPr>
      <w:r>
        <w:rPr>
          <w:noProof/>
        </w:rPr>
        <w:t>Basler Mission  117</w:t>
      </w:r>
    </w:p>
    <w:p w:rsidR="00A35244" w:rsidRDefault="00A35244">
      <w:pPr>
        <w:pStyle w:val="Index1"/>
        <w:rPr>
          <w:noProof/>
        </w:rPr>
      </w:pPr>
      <w:r>
        <w:rPr>
          <w:noProof/>
        </w:rPr>
        <w:t>Bastards  52, 74, 75</w:t>
      </w:r>
    </w:p>
    <w:p w:rsidR="00A35244" w:rsidRDefault="00A35244">
      <w:pPr>
        <w:pStyle w:val="Index1"/>
        <w:rPr>
          <w:noProof/>
        </w:rPr>
      </w:pPr>
      <w:r>
        <w:rPr>
          <w:noProof/>
        </w:rPr>
        <w:t>Baumann, Br.  21, 27, 40, 147, 148, 159</w:t>
      </w:r>
    </w:p>
    <w:p w:rsidR="00A35244" w:rsidRDefault="00A35244">
      <w:pPr>
        <w:pStyle w:val="Index1"/>
        <w:rPr>
          <w:noProof/>
        </w:rPr>
      </w:pPr>
      <w:r>
        <w:rPr>
          <w:noProof/>
        </w:rPr>
        <w:t>Bergdamra  59, 73, 74, 75, 81, 109, 126, 127, 131, 170, 179</w:t>
      </w:r>
    </w:p>
    <w:p w:rsidR="00A35244" w:rsidRDefault="00A35244">
      <w:pPr>
        <w:pStyle w:val="Index1"/>
        <w:rPr>
          <w:noProof/>
        </w:rPr>
      </w:pPr>
      <w:r>
        <w:rPr>
          <w:noProof/>
        </w:rPr>
        <w:t>Berliner Mission  16, 76, 77, 113, 146, 147</w:t>
      </w:r>
    </w:p>
    <w:p w:rsidR="00A35244" w:rsidRDefault="00A35244">
      <w:pPr>
        <w:pStyle w:val="Index1"/>
        <w:rPr>
          <w:noProof/>
        </w:rPr>
      </w:pPr>
      <w:r>
        <w:rPr>
          <w:noProof/>
        </w:rPr>
        <w:t>Bernsmann, Br.  21, 22, 141</w:t>
      </w:r>
    </w:p>
    <w:p w:rsidR="00A35244" w:rsidRDefault="00A35244">
      <w:pPr>
        <w:pStyle w:val="Index1"/>
        <w:rPr>
          <w:noProof/>
        </w:rPr>
      </w:pPr>
      <w:r>
        <w:rPr>
          <w:noProof/>
        </w:rPr>
        <w:t>Berseba  23</w:t>
      </w:r>
    </w:p>
    <w:p w:rsidR="00A35244" w:rsidRDefault="00A35244">
      <w:pPr>
        <w:pStyle w:val="Index1"/>
        <w:rPr>
          <w:noProof/>
        </w:rPr>
      </w:pPr>
      <w:r w:rsidRPr="000C7DF5">
        <w:rPr>
          <w:noProof/>
          <w:lang w:val="en-GB"/>
        </w:rPr>
        <w:t>Bethanien</w:t>
      </w:r>
      <w:r>
        <w:rPr>
          <w:noProof/>
        </w:rPr>
        <w:t xml:space="preserve">  23, 27, 84, 98, 127, 138</w:t>
      </w:r>
    </w:p>
    <w:p w:rsidR="00A35244" w:rsidRDefault="00A35244">
      <w:pPr>
        <w:pStyle w:val="Index1"/>
        <w:rPr>
          <w:noProof/>
        </w:rPr>
      </w:pPr>
      <w:r>
        <w:rPr>
          <w:noProof/>
        </w:rPr>
        <w:t>Betschuanaland  99, 177</w:t>
      </w:r>
    </w:p>
    <w:p w:rsidR="00A35244" w:rsidRDefault="00A35244">
      <w:pPr>
        <w:pStyle w:val="Index1"/>
        <w:rPr>
          <w:noProof/>
        </w:rPr>
      </w:pPr>
      <w:r>
        <w:rPr>
          <w:noProof/>
        </w:rPr>
        <w:lastRenderedPageBreak/>
        <w:t>Bhabha, Homi K.  46, 48</w:t>
      </w:r>
    </w:p>
    <w:p w:rsidR="00A35244" w:rsidRDefault="00A35244">
      <w:pPr>
        <w:pStyle w:val="Index1"/>
        <w:rPr>
          <w:noProof/>
        </w:rPr>
      </w:pPr>
      <w:r>
        <w:rPr>
          <w:noProof/>
        </w:rPr>
        <w:t>Bibel  69, 83, 85</w:t>
      </w:r>
    </w:p>
    <w:p w:rsidR="00A35244" w:rsidRDefault="00A35244">
      <w:pPr>
        <w:pStyle w:val="Index1"/>
        <w:rPr>
          <w:noProof/>
        </w:rPr>
      </w:pPr>
      <w:r>
        <w:rPr>
          <w:noProof/>
        </w:rPr>
        <w:t>Bibelkritik  14</w:t>
      </w:r>
    </w:p>
    <w:p w:rsidR="00A35244" w:rsidRDefault="00A35244">
      <w:pPr>
        <w:pStyle w:val="Index1"/>
        <w:rPr>
          <w:noProof/>
        </w:rPr>
      </w:pPr>
      <w:r>
        <w:rPr>
          <w:noProof/>
        </w:rPr>
        <w:t>Bismarck, Herbert von  113</w:t>
      </w:r>
    </w:p>
    <w:p w:rsidR="00A35244" w:rsidRDefault="00A35244">
      <w:pPr>
        <w:pStyle w:val="Index1"/>
        <w:rPr>
          <w:noProof/>
        </w:rPr>
      </w:pPr>
      <w:r>
        <w:rPr>
          <w:noProof/>
        </w:rPr>
        <w:t>Bismarck, Otto von  122</w:t>
      </w:r>
    </w:p>
    <w:p w:rsidR="00A35244" w:rsidRDefault="00A35244">
      <w:pPr>
        <w:pStyle w:val="Index1"/>
        <w:rPr>
          <w:noProof/>
        </w:rPr>
      </w:pPr>
      <w:r>
        <w:rPr>
          <w:noProof/>
        </w:rPr>
        <w:t>Blecher, Geschw.  21, 23, 26, 34, 36, 108, 129, 142</w:t>
      </w:r>
    </w:p>
    <w:p w:rsidR="00A35244" w:rsidRDefault="00A35244">
      <w:pPr>
        <w:pStyle w:val="Index1"/>
        <w:rPr>
          <w:noProof/>
        </w:rPr>
      </w:pPr>
      <w:r>
        <w:rPr>
          <w:noProof/>
        </w:rPr>
        <w:t>Bondelswart  184, 185</w:t>
      </w:r>
    </w:p>
    <w:p w:rsidR="00A35244" w:rsidRDefault="00A35244">
      <w:pPr>
        <w:pStyle w:val="Index1"/>
        <w:rPr>
          <w:noProof/>
        </w:rPr>
      </w:pPr>
      <w:r>
        <w:rPr>
          <w:noProof/>
        </w:rPr>
        <w:t>Bongard, Oskar  178</w:t>
      </w:r>
    </w:p>
    <w:p w:rsidR="00A35244" w:rsidRDefault="00A35244">
      <w:pPr>
        <w:pStyle w:val="Index1"/>
        <w:rPr>
          <w:noProof/>
        </w:rPr>
      </w:pPr>
      <w:r>
        <w:rPr>
          <w:noProof/>
        </w:rPr>
        <w:t>Boppard am Rhein  14</w:t>
      </w:r>
    </w:p>
    <w:p w:rsidR="00A35244" w:rsidRDefault="00A35244">
      <w:pPr>
        <w:pStyle w:val="Index1"/>
        <w:rPr>
          <w:noProof/>
        </w:rPr>
      </w:pPr>
      <w:r>
        <w:rPr>
          <w:noProof/>
        </w:rPr>
        <w:t>Brincker, Peter Heinrich  90</w:t>
      </w:r>
    </w:p>
    <w:p w:rsidR="00A35244" w:rsidRDefault="00A35244">
      <w:pPr>
        <w:pStyle w:val="Index1"/>
        <w:rPr>
          <w:noProof/>
        </w:rPr>
      </w:pPr>
      <w:r>
        <w:rPr>
          <w:noProof/>
        </w:rPr>
        <w:t>Brokmann, Friedrich  28</w:t>
      </w:r>
    </w:p>
    <w:p w:rsidR="00A35244" w:rsidRDefault="00A35244">
      <w:pPr>
        <w:pStyle w:val="Index1"/>
        <w:rPr>
          <w:noProof/>
        </w:rPr>
      </w:pPr>
      <w:r>
        <w:rPr>
          <w:noProof/>
        </w:rPr>
        <w:t>Brokmann, Geschw.  22, 29, 59, 73, 86, 149</w:t>
      </w:r>
    </w:p>
    <w:p w:rsidR="00A35244" w:rsidRDefault="00A35244">
      <w:pPr>
        <w:pStyle w:val="Index1"/>
        <w:rPr>
          <w:noProof/>
        </w:rPr>
      </w:pPr>
      <w:r>
        <w:rPr>
          <w:noProof/>
        </w:rPr>
        <w:t>Brüdergemeine (Herrnhuter Mission)  16, 111</w:t>
      </w:r>
    </w:p>
    <w:p w:rsidR="00A35244" w:rsidRDefault="00A35244">
      <w:pPr>
        <w:pStyle w:val="Index1"/>
        <w:rPr>
          <w:noProof/>
        </w:rPr>
      </w:pPr>
      <w:r>
        <w:rPr>
          <w:noProof/>
        </w:rPr>
        <w:t>Bülow, Bernhard von  114</w:t>
      </w:r>
    </w:p>
    <w:p w:rsidR="00A35244" w:rsidRDefault="00A35244">
      <w:pPr>
        <w:pStyle w:val="Index1"/>
        <w:rPr>
          <w:noProof/>
        </w:rPr>
      </w:pPr>
      <w:r>
        <w:rPr>
          <w:noProof/>
        </w:rPr>
        <w:t>Buren  52, 100, 105, 125, 129, 145, 146, 149, 150</w:t>
      </w:r>
    </w:p>
    <w:p w:rsidR="00A35244" w:rsidRDefault="00A35244">
      <w:pPr>
        <w:pStyle w:val="Index1"/>
        <w:rPr>
          <w:noProof/>
        </w:rPr>
      </w:pPr>
      <w:r>
        <w:rPr>
          <w:noProof/>
        </w:rPr>
        <w:t>Burenkriege  145, 149</w:t>
      </w:r>
    </w:p>
    <w:p w:rsidR="000F6FEF" w:rsidRPr="00DB1DF3" w:rsidRDefault="000F6FEF" w:rsidP="000F6FEF">
      <w:pPr>
        <w:pStyle w:val="Index1"/>
        <w:keepNext/>
        <w:spacing w:before="246" w:after="246"/>
        <w:ind w:left="238" w:hanging="238"/>
        <w:jc w:val="center"/>
        <w:rPr>
          <w:b/>
          <w:noProof/>
        </w:rPr>
      </w:pPr>
      <w:r>
        <w:rPr>
          <w:b/>
          <w:noProof/>
        </w:rPr>
        <w:t>C</w:t>
      </w:r>
    </w:p>
    <w:p w:rsidR="00A35244" w:rsidRDefault="00A35244">
      <w:pPr>
        <w:pStyle w:val="Index1"/>
        <w:rPr>
          <w:noProof/>
        </w:rPr>
      </w:pPr>
      <w:r>
        <w:rPr>
          <w:noProof/>
        </w:rPr>
        <w:t>Central-Verein für Handelsgeographie und Förderung deutscher Interessen im Auslande  56</w:t>
      </w:r>
    </w:p>
    <w:p w:rsidR="00A35244" w:rsidRDefault="00A35244">
      <w:pPr>
        <w:pStyle w:val="Index1"/>
        <w:rPr>
          <w:noProof/>
        </w:rPr>
      </w:pPr>
      <w:r w:rsidRPr="000C7DF5">
        <w:rPr>
          <w:noProof/>
          <w:lang w:val="en-GB"/>
        </w:rPr>
        <w:t>Ceres Road</w:t>
      </w:r>
      <w:r>
        <w:rPr>
          <w:noProof/>
        </w:rPr>
        <w:t xml:space="preserve">  20, 23</w:t>
      </w:r>
    </w:p>
    <w:p w:rsidR="00A35244" w:rsidRDefault="00A35244">
      <w:pPr>
        <w:pStyle w:val="Index1"/>
        <w:rPr>
          <w:noProof/>
        </w:rPr>
      </w:pPr>
      <w:r>
        <w:rPr>
          <w:noProof/>
        </w:rPr>
        <w:t>Chinin  27</w:t>
      </w:r>
    </w:p>
    <w:p w:rsidR="00A35244" w:rsidRDefault="00A35244">
      <w:pPr>
        <w:pStyle w:val="Index1"/>
        <w:rPr>
          <w:noProof/>
        </w:rPr>
      </w:pPr>
      <w:r>
        <w:rPr>
          <w:noProof/>
        </w:rPr>
        <w:t>Christentum  54, 61, 82, 83, 86, 91, 105, 125, 139, 141</w:t>
      </w:r>
    </w:p>
    <w:p w:rsidR="00A35244" w:rsidRDefault="00A35244">
      <w:pPr>
        <w:pStyle w:val="Index1"/>
        <w:rPr>
          <w:noProof/>
        </w:rPr>
      </w:pPr>
      <w:r>
        <w:rPr>
          <w:noProof/>
        </w:rPr>
        <w:t>Christianisierung  83, 91, 107, 121, 124, 172</w:t>
      </w:r>
    </w:p>
    <w:p w:rsidR="00A35244" w:rsidRDefault="00A35244">
      <w:pPr>
        <w:pStyle w:val="Index1"/>
        <w:rPr>
          <w:noProof/>
        </w:rPr>
      </w:pPr>
      <w:r>
        <w:rPr>
          <w:noProof/>
        </w:rPr>
        <w:t>civitas dei  104</w:t>
      </w:r>
    </w:p>
    <w:p w:rsidR="00A35244" w:rsidRDefault="00A35244">
      <w:pPr>
        <w:pStyle w:val="Index1"/>
        <w:rPr>
          <w:noProof/>
        </w:rPr>
      </w:pPr>
      <w:r>
        <w:rPr>
          <w:noProof/>
        </w:rPr>
        <w:t>civitas diaboli  104</w:t>
      </w:r>
    </w:p>
    <w:p w:rsidR="00A35244" w:rsidRDefault="00A35244">
      <w:pPr>
        <w:pStyle w:val="Index1"/>
        <w:rPr>
          <w:noProof/>
        </w:rPr>
      </w:pPr>
      <w:r w:rsidRPr="000C7DF5">
        <w:rPr>
          <w:noProof/>
          <w:lang w:val="en-GB"/>
        </w:rPr>
        <w:t>Clan William</w:t>
      </w:r>
      <w:r>
        <w:rPr>
          <w:noProof/>
        </w:rPr>
        <w:t xml:space="preserve">  23</w:t>
      </w:r>
    </w:p>
    <w:p w:rsidR="00A35244" w:rsidRDefault="00A35244">
      <w:pPr>
        <w:pStyle w:val="Index1"/>
        <w:rPr>
          <w:noProof/>
        </w:rPr>
      </w:pPr>
      <w:r>
        <w:rPr>
          <w:noProof/>
        </w:rPr>
        <w:t>Clöte, Petrus  119</w:t>
      </w:r>
    </w:p>
    <w:p w:rsidR="00A35244" w:rsidRDefault="00A35244">
      <w:pPr>
        <w:pStyle w:val="Index1"/>
        <w:rPr>
          <w:noProof/>
        </w:rPr>
      </w:pPr>
      <w:r>
        <w:rPr>
          <w:noProof/>
        </w:rPr>
        <w:lastRenderedPageBreak/>
        <w:t>Concordia  20, 23, 95</w:t>
      </w:r>
    </w:p>
    <w:p w:rsidR="00A35244" w:rsidRDefault="00A35244">
      <w:pPr>
        <w:pStyle w:val="Index1"/>
        <w:rPr>
          <w:noProof/>
        </w:rPr>
      </w:pPr>
      <w:r>
        <w:rPr>
          <w:noProof/>
        </w:rPr>
        <w:t>coram deo  104</w:t>
      </w:r>
    </w:p>
    <w:p w:rsidR="00A35244" w:rsidRDefault="00A35244">
      <w:pPr>
        <w:pStyle w:val="Index1"/>
        <w:rPr>
          <w:noProof/>
        </w:rPr>
      </w:pPr>
      <w:r>
        <w:rPr>
          <w:noProof/>
        </w:rPr>
        <w:t>coram mundo  104</w:t>
      </w:r>
    </w:p>
    <w:p w:rsidR="000F6FEF" w:rsidRPr="00DB1DF3" w:rsidRDefault="000F6FEF" w:rsidP="000F6FEF">
      <w:pPr>
        <w:pStyle w:val="Index1"/>
        <w:keepNext/>
        <w:spacing w:before="246" w:after="246"/>
        <w:ind w:left="238" w:hanging="238"/>
        <w:jc w:val="center"/>
        <w:rPr>
          <w:b/>
          <w:noProof/>
        </w:rPr>
      </w:pPr>
      <w:r>
        <w:rPr>
          <w:b/>
          <w:noProof/>
        </w:rPr>
        <w:t>D</w:t>
      </w:r>
    </w:p>
    <w:p w:rsidR="00A35244" w:rsidRDefault="00A35244">
      <w:pPr>
        <w:pStyle w:val="Index1"/>
        <w:rPr>
          <w:noProof/>
        </w:rPr>
      </w:pPr>
      <w:r>
        <w:rPr>
          <w:noProof/>
        </w:rPr>
        <w:t>Dannert, Geschw.  21, 22, 30, 116, 162</w:t>
      </w:r>
    </w:p>
    <w:p w:rsidR="00A35244" w:rsidRDefault="00A35244">
      <w:pPr>
        <w:pStyle w:val="Index1"/>
        <w:rPr>
          <w:noProof/>
        </w:rPr>
      </w:pPr>
      <w:r>
        <w:rPr>
          <w:noProof/>
        </w:rPr>
        <w:t>Davids, Simon  58</w:t>
      </w:r>
    </w:p>
    <w:p w:rsidR="00A35244" w:rsidRDefault="00A35244">
      <w:pPr>
        <w:pStyle w:val="Index1"/>
        <w:rPr>
          <w:noProof/>
        </w:rPr>
      </w:pPr>
      <w:r>
        <w:rPr>
          <w:noProof/>
        </w:rPr>
        <w:t>Deimling, Oberst von  185</w:t>
      </w:r>
    </w:p>
    <w:p w:rsidR="00A35244" w:rsidRDefault="00A35244">
      <w:pPr>
        <w:pStyle w:val="Index1"/>
        <w:rPr>
          <w:noProof/>
        </w:rPr>
      </w:pPr>
      <w:r>
        <w:rPr>
          <w:noProof/>
        </w:rPr>
        <w:t>Deleuze, Gilles  157, 158</w:t>
      </w:r>
    </w:p>
    <w:p w:rsidR="00A35244" w:rsidRDefault="00A35244">
      <w:pPr>
        <w:pStyle w:val="Index1"/>
        <w:rPr>
          <w:noProof/>
        </w:rPr>
      </w:pPr>
      <w:r>
        <w:rPr>
          <w:noProof/>
        </w:rPr>
        <w:t>Deputation der RMG  11, 16, 29, 44, 57, 110, 137, 138</w:t>
      </w:r>
    </w:p>
    <w:p w:rsidR="00A35244" w:rsidRDefault="00A35244">
      <w:pPr>
        <w:pStyle w:val="Index1"/>
        <w:rPr>
          <w:noProof/>
        </w:rPr>
      </w:pPr>
      <w:r>
        <w:rPr>
          <w:noProof/>
        </w:rPr>
        <w:t>Dernburg, Bernhard (Staatssekretär)  130</w:t>
      </w:r>
    </w:p>
    <w:p w:rsidR="00A35244" w:rsidRDefault="00A35244">
      <w:pPr>
        <w:pStyle w:val="Index1"/>
        <w:rPr>
          <w:noProof/>
        </w:rPr>
      </w:pPr>
      <w:r>
        <w:rPr>
          <w:noProof/>
        </w:rPr>
        <w:t>Detering, Br.  21, 36</w:t>
      </w:r>
    </w:p>
    <w:p w:rsidR="00A35244" w:rsidRDefault="00A35244">
      <w:pPr>
        <w:pStyle w:val="Index1"/>
        <w:rPr>
          <w:noProof/>
        </w:rPr>
      </w:pPr>
      <w:r>
        <w:rPr>
          <w:noProof/>
        </w:rPr>
        <w:t>Diehl, Br.  21, 22, 74, 99, 116, 143</w:t>
      </w:r>
    </w:p>
    <w:p w:rsidR="00A35244" w:rsidRDefault="00A35244">
      <w:pPr>
        <w:pStyle w:val="Index1"/>
        <w:rPr>
          <w:noProof/>
        </w:rPr>
      </w:pPr>
      <w:r>
        <w:rPr>
          <w:noProof/>
        </w:rPr>
        <w:t>Diskurs  12, 45, 46, 47, 48, 68, 138, 156, 158</w:t>
      </w:r>
    </w:p>
    <w:p w:rsidR="00A35244" w:rsidRDefault="00A35244">
      <w:pPr>
        <w:pStyle w:val="Index1"/>
        <w:rPr>
          <w:noProof/>
        </w:rPr>
      </w:pPr>
      <w:r>
        <w:rPr>
          <w:noProof/>
        </w:rPr>
        <w:t>Diskursanalyse  47</w:t>
      </w:r>
    </w:p>
    <w:p w:rsidR="00A35244" w:rsidRDefault="00A35244">
      <w:pPr>
        <w:pStyle w:val="Index1"/>
        <w:rPr>
          <w:noProof/>
        </w:rPr>
      </w:pPr>
      <w:r>
        <w:rPr>
          <w:noProof/>
        </w:rPr>
        <w:t>Doenges, Br.  20, 23, 41</w:t>
      </w:r>
    </w:p>
    <w:p w:rsidR="00A35244" w:rsidRDefault="00A35244">
      <w:pPr>
        <w:pStyle w:val="Index1"/>
        <w:rPr>
          <w:noProof/>
        </w:rPr>
      </w:pPr>
      <w:r>
        <w:rPr>
          <w:noProof/>
        </w:rPr>
        <w:t>double bind  128</w:t>
      </w:r>
    </w:p>
    <w:p w:rsidR="00A35244" w:rsidRDefault="00A35244">
      <w:pPr>
        <w:pStyle w:val="Index1"/>
        <w:rPr>
          <w:noProof/>
        </w:rPr>
      </w:pPr>
      <w:r>
        <w:rPr>
          <w:noProof/>
        </w:rPr>
        <w:t>Doversches Pulver  27</w:t>
      </w:r>
    </w:p>
    <w:p w:rsidR="00A35244" w:rsidRDefault="00A35244">
      <w:pPr>
        <w:pStyle w:val="Index1"/>
        <w:rPr>
          <w:noProof/>
        </w:rPr>
      </w:pPr>
      <w:r>
        <w:rPr>
          <w:noProof/>
        </w:rPr>
        <w:t>Doyle, Arthur Conan  145, 146</w:t>
      </w:r>
    </w:p>
    <w:p w:rsidR="00A35244" w:rsidRDefault="00A35244">
      <w:pPr>
        <w:pStyle w:val="Index1"/>
        <w:rPr>
          <w:noProof/>
        </w:rPr>
      </w:pPr>
      <w:r>
        <w:rPr>
          <w:noProof/>
        </w:rPr>
        <w:t>Drießler, Heinrich  173</w:t>
      </w:r>
    </w:p>
    <w:p w:rsidR="000F6FEF" w:rsidRPr="00DB1DF3" w:rsidRDefault="000F6FEF" w:rsidP="000F6FEF">
      <w:pPr>
        <w:pStyle w:val="Index1"/>
        <w:keepNext/>
        <w:spacing w:before="246" w:after="246"/>
        <w:ind w:left="238" w:hanging="238"/>
        <w:jc w:val="center"/>
        <w:rPr>
          <w:b/>
          <w:noProof/>
        </w:rPr>
      </w:pPr>
      <w:r>
        <w:rPr>
          <w:b/>
          <w:noProof/>
        </w:rPr>
        <w:t>E</w:t>
      </w:r>
    </w:p>
    <w:p w:rsidR="00A35244" w:rsidRDefault="00A35244">
      <w:pPr>
        <w:pStyle w:val="Index1"/>
        <w:rPr>
          <w:noProof/>
        </w:rPr>
      </w:pPr>
      <w:r>
        <w:rPr>
          <w:noProof/>
        </w:rPr>
        <w:t>Eich (Präses der RMG in der Kapprovinz)  16, 17, 20, 21, 22, 23, 33, 34, 36, 106, 109, 117, 167, 169, 176</w:t>
      </w:r>
    </w:p>
    <w:p w:rsidR="00A35244" w:rsidRDefault="00A35244">
      <w:pPr>
        <w:pStyle w:val="Index1"/>
        <w:rPr>
          <w:noProof/>
        </w:rPr>
      </w:pPr>
      <w:r>
        <w:rPr>
          <w:noProof/>
        </w:rPr>
        <w:t>Eisenbahnbau  59, 67, 92, 166, 181</w:t>
      </w:r>
    </w:p>
    <w:p w:rsidR="00A35244" w:rsidRDefault="00A35244">
      <w:pPr>
        <w:pStyle w:val="Index1"/>
        <w:rPr>
          <w:noProof/>
        </w:rPr>
      </w:pPr>
      <w:r>
        <w:rPr>
          <w:noProof/>
        </w:rPr>
        <w:t>Eisenberg, Br.  23</w:t>
      </w:r>
    </w:p>
    <w:p w:rsidR="00A35244" w:rsidRDefault="00A35244">
      <w:pPr>
        <w:pStyle w:val="Index1"/>
        <w:rPr>
          <w:noProof/>
        </w:rPr>
      </w:pPr>
      <w:r>
        <w:rPr>
          <w:noProof/>
        </w:rPr>
        <w:t>Elger, Geschw.  20, 22, 80, 159, 167, 170, 178</w:t>
      </w:r>
    </w:p>
    <w:p w:rsidR="00A35244" w:rsidRDefault="00A35244">
      <w:pPr>
        <w:pStyle w:val="Index1"/>
        <w:rPr>
          <w:noProof/>
        </w:rPr>
      </w:pPr>
      <w:r>
        <w:rPr>
          <w:noProof/>
        </w:rPr>
        <w:t>Engelbrecht, Moses  119</w:t>
      </w:r>
    </w:p>
    <w:p w:rsidR="00A35244" w:rsidRDefault="00A35244">
      <w:pPr>
        <w:pStyle w:val="Index1"/>
        <w:rPr>
          <w:noProof/>
        </w:rPr>
      </w:pPr>
      <w:r>
        <w:rPr>
          <w:noProof/>
        </w:rPr>
        <w:t>Epukiro  134</w:t>
      </w:r>
    </w:p>
    <w:p w:rsidR="00A35244" w:rsidRDefault="00A35244">
      <w:pPr>
        <w:pStyle w:val="Index1"/>
        <w:rPr>
          <w:noProof/>
        </w:rPr>
      </w:pPr>
      <w:r>
        <w:rPr>
          <w:noProof/>
        </w:rPr>
        <w:t>Exorzismus  76</w:t>
      </w:r>
    </w:p>
    <w:p w:rsidR="000F6FEF" w:rsidRPr="00DB1DF3" w:rsidRDefault="000F6FEF" w:rsidP="000F6FEF">
      <w:pPr>
        <w:pStyle w:val="Index1"/>
        <w:keepNext/>
        <w:spacing w:before="246" w:after="246"/>
        <w:ind w:left="238" w:hanging="238"/>
        <w:jc w:val="center"/>
        <w:rPr>
          <w:b/>
          <w:noProof/>
        </w:rPr>
      </w:pPr>
      <w:r>
        <w:rPr>
          <w:b/>
          <w:noProof/>
        </w:rPr>
        <w:t>F</w:t>
      </w:r>
    </w:p>
    <w:p w:rsidR="00A35244" w:rsidRDefault="00A35244">
      <w:pPr>
        <w:pStyle w:val="Index1"/>
        <w:rPr>
          <w:noProof/>
        </w:rPr>
      </w:pPr>
      <w:r>
        <w:rPr>
          <w:noProof/>
        </w:rPr>
        <w:t>Fabri, Friedrich  94, 122, 154</w:t>
      </w:r>
    </w:p>
    <w:p w:rsidR="00A35244" w:rsidRDefault="00A35244">
      <w:pPr>
        <w:pStyle w:val="Index1"/>
        <w:rPr>
          <w:noProof/>
        </w:rPr>
      </w:pPr>
      <w:r>
        <w:rPr>
          <w:noProof/>
        </w:rPr>
        <w:lastRenderedPageBreak/>
        <w:t>Fanon, Frantz  49</w:t>
      </w:r>
    </w:p>
    <w:p w:rsidR="00A35244" w:rsidRDefault="00A35244">
      <w:pPr>
        <w:pStyle w:val="Index1"/>
        <w:rPr>
          <w:noProof/>
        </w:rPr>
      </w:pPr>
      <w:r>
        <w:rPr>
          <w:noProof/>
        </w:rPr>
        <w:t>Fenchel, Br. (Präses im Groß-Namaland)  23</w:t>
      </w:r>
    </w:p>
    <w:p w:rsidR="00A35244" w:rsidRDefault="00A35244">
      <w:pPr>
        <w:pStyle w:val="Index1"/>
        <w:rPr>
          <w:noProof/>
        </w:rPr>
      </w:pPr>
      <w:r>
        <w:rPr>
          <w:noProof/>
        </w:rPr>
        <w:t>Finnische Brüder (Ovambomission)  75, 112, 130</w:t>
      </w:r>
    </w:p>
    <w:p w:rsidR="00A35244" w:rsidRDefault="00A35244">
      <w:pPr>
        <w:pStyle w:val="Index1"/>
        <w:rPr>
          <w:noProof/>
        </w:rPr>
      </w:pPr>
      <w:r>
        <w:rPr>
          <w:noProof/>
        </w:rPr>
        <w:t>Forster, Georg  51</w:t>
      </w:r>
    </w:p>
    <w:p w:rsidR="00A35244" w:rsidRDefault="00A35244">
      <w:pPr>
        <w:pStyle w:val="Index1"/>
        <w:rPr>
          <w:noProof/>
        </w:rPr>
      </w:pPr>
      <w:r>
        <w:rPr>
          <w:noProof/>
        </w:rPr>
        <w:t>Foucault, Michel  47</w:t>
      </w:r>
    </w:p>
    <w:p w:rsidR="00A35244" w:rsidRDefault="00A35244">
      <w:pPr>
        <w:pStyle w:val="Index1"/>
        <w:rPr>
          <w:noProof/>
        </w:rPr>
      </w:pPr>
      <w:r>
        <w:rPr>
          <w:noProof/>
        </w:rPr>
        <w:t>Frankenberg, Leutnant von  170, 183</w:t>
      </w:r>
    </w:p>
    <w:p w:rsidR="00A35244" w:rsidRDefault="00A35244">
      <w:pPr>
        <w:pStyle w:val="Index1"/>
        <w:rPr>
          <w:noProof/>
        </w:rPr>
      </w:pPr>
      <w:r>
        <w:rPr>
          <w:noProof/>
        </w:rPr>
        <w:t>Franz (Schullehrer in Windhuk)  126, 127</w:t>
      </w:r>
    </w:p>
    <w:p w:rsidR="00A35244" w:rsidRDefault="00A35244">
      <w:pPr>
        <w:pStyle w:val="Index1"/>
        <w:rPr>
          <w:noProof/>
        </w:rPr>
      </w:pPr>
      <w:r>
        <w:rPr>
          <w:noProof/>
        </w:rPr>
        <w:t>Franzfontein  28, 171</w:t>
      </w:r>
    </w:p>
    <w:p w:rsidR="00A35244" w:rsidRDefault="00A35244">
      <w:pPr>
        <w:pStyle w:val="Index1"/>
        <w:rPr>
          <w:noProof/>
        </w:rPr>
      </w:pPr>
      <w:r>
        <w:rPr>
          <w:noProof/>
        </w:rPr>
        <w:t>Frederiks, David Chr</w:t>
      </w:r>
      <w:r w:rsidR="002C229D">
        <w:rPr>
          <w:noProof/>
        </w:rPr>
        <w:t>istian</w:t>
      </w:r>
      <w:r>
        <w:rPr>
          <w:noProof/>
        </w:rPr>
        <w:t xml:space="preserve">  98</w:t>
      </w:r>
    </w:p>
    <w:p w:rsidR="00A35244" w:rsidRDefault="00A35244">
      <w:pPr>
        <w:pStyle w:val="Index1"/>
        <w:rPr>
          <w:noProof/>
        </w:rPr>
      </w:pPr>
      <w:r>
        <w:rPr>
          <w:noProof/>
        </w:rPr>
        <w:t>Frederiks, Joseph  98</w:t>
      </w:r>
    </w:p>
    <w:p w:rsidR="00A35244" w:rsidRDefault="00A35244">
      <w:pPr>
        <w:pStyle w:val="Index1"/>
        <w:rPr>
          <w:noProof/>
        </w:rPr>
      </w:pPr>
      <w:r>
        <w:rPr>
          <w:noProof/>
        </w:rPr>
        <w:t>Frederiks, Paul  98</w:t>
      </w:r>
    </w:p>
    <w:p w:rsidR="00A35244" w:rsidRDefault="00A35244">
      <w:pPr>
        <w:pStyle w:val="Index1"/>
        <w:rPr>
          <w:noProof/>
        </w:rPr>
      </w:pPr>
      <w:r>
        <w:rPr>
          <w:noProof/>
        </w:rPr>
        <w:t>Freud, Sigmund  156</w:t>
      </w:r>
    </w:p>
    <w:p w:rsidR="00A35244" w:rsidRDefault="00A35244">
      <w:pPr>
        <w:pStyle w:val="Index1"/>
        <w:rPr>
          <w:noProof/>
        </w:rPr>
      </w:pPr>
      <w:r>
        <w:rPr>
          <w:noProof/>
        </w:rPr>
        <w:t>Friedrich, Major  164</w:t>
      </w:r>
    </w:p>
    <w:p w:rsidR="000F6FEF" w:rsidRPr="00DB1DF3" w:rsidRDefault="000F6FEF" w:rsidP="000F6FEF">
      <w:pPr>
        <w:pStyle w:val="Index1"/>
        <w:keepNext/>
        <w:spacing w:before="246" w:after="246"/>
        <w:ind w:left="238" w:hanging="238"/>
        <w:jc w:val="center"/>
        <w:rPr>
          <w:b/>
          <w:noProof/>
        </w:rPr>
      </w:pPr>
      <w:r>
        <w:rPr>
          <w:b/>
          <w:noProof/>
        </w:rPr>
        <w:t>G</w:t>
      </w:r>
    </w:p>
    <w:p w:rsidR="00A35244" w:rsidRDefault="00A35244">
      <w:pPr>
        <w:pStyle w:val="Index1"/>
        <w:rPr>
          <w:noProof/>
        </w:rPr>
      </w:pPr>
      <w:r>
        <w:rPr>
          <w:noProof/>
        </w:rPr>
        <w:t>Gandhi, Leela  48</w:t>
      </w:r>
    </w:p>
    <w:p w:rsidR="00A35244" w:rsidRDefault="00A35244">
      <w:pPr>
        <w:pStyle w:val="Index1"/>
        <w:rPr>
          <w:noProof/>
        </w:rPr>
      </w:pPr>
      <w:r>
        <w:rPr>
          <w:noProof/>
        </w:rPr>
        <w:t>Gandhi, Mahatma  49</w:t>
      </w:r>
    </w:p>
    <w:p w:rsidR="00A35244" w:rsidRDefault="00A35244">
      <w:pPr>
        <w:pStyle w:val="Index1"/>
        <w:rPr>
          <w:noProof/>
        </w:rPr>
      </w:pPr>
      <w:r w:rsidRPr="000C7DF5">
        <w:rPr>
          <w:noProof/>
          <w:lang w:val="it-IT"/>
        </w:rPr>
        <w:t>Gaub</w:t>
      </w:r>
      <w:r>
        <w:rPr>
          <w:noProof/>
        </w:rPr>
        <w:t xml:space="preserve">  21, 22, 31, 59, 70, 90</w:t>
      </w:r>
    </w:p>
    <w:p w:rsidR="00A35244" w:rsidRDefault="00A35244">
      <w:pPr>
        <w:pStyle w:val="Index1"/>
        <w:rPr>
          <w:noProof/>
        </w:rPr>
      </w:pPr>
      <w:r>
        <w:rPr>
          <w:noProof/>
        </w:rPr>
        <w:t>Geschlechtskrankheiten  84, 142, 163, 164, 171, 178</w:t>
      </w:r>
    </w:p>
    <w:p w:rsidR="00A35244" w:rsidRDefault="00A35244">
      <w:pPr>
        <w:pStyle w:val="Index1"/>
        <w:rPr>
          <w:noProof/>
        </w:rPr>
      </w:pPr>
      <w:r w:rsidRPr="000C7DF5">
        <w:rPr>
          <w:noProof/>
          <w:lang w:val="en-GB"/>
        </w:rPr>
        <w:t>Gibeon</w:t>
      </w:r>
      <w:r>
        <w:rPr>
          <w:noProof/>
        </w:rPr>
        <w:t xml:space="preserve">  23</w:t>
      </w:r>
    </w:p>
    <w:p w:rsidR="00A35244" w:rsidRDefault="00A35244">
      <w:pPr>
        <w:pStyle w:val="Index1"/>
        <w:rPr>
          <w:noProof/>
        </w:rPr>
      </w:pPr>
      <w:r>
        <w:rPr>
          <w:noProof/>
        </w:rPr>
        <w:t>Gnadenthal  20</w:t>
      </w:r>
    </w:p>
    <w:p w:rsidR="00A35244" w:rsidRDefault="00A35244">
      <w:pPr>
        <w:pStyle w:val="Index1"/>
        <w:rPr>
          <w:noProof/>
        </w:rPr>
      </w:pPr>
      <w:r>
        <w:rPr>
          <w:noProof/>
        </w:rPr>
        <w:t>Gobineau, Arthur de  153</w:t>
      </w:r>
    </w:p>
    <w:p w:rsidR="00A35244" w:rsidRDefault="00A35244">
      <w:pPr>
        <w:pStyle w:val="Index1"/>
        <w:rPr>
          <w:noProof/>
        </w:rPr>
      </w:pPr>
      <w:r>
        <w:rPr>
          <w:noProof/>
        </w:rPr>
        <w:t xml:space="preserve">Gouvernement  78, 108, 116, 163, 167, 181, </w:t>
      </w:r>
      <w:r w:rsidRPr="000C7DF5">
        <w:rPr>
          <w:rFonts w:cstheme="minorHAnsi"/>
          <w:i/>
          <w:noProof/>
        </w:rPr>
        <w:t>siehe auch</w:t>
      </w:r>
      <w:r w:rsidRPr="000C7DF5">
        <w:rPr>
          <w:rFonts w:cstheme="minorHAnsi"/>
          <w:noProof/>
        </w:rPr>
        <w:t xml:space="preserve"> </w:t>
      </w:r>
      <w:r>
        <w:rPr>
          <w:noProof/>
        </w:rPr>
        <w:t>Kolonialregierung</w:t>
      </w:r>
    </w:p>
    <w:p w:rsidR="00A35244" w:rsidRDefault="00A35244">
      <w:pPr>
        <w:pStyle w:val="Index1"/>
        <w:rPr>
          <w:noProof/>
        </w:rPr>
      </w:pPr>
      <w:r>
        <w:rPr>
          <w:noProof/>
        </w:rPr>
        <w:t>Grand tour  55</w:t>
      </w:r>
    </w:p>
    <w:p w:rsidR="00A35244" w:rsidRDefault="00A35244">
      <w:pPr>
        <w:pStyle w:val="Index1"/>
        <w:rPr>
          <w:noProof/>
        </w:rPr>
      </w:pPr>
      <w:r>
        <w:rPr>
          <w:noProof/>
        </w:rPr>
        <w:t>Greenwich Mean Time (GMT)  153</w:t>
      </w:r>
    </w:p>
    <w:p w:rsidR="00A35244" w:rsidRDefault="00A35244">
      <w:pPr>
        <w:pStyle w:val="Index1"/>
        <w:rPr>
          <w:noProof/>
        </w:rPr>
      </w:pPr>
      <w:r>
        <w:rPr>
          <w:noProof/>
        </w:rPr>
        <w:t>Grönland, Br.  22, 112</w:t>
      </w:r>
    </w:p>
    <w:p w:rsidR="00A35244" w:rsidRDefault="00A35244">
      <w:pPr>
        <w:pStyle w:val="Index1"/>
        <w:rPr>
          <w:noProof/>
        </w:rPr>
      </w:pPr>
      <w:r>
        <w:rPr>
          <w:noProof/>
        </w:rPr>
        <w:t>Grootfontein  22, 33, 149, 163, 177</w:t>
      </w:r>
    </w:p>
    <w:p w:rsidR="00A35244" w:rsidRDefault="00A35244">
      <w:pPr>
        <w:pStyle w:val="Index1"/>
        <w:rPr>
          <w:noProof/>
        </w:rPr>
      </w:pPr>
      <w:r>
        <w:rPr>
          <w:noProof/>
        </w:rPr>
        <w:t>Guattari, Félix  157, 158</w:t>
      </w:r>
    </w:p>
    <w:p w:rsidR="000F6FEF" w:rsidRPr="00DB1DF3" w:rsidRDefault="000F6FEF" w:rsidP="000F6FEF">
      <w:pPr>
        <w:pStyle w:val="Index1"/>
        <w:keepNext/>
        <w:spacing w:before="246" w:after="246"/>
        <w:ind w:left="238" w:hanging="238"/>
        <w:jc w:val="center"/>
        <w:rPr>
          <w:b/>
          <w:noProof/>
        </w:rPr>
      </w:pPr>
      <w:r>
        <w:rPr>
          <w:b/>
          <w:noProof/>
        </w:rPr>
        <w:t>H</w:t>
      </w:r>
    </w:p>
    <w:p w:rsidR="00A35244" w:rsidRDefault="00A35244">
      <w:pPr>
        <w:pStyle w:val="Index1"/>
        <w:rPr>
          <w:noProof/>
        </w:rPr>
      </w:pPr>
      <w:r>
        <w:rPr>
          <w:noProof/>
        </w:rPr>
        <w:t>Hahn, Hugo  124, 127</w:t>
      </w:r>
    </w:p>
    <w:p w:rsidR="00A35244" w:rsidRDefault="00A35244">
      <w:pPr>
        <w:pStyle w:val="Index1"/>
        <w:rPr>
          <w:noProof/>
        </w:rPr>
      </w:pPr>
      <w:r>
        <w:rPr>
          <w:noProof/>
        </w:rPr>
        <w:t>Haibib, Piet  127</w:t>
      </w:r>
    </w:p>
    <w:p w:rsidR="00A35244" w:rsidRDefault="00A35244">
      <w:pPr>
        <w:pStyle w:val="Index1"/>
        <w:rPr>
          <w:noProof/>
        </w:rPr>
      </w:pPr>
      <w:r>
        <w:rPr>
          <w:noProof/>
        </w:rPr>
        <w:t>Haifischinsel  180, 181, 182</w:t>
      </w:r>
    </w:p>
    <w:p w:rsidR="00A35244" w:rsidRDefault="00A35244">
      <w:pPr>
        <w:pStyle w:val="Index1"/>
        <w:rPr>
          <w:noProof/>
        </w:rPr>
      </w:pPr>
      <w:r>
        <w:rPr>
          <w:noProof/>
        </w:rPr>
        <w:t>Hälbich (Familie)  148</w:t>
      </w:r>
    </w:p>
    <w:p w:rsidR="00A35244" w:rsidRDefault="00A35244">
      <w:pPr>
        <w:pStyle w:val="Index1"/>
        <w:rPr>
          <w:noProof/>
        </w:rPr>
      </w:pPr>
      <w:r>
        <w:rPr>
          <w:noProof/>
        </w:rPr>
        <w:lastRenderedPageBreak/>
        <w:t>Hälbich, Familie  148</w:t>
      </w:r>
    </w:p>
    <w:p w:rsidR="00A35244" w:rsidRDefault="00A35244">
      <w:pPr>
        <w:pStyle w:val="Index1"/>
        <w:rPr>
          <w:noProof/>
        </w:rPr>
      </w:pPr>
      <w:r>
        <w:rPr>
          <w:noProof/>
        </w:rPr>
        <w:t>Hamalua, Häuptling  86</w:t>
      </w:r>
    </w:p>
    <w:p w:rsidR="00A35244" w:rsidRDefault="00A35244">
      <w:pPr>
        <w:pStyle w:val="Index1"/>
        <w:rPr>
          <w:noProof/>
        </w:rPr>
      </w:pPr>
      <w:r>
        <w:rPr>
          <w:noProof/>
        </w:rPr>
        <w:t>Hanefeld, Br.  20, 23, 95, 96</w:t>
      </w:r>
    </w:p>
    <w:p w:rsidR="00A35244" w:rsidRDefault="00A35244">
      <w:pPr>
        <w:pStyle w:val="Index1"/>
        <w:rPr>
          <w:noProof/>
        </w:rPr>
      </w:pPr>
      <w:r>
        <w:rPr>
          <w:noProof/>
        </w:rPr>
        <w:t>Hartwig, Br.  20, 23, 120</w:t>
      </w:r>
    </w:p>
    <w:p w:rsidR="00A35244" w:rsidRDefault="00A35244">
      <w:pPr>
        <w:pStyle w:val="Index1"/>
        <w:rPr>
          <w:noProof/>
        </w:rPr>
      </w:pPr>
      <w:r>
        <w:rPr>
          <w:noProof/>
        </w:rPr>
        <w:t>Haussleiter, Missionsdirektor  14, 78, 151</w:t>
      </w:r>
    </w:p>
    <w:p w:rsidR="00A35244" w:rsidRDefault="00A35244">
      <w:pPr>
        <w:pStyle w:val="Index1"/>
        <w:rPr>
          <w:noProof/>
        </w:rPr>
      </w:pPr>
      <w:r>
        <w:rPr>
          <w:noProof/>
        </w:rPr>
        <w:t>Heinrich</w:t>
      </w:r>
      <w:r w:rsidR="00E06E77">
        <w:rPr>
          <w:noProof/>
        </w:rPr>
        <w:t>s</w:t>
      </w:r>
      <w:r>
        <w:rPr>
          <w:noProof/>
        </w:rPr>
        <w:t>, Br.  23, 98</w:t>
      </w:r>
    </w:p>
    <w:p w:rsidR="00A35244" w:rsidRDefault="00A35244">
      <w:pPr>
        <w:pStyle w:val="Index1"/>
        <w:rPr>
          <w:noProof/>
        </w:rPr>
      </w:pPr>
      <w:r>
        <w:rPr>
          <w:noProof/>
        </w:rPr>
        <w:t>Hellmich, Leutnant  116, 170</w:t>
      </w:r>
    </w:p>
    <w:p w:rsidR="00A35244" w:rsidRDefault="00A35244">
      <w:pPr>
        <w:pStyle w:val="Index1"/>
        <w:rPr>
          <w:noProof/>
        </w:rPr>
      </w:pPr>
      <w:r>
        <w:rPr>
          <w:noProof/>
        </w:rPr>
        <w:t>Hendrik, Hans  158</w:t>
      </w:r>
    </w:p>
    <w:p w:rsidR="00A35244" w:rsidRDefault="00A35244">
      <w:pPr>
        <w:pStyle w:val="Index1"/>
        <w:rPr>
          <w:noProof/>
        </w:rPr>
      </w:pPr>
      <w:r>
        <w:rPr>
          <w:noProof/>
        </w:rPr>
        <w:t>Herero  11, 14, 16, 26, 57, 60, 61, 65, 67, 73, 74, 75, 79, 85, 86, 91, 94, 96, 99, 101, 118, 121, 122, 124, 125, 127, 128, 129, 130, 133, 134, 135, 143, 148, 165, 166, 167, 170, 171, 173, 174, 177, 178, 179, 180, 181, 186</w:t>
      </w:r>
    </w:p>
    <w:p w:rsidR="00A35244" w:rsidRDefault="00A35244">
      <w:pPr>
        <w:pStyle w:val="Index1"/>
        <w:rPr>
          <w:noProof/>
        </w:rPr>
      </w:pPr>
      <w:r>
        <w:rPr>
          <w:noProof/>
        </w:rPr>
        <w:t>Herrnhuter Mission (Brüdergemeine)  16</w:t>
      </w:r>
    </w:p>
    <w:p w:rsidR="00A35244" w:rsidRDefault="00A35244">
      <w:pPr>
        <w:pStyle w:val="Index1"/>
        <w:rPr>
          <w:noProof/>
        </w:rPr>
      </w:pPr>
      <w:r>
        <w:rPr>
          <w:noProof/>
        </w:rPr>
        <w:t>Heydebreck, Hauptmann von  83, 105, 109, 118, 141, 142, 147, 183</w:t>
      </w:r>
    </w:p>
    <w:p w:rsidR="00A35244" w:rsidRDefault="00A35244">
      <w:pPr>
        <w:pStyle w:val="Index1"/>
        <w:rPr>
          <w:noProof/>
        </w:rPr>
      </w:pPr>
      <w:r>
        <w:rPr>
          <w:noProof/>
        </w:rPr>
        <w:t>Hitler, Adolf  152</w:t>
      </w:r>
    </w:p>
    <w:p w:rsidR="00A35244" w:rsidRDefault="00A35244">
      <w:pPr>
        <w:pStyle w:val="Index1"/>
        <w:rPr>
          <w:noProof/>
        </w:rPr>
      </w:pPr>
      <w:r>
        <w:rPr>
          <w:noProof/>
        </w:rPr>
        <w:t>Hoachanas  21, 33, 35, 36, 65, 69, 79, 93, 129, 130, 182</w:t>
      </w:r>
    </w:p>
    <w:p w:rsidR="00A35244" w:rsidRDefault="00A35244">
      <w:pPr>
        <w:pStyle w:val="Index1"/>
        <w:rPr>
          <w:noProof/>
        </w:rPr>
      </w:pPr>
      <w:r>
        <w:rPr>
          <w:noProof/>
        </w:rPr>
        <w:t>Holzapfel, Geschw.  20, 23, 184</w:t>
      </w:r>
    </w:p>
    <w:p w:rsidR="00A35244" w:rsidRDefault="00A35244">
      <w:pPr>
        <w:pStyle w:val="Index1"/>
        <w:rPr>
          <w:noProof/>
        </w:rPr>
      </w:pPr>
      <w:r w:rsidRPr="000C7DF5">
        <w:rPr>
          <w:noProof/>
          <w:lang w:val="en-GB"/>
        </w:rPr>
        <w:t>Hope, Thomas</w:t>
      </w:r>
      <w:r>
        <w:rPr>
          <w:noProof/>
        </w:rPr>
        <w:t xml:space="preserve">  154</w:t>
      </w:r>
    </w:p>
    <w:p w:rsidR="00A35244" w:rsidRDefault="00A35244">
      <w:pPr>
        <w:pStyle w:val="Index1"/>
        <w:rPr>
          <w:noProof/>
        </w:rPr>
      </w:pPr>
      <w:r>
        <w:rPr>
          <w:noProof/>
        </w:rPr>
        <w:t xml:space="preserve">Hottentotten  52, 96, 118, 182, </w:t>
      </w:r>
      <w:r w:rsidRPr="000C7DF5">
        <w:rPr>
          <w:rFonts w:cstheme="minorHAnsi"/>
          <w:i/>
          <w:noProof/>
        </w:rPr>
        <w:t>siehe auch</w:t>
      </w:r>
      <w:r w:rsidRPr="000C7DF5">
        <w:rPr>
          <w:rFonts w:cstheme="minorHAnsi"/>
          <w:noProof/>
        </w:rPr>
        <w:t xml:space="preserve"> Nama</w:t>
      </w:r>
    </w:p>
    <w:p w:rsidR="000F6FEF" w:rsidRPr="00DB1DF3" w:rsidRDefault="000F6FEF" w:rsidP="000F6FEF">
      <w:pPr>
        <w:pStyle w:val="Index1"/>
        <w:keepNext/>
        <w:spacing w:before="246" w:after="246"/>
        <w:ind w:left="238" w:hanging="238"/>
        <w:jc w:val="center"/>
        <w:rPr>
          <w:b/>
          <w:noProof/>
        </w:rPr>
      </w:pPr>
      <w:r>
        <w:rPr>
          <w:b/>
          <w:noProof/>
        </w:rPr>
        <w:t>I</w:t>
      </w:r>
    </w:p>
    <w:p w:rsidR="00A35244" w:rsidRDefault="00A35244">
      <w:pPr>
        <w:pStyle w:val="Index1"/>
        <w:rPr>
          <w:noProof/>
        </w:rPr>
      </w:pPr>
      <w:r>
        <w:rPr>
          <w:noProof/>
        </w:rPr>
        <w:t>imago dei  104</w:t>
      </w:r>
    </w:p>
    <w:p w:rsidR="00A35244" w:rsidRDefault="00A35244">
      <w:pPr>
        <w:pStyle w:val="Index1"/>
        <w:rPr>
          <w:noProof/>
        </w:rPr>
      </w:pPr>
      <w:r>
        <w:rPr>
          <w:noProof/>
        </w:rPr>
        <w:t>Islam  113</w:t>
      </w:r>
    </w:p>
    <w:p w:rsidR="000F6FEF" w:rsidRPr="00DB1DF3" w:rsidRDefault="000F6FEF" w:rsidP="000F6FEF">
      <w:pPr>
        <w:pStyle w:val="Index1"/>
        <w:keepNext/>
        <w:spacing w:before="246" w:after="246"/>
        <w:ind w:left="238" w:hanging="238"/>
        <w:jc w:val="center"/>
        <w:rPr>
          <w:b/>
          <w:noProof/>
        </w:rPr>
      </w:pPr>
      <w:r>
        <w:rPr>
          <w:b/>
          <w:noProof/>
        </w:rPr>
        <w:t>J</w:t>
      </w:r>
    </w:p>
    <w:p w:rsidR="00A35244" w:rsidRDefault="00A35244">
      <w:pPr>
        <w:pStyle w:val="Index1"/>
        <w:rPr>
          <w:noProof/>
        </w:rPr>
      </w:pPr>
      <w:r>
        <w:rPr>
          <w:noProof/>
        </w:rPr>
        <w:t>Jacobs, Hans von  142, 144, 145, 147</w:t>
      </w:r>
    </w:p>
    <w:p w:rsidR="00A35244" w:rsidRDefault="00A35244">
      <w:pPr>
        <w:pStyle w:val="Index1"/>
        <w:rPr>
          <w:noProof/>
        </w:rPr>
      </w:pPr>
      <w:r>
        <w:rPr>
          <w:noProof/>
        </w:rPr>
        <w:t>Jacobus Gabrielse  41</w:t>
      </w:r>
    </w:p>
    <w:p w:rsidR="00A35244" w:rsidRDefault="00A35244">
      <w:pPr>
        <w:pStyle w:val="Index1"/>
        <w:rPr>
          <w:noProof/>
        </w:rPr>
      </w:pPr>
      <w:r>
        <w:rPr>
          <w:noProof/>
        </w:rPr>
        <w:t>Jonker Afrikaner, Häuptling  125, 139</w:t>
      </w:r>
    </w:p>
    <w:p w:rsidR="00A35244" w:rsidRDefault="00A35244">
      <w:pPr>
        <w:pStyle w:val="Index1"/>
        <w:rPr>
          <w:noProof/>
        </w:rPr>
      </w:pPr>
      <w:r>
        <w:rPr>
          <w:noProof/>
        </w:rPr>
        <w:t>Juden  95, 103, 113, 118, 119, 120, 144, 145</w:t>
      </w:r>
    </w:p>
    <w:p w:rsidR="00A35244" w:rsidRDefault="00A35244">
      <w:pPr>
        <w:pStyle w:val="Index1"/>
        <w:rPr>
          <w:noProof/>
        </w:rPr>
      </w:pPr>
      <w:r>
        <w:rPr>
          <w:noProof/>
        </w:rPr>
        <w:t>Judt, Br.  90</w:t>
      </w:r>
    </w:p>
    <w:p w:rsidR="000F6FEF" w:rsidRPr="00DB1DF3" w:rsidRDefault="000F6FEF" w:rsidP="000F6FEF">
      <w:pPr>
        <w:pStyle w:val="Index1"/>
        <w:keepNext/>
        <w:spacing w:before="246" w:after="246"/>
        <w:ind w:left="238" w:hanging="238"/>
        <w:jc w:val="center"/>
        <w:rPr>
          <w:b/>
          <w:noProof/>
        </w:rPr>
      </w:pPr>
      <w:r>
        <w:rPr>
          <w:b/>
          <w:noProof/>
        </w:rPr>
        <w:lastRenderedPageBreak/>
        <w:t>K</w:t>
      </w:r>
    </w:p>
    <w:p w:rsidR="00A35244" w:rsidRDefault="00A35244">
      <w:pPr>
        <w:pStyle w:val="Index1"/>
        <w:rPr>
          <w:noProof/>
        </w:rPr>
      </w:pPr>
      <w:r>
        <w:rPr>
          <w:noProof/>
        </w:rPr>
        <w:t>Kainu, Br.  22</w:t>
      </w:r>
    </w:p>
    <w:p w:rsidR="00A35244" w:rsidRDefault="00A35244">
      <w:pPr>
        <w:pStyle w:val="Index1"/>
        <w:rPr>
          <w:noProof/>
        </w:rPr>
      </w:pPr>
      <w:r>
        <w:rPr>
          <w:noProof/>
        </w:rPr>
        <w:t>Kamerun  117</w:t>
      </w:r>
    </w:p>
    <w:p w:rsidR="00A35244" w:rsidRDefault="00A35244">
      <w:pPr>
        <w:pStyle w:val="Index1"/>
        <w:rPr>
          <w:noProof/>
        </w:rPr>
      </w:pPr>
      <w:r>
        <w:rPr>
          <w:noProof/>
        </w:rPr>
        <w:t>Kapholländisch (Sprache)  26, 96, 150</w:t>
      </w:r>
    </w:p>
    <w:p w:rsidR="00A35244" w:rsidRDefault="00A35244">
      <w:pPr>
        <w:pStyle w:val="Index1"/>
        <w:rPr>
          <w:noProof/>
        </w:rPr>
      </w:pPr>
      <w:r>
        <w:rPr>
          <w:noProof/>
        </w:rPr>
        <w:t>Kapitalismus  45, 52, 94, 135, 156, 157</w:t>
      </w:r>
    </w:p>
    <w:p w:rsidR="00A35244" w:rsidRDefault="00A35244">
      <w:pPr>
        <w:pStyle w:val="Index1"/>
        <w:rPr>
          <w:noProof/>
        </w:rPr>
      </w:pPr>
      <w:r>
        <w:rPr>
          <w:noProof/>
        </w:rPr>
        <w:t>Kapprovinz  14, 16, 20, 32, 80, 94, 111, 119, 141, 145, 149, 150, 161</w:t>
      </w:r>
    </w:p>
    <w:p w:rsidR="00A35244" w:rsidRDefault="00A35244">
      <w:pPr>
        <w:pStyle w:val="Index1"/>
        <w:rPr>
          <w:noProof/>
        </w:rPr>
      </w:pPr>
      <w:r w:rsidRPr="000C7DF5">
        <w:rPr>
          <w:noProof/>
          <w:lang w:val="en-GB"/>
        </w:rPr>
        <w:t>Kapstadt</w:t>
      </w:r>
      <w:r>
        <w:rPr>
          <w:noProof/>
        </w:rPr>
        <w:t xml:space="preserve">  19, 20, 23, 109, 141, 144, 145, 148, 163, 174, 176</w:t>
      </w:r>
    </w:p>
    <w:p w:rsidR="00A35244" w:rsidRDefault="00A35244">
      <w:pPr>
        <w:pStyle w:val="Index1"/>
        <w:rPr>
          <w:noProof/>
        </w:rPr>
      </w:pPr>
      <w:r>
        <w:rPr>
          <w:noProof/>
        </w:rPr>
        <w:t>Karasberge  133</w:t>
      </w:r>
    </w:p>
    <w:p w:rsidR="00A35244" w:rsidRDefault="00A35244">
      <w:pPr>
        <w:pStyle w:val="Index1"/>
        <w:rPr>
          <w:noProof/>
        </w:rPr>
      </w:pPr>
      <w:r>
        <w:rPr>
          <w:noProof/>
        </w:rPr>
        <w:t>Karibib  20, 21, 22, 27, 30, 31, 80, 134, 148, 159, 161, 163, 170, 178</w:t>
      </w:r>
    </w:p>
    <w:p w:rsidR="00A35244" w:rsidRDefault="00A35244">
      <w:pPr>
        <w:pStyle w:val="Index1"/>
        <w:rPr>
          <w:noProof/>
        </w:rPr>
      </w:pPr>
      <w:r>
        <w:rPr>
          <w:noProof/>
        </w:rPr>
        <w:t>Kartographie  56</w:t>
      </w:r>
    </w:p>
    <w:p w:rsidR="00A35244" w:rsidRDefault="00A35244">
      <w:pPr>
        <w:pStyle w:val="Index1"/>
        <w:rPr>
          <w:noProof/>
        </w:rPr>
      </w:pPr>
      <w:r>
        <w:rPr>
          <w:noProof/>
        </w:rPr>
        <w:t>Katholiken  52, 100, 101, 102, 103, 113, 114, 115, 116, 117</w:t>
      </w:r>
    </w:p>
    <w:p w:rsidR="00A35244" w:rsidRDefault="00A35244">
      <w:pPr>
        <w:pStyle w:val="Index1"/>
        <w:rPr>
          <w:noProof/>
        </w:rPr>
      </w:pPr>
      <w:r w:rsidRPr="000C7DF5">
        <w:rPr>
          <w:noProof/>
          <w:lang w:val="en-GB"/>
        </w:rPr>
        <w:t>Keetmanshoop</w:t>
      </w:r>
      <w:r>
        <w:rPr>
          <w:noProof/>
        </w:rPr>
        <w:t xml:space="preserve">  23, 133, 146, 161, 164, 168, 185, 187</w:t>
      </w:r>
    </w:p>
    <w:p w:rsidR="00A35244" w:rsidRDefault="00A35244">
      <w:pPr>
        <w:pStyle w:val="Index1"/>
        <w:rPr>
          <w:noProof/>
        </w:rPr>
      </w:pPr>
      <w:r>
        <w:rPr>
          <w:noProof/>
        </w:rPr>
        <w:t>Khoikhoi  139</w:t>
      </w:r>
    </w:p>
    <w:p w:rsidR="00A35244" w:rsidRDefault="00A35244">
      <w:pPr>
        <w:pStyle w:val="Index1"/>
        <w:rPr>
          <w:noProof/>
        </w:rPr>
      </w:pPr>
      <w:r>
        <w:rPr>
          <w:noProof/>
        </w:rPr>
        <w:t>Khoisansprachen  182</w:t>
      </w:r>
    </w:p>
    <w:p w:rsidR="00A35244" w:rsidRDefault="00A35244">
      <w:pPr>
        <w:pStyle w:val="Index1"/>
        <w:rPr>
          <w:noProof/>
        </w:rPr>
      </w:pPr>
      <w:r>
        <w:rPr>
          <w:noProof/>
        </w:rPr>
        <w:t>King, Thomas  111</w:t>
      </w:r>
    </w:p>
    <w:p w:rsidR="00A35244" w:rsidRDefault="00A35244">
      <w:pPr>
        <w:pStyle w:val="Index1"/>
        <w:rPr>
          <w:noProof/>
        </w:rPr>
      </w:pPr>
      <w:r>
        <w:rPr>
          <w:noProof/>
        </w:rPr>
        <w:t>Kirchenzucht  76, 81, 84, 110</w:t>
      </w:r>
    </w:p>
    <w:p w:rsidR="00A35244" w:rsidRDefault="00A35244">
      <w:pPr>
        <w:pStyle w:val="Index1"/>
        <w:rPr>
          <w:noProof/>
        </w:rPr>
      </w:pPr>
      <w:r>
        <w:rPr>
          <w:noProof/>
        </w:rPr>
        <w:t>Kleinschmidt, Br.  139, 187</w:t>
      </w:r>
    </w:p>
    <w:p w:rsidR="00A35244" w:rsidRDefault="00A35244">
      <w:pPr>
        <w:pStyle w:val="Index1"/>
        <w:rPr>
          <w:noProof/>
        </w:rPr>
      </w:pPr>
      <w:r>
        <w:rPr>
          <w:noProof/>
        </w:rPr>
        <w:t>Klein-Windhuk  115</w:t>
      </w:r>
    </w:p>
    <w:p w:rsidR="00A35244" w:rsidRDefault="00A35244">
      <w:pPr>
        <w:pStyle w:val="Index1"/>
        <w:rPr>
          <w:noProof/>
        </w:rPr>
      </w:pPr>
      <w:r>
        <w:rPr>
          <w:noProof/>
        </w:rPr>
        <w:t>Klima  25, 27, 29, 66, 92, 134, 173, 180, 181</w:t>
      </w:r>
    </w:p>
    <w:p w:rsidR="00A35244" w:rsidRDefault="00A35244">
      <w:pPr>
        <w:pStyle w:val="Index1"/>
        <w:rPr>
          <w:noProof/>
        </w:rPr>
      </w:pPr>
      <w:r>
        <w:rPr>
          <w:noProof/>
        </w:rPr>
        <w:t>Kling, Br.  23, 98</w:t>
      </w:r>
    </w:p>
    <w:p w:rsidR="00A35244" w:rsidRDefault="00A35244">
      <w:pPr>
        <w:pStyle w:val="Index1"/>
        <w:rPr>
          <w:noProof/>
        </w:rPr>
      </w:pPr>
      <w:r>
        <w:rPr>
          <w:noProof/>
        </w:rPr>
        <w:t>Kolonialgeschichte  12, 45</w:t>
      </w:r>
    </w:p>
    <w:p w:rsidR="00A35244" w:rsidRDefault="00A35244">
      <w:pPr>
        <w:pStyle w:val="Index1"/>
        <w:rPr>
          <w:noProof/>
        </w:rPr>
      </w:pPr>
      <w:r>
        <w:rPr>
          <w:noProof/>
        </w:rPr>
        <w:t>Kolonialismus  12, 13, 45, 46, 47, 49, 50, 56, 83, 88, 102, 120, 122, 135, 136, 139, 154, 156, 176, 189</w:t>
      </w:r>
    </w:p>
    <w:p w:rsidR="00A35244" w:rsidRDefault="00A35244">
      <w:pPr>
        <w:pStyle w:val="Index1"/>
        <w:rPr>
          <w:noProof/>
        </w:rPr>
      </w:pPr>
      <w:r>
        <w:rPr>
          <w:noProof/>
        </w:rPr>
        <w:t>Kolonialpolitik  56, 114, 183</w:t>
      </w:r>
    </w:p>
    <w:p w:rsidR="00A35244" w:rsidRDefault="00A35244">
      <w:pPr>
        <w:pStyle w:val="Index1"/>
        <w:rPr>
          <w:noProof/>
        </w:rPr>
      </w:pPr>
      <w:r>
        <w:rPr>
          <w:noProof/>
        </w:rPr>
        <w:t xml:space="preserve">Kolonialregierung  57, 78, 81, 86, 87, 88, 100, 103, 107, 108, 113, 123, 127, 128, 129, 130, 140, 147, 166, 173, 175, 176, 182, 186, </w:t>
      </w:r>
      <w:r w:rsidRPr="000C7DF5">
        <w:rPr>
          <w:rFonts w:cstheme="minorHAnsi"/>
          <w:i/>
          <w:noProof/>
        </w:rPr>
        <w:t>siehe auch</w:t>
      </w:r>
      <w:r w:rsidRPr="000C7DF5">
        <w:rPr>
          <w:rFonts w:cstheme="minorHAnsi"/>
          <w:noProof/>
        </w:rPr>
        <w:t xml:space="preserve"> Gouvernement</w:t>
      </w:r>
    </w:p>
    <w:p w:rsidR="00A35244" w:rsidRDefault="00A35244">
      <w:pPr>
        <w:pStyle w:val="Index1"/>
        <w:rPr>
          <w:noProof/>
        </w:rPr>
      </w:pPr>
      <w:r>
        <w:rPr>
          <w:noProof/>
        </w:rPr>
        <w:t>Kommaggas  20</w:t>
      </w:r>
    </w:p>
    <w:p w:rsidR="00A35244" w:rsidRDefault="00A35244">
      <w:pPr>
        <w:pStyle w:val="Index1"/>
        <w:rPr>
          <w:noProof/>
        </w:rPr>
      </w:pPr>
      <w:r>
        <w:rPr>
          <w:noProof/>
        </w:rPr>
        <w:t>Kommunismus  65</w:t>
      </w:r>
    </w:p>
    <w:p w:rsidR="00A35244" w:rsidRDefault="00A35244">
      <w:pPr>
        <w:pStyle w:val="Index1"/>
        <w:rPr>
          <w:noProof/>
        </w:rPr>
      </w:pPr>
      <w:r>
        <w:rPr>
          <w:noProof/>
        </w:rPr>
        <w:t>Konzentrationslager  73, 128, 146, 173, 179, 180, 181</w:t>
      </w:r>
    </w:p>
    <w:p w:rsidR="00A35244" w:rsidRDefault="00A35244">
      <w:pPr>
        <w:pStyle w:val="Index1"/>
        <w:rPr>
          <w:noProof/>
        </w:rPr>
      </w:pPr>
      <w:r>
        <w:rPr>
          <w:noProof/>
        </w:rPr>
        <w:lastRenderedPageBreak/>
        <w:t>Kraal  62, 108, 116, 164, 171, 178</w:t>
      </w:r>
    </w:p>
    <w:p w:rsidR="00A35244" w:rsidRDefault="00A35244">
      <w:pPr>
        <w:pStyle w:val="Index1"/>
        <w:rPr>
          <w:noProof/>
        </w:rPr>
      </w:pPr>
      <w:r w:rsidRPr="000C7DF5">
        <w:rPr>
          <w:noProof/>
          <w:lang w:val="en-GB"/>
        </w:rPr>
        <w:t>Kreft, Geschw.</w:t>
      </w:r>
      <w:r>
        <w:rPr>
          <w:noProof/>
        </w:rPr>
        <w:t xml:space="preserve">  19, 23</w:t>
      </w:r>
    </w:p>
    <w:p w:rsidR="00A35244" w:rsidRDefault="00A35244">
      <w:pPr>
        <w:pStyle w:val="Index1"/>
        <w:rPr>
          <w:noProof/>
        </w:rPr>
      </w:pPr>
      <w:r>
        <w:rPr>
          <w:noProof/>
        </w:rPr>
        <w:t>Kuhlmann, Br.  21, 31, 129, 134, 179</w:t>
      </w:r>
    </w:p>
    <w:p w:rsidR="00A35244" w:rsidRDefault="00A35244">
      <w:pPr>
        <w:pStyle w:val="Index1"/>
        <w:rPr>
          <w:noProof/>
        </w:rPr>
      </w:pPr>
      <w:r>
        <w:rPr>
          <w:noProof/>
        </w:rPr>
        <w:t>Kurz, Feldwebel  27</w:t>
      </w:r>
    </w:p>
    <w:p w:rsidR="000F6FEF" w:rsidRPr="00DB1DF3" w:rsidRDefault="000F6FEF" w:rsidP="000F6FEF">
      <w:pPr>
        <w:pStyle w:val="Index1"/>
        <w:keepNext/>
        <w:spacing w:before="246" w:after="246"/>
        <w:ind w:left="238" w:hanging="238"/>
        <w:jc w:val="center"/>
        <w:rPr>
          <w:b/>
          <w:noProof/>
        </w:rPr>
      </w:pPr>
      <w:r>
        <w:rPr>
          <w:b/>
          <w:noProof/>
        </w:rPr>
        <w:t>L</w:t>
      </w:r>
    </w:p>
    <w:p w:rsidR="00A35244" w:rsidRDefault="00A35244">
      <w:pPr>
        <w:pStyle w:val="Index1"/>
        <w:rPr>
          <w:noProof/>
        </w:rPr>
      </w:pPr>
      <w:r>
        <w:rPr>
          <w:noProof/>
        </w:rPr>
        <w:t>Laaf, Geschw.  20, 22, 23, 141, 181</w:t>
      </w:r>
    </w:p>
    <w:p w:rsidR="00A35244" w:rsidRDefault="00A35244">
      <w:pPr>
        <w:pStyle w:val="Index1"/>
        <w:rPr>
          <w:noProof/>
        </w:rPr>
      </w:pPr>
      <w:r>
        <w:rPr>
          <w:noProof/>
        </w:rPr>
        <w:t>Lacan, Jacques  102, 156</w:t>
      </w:r>
    </w:p>
    <w:p w:rsidR="00A35244" w:rsidRDefault="00A35244">
      <w:pPr>
        <w:pStyle w:val="Index1"/>
        <w:rPr>
          <w:noProof/>
        </w:rPr>
      </w:pPr>
      <w:r>
        <w:rPr>
          <w:noProof/>
        </w:rPr>
        <w:t>Lambert, Familie  28</w:t>
      </w:r>
    </w:p>
    <w:p w:rsidR="00A35244" w:rsidRDefault="00A35244">
      <w:pPr>
        <w:pStyle w:val="Index1"/>
        <w:rPr>
          <w:noProof/>
        </w:rPr>
      </w:pPr>
      <w:r>
        <w:rPr>
          <w:noProof/>
        </w:rPr>
        <w:t>Lang, Miss.  106</w:t>
      </w:r>
    </w:p>
    <w:p w:rsidR="00A35244" w:rsidRDefault="00A35244">
      <w:pPr>
        <w:pStyle w:val="Index1"/>
        <w:rPr>
          <w:noProof/>
        </w:rPr>
      </w:pPr>
      <w:r>
        <w:rPr>
          <w:noProof/>
        </w:rPr>
        <w:t>Langen, Liselotte  13, 117</w:t>
      </w:r>
    </w:p>
    <w:p w:rsidR="00A35244" w:rsidRDefault="00A35244">
      <w:pPr>
        <w:pStyle w:val="Index1"/>
        <w:rPr>
          <w:noProof/>
        </w:rPr>
      </w:pPr>
      <w:r>
        <w:rPr>
          <w:noProof/>
        </w:rPr>
        <w:t>Lehrerausbildung  90</w:t>
      </w:r>
    </w:p>
    <w:p w:rsidR="00A35244" w:rsidRDefault="00A35244">
      <w:pPr>
        <w:pStyle w:val="Index1"/>
        <w:rPr>
          <w:noProof/>
        </w:rPr>
      </w:pPr>
      <w:r>
        <w:rPr>
          <w:noProof/>
        </w:rPr>
        <w:t>Leipoldt, Br.  20, 23</w:t>
      </w:r>
    </w:p>
    <w:p w:rsidR="00A35244" w:rsidRDefault="00A35244">
      <w:pPr>
        <w:pStyle w:val="Index1"/>
        <w:rPr>
          <w:noProof/>
        </w:rPr>
      </w:pPr>
      <w:r>
        <w:rPr>
          <w:noProof/>
        </w:rPr>
        <w:t>Leutwein, Theodor  97, 107, 130, 142, 163, 177</w:t>
      </w:r>
    </w:p>
    <w:p w:rsidR="00A35244" w:rsidRDefault="00A35244">
      <w:pPr>
        <w:pStyle w:val="Index1"/>
        <w:rPr>
          <w:noProof/>
        </w:rPr>
      </w:pPr>
      <w:r>
        <w:rPr>
          <w:noProof/>
        </w:rPr>
        <w:t>Liberale Theologie  110, 111, 187</w:t>
      </w:r>
    </w:p>
    <w:p w:rsidR="00A35244" w:rsidRDefault="00A35244">
      <w:pPr>
        <w:pStyle w:val="Index1"/>
        <w:rPr>
          <w:noProof/>
        </w:rPr>
      </w:pPr>
      <w:r w:rsidRPr="000C7DF5">
        <w:rPr>
          <w:noProof/>
          <w:lang w:val="en-GB"/>
        </w:rPr>
        <w:t>Liljeblad, Miss.</w:t>
      </w:r>
      <w:r>
        <w:rPr>
          <w:noProof/>
        </w:rPr>
        <w:t xml:space="preserve">  22</w:t>
      </w:r>
    </w:p>
    <w:p w:rsidR="00A35244" w:rsidRDefault="00A35244">
      <w:pPr>
        <w:pStyle w:val="Index1"/>
        <w:rPr>
          <w:noProof/>
        </w:rPr>
      </w:pPr>
      <w:r>
        <w:rPr>
          <w:noProof/>
        </w:rPr>
        <w:t>Lindequist, Gouverneur von  78, 107, 118, 141, 142, 144, 151, 179</w:t>
      </w:r>
    </w:p>
    <w:p w:rsidR="00A35244" w:rsidRDefault="00A35244">
      <w:pPr>
        <w:pStyle w:val="Index1"/>
        <w:rPr>
          <w:noProof/>
        </w:rPr>
      </w:pPr>
      <w:r w:rsidRPr="000C7DF5">
        <w:rPr>
          <w:noProof/>
          <w:lang w:val="en-GB"/>
        </w:rPr>
        <w:t>London</w:t>
      </w:r>
      <w:r>
        <w:rPr>
          <w:noProof/>
        </w:rPr>
        <w:t xml:space="preserve">  19, 23, 38, 49, 109, 141, 154, 179</w:t>
      </w:r>
    </w:p>
    <w:p w:rsidR="00A35244" w:rsidRDefault="00A35244">
      <w:pPr>
        <w:pStyle w:val="Index1"/>
        <w:rPr>
          <w:noProof/>
        </w:rPr>
      </w:pPr>
      <w:r>
        <w:rPr>
          <w:noProof/>
        </w:rPr>
        <w:t>Londoner Mission  99</w:t>
      </w:r>
    </w:p>
    <w:p w:rsidR="00A35244" w:rsidRDefault="00A35244">
      <w:pPr>
        <w:pStyle w:val="Index1"/>
        <w:rPr>
          <w:noProof/>
        </w:rPr>
      </w:pPr>
      <w:r>
        <w:rPr>
          <w:noProof/>
        </w:rPr>
        <w:t>Lübbe, Ehepaar  188</w:t>
      </w:r>
    </w:p>
    <w:p w:rsidR="00A35244" w:rsidRDefault="00A35244">
      <w:pPr>
        <w:pStyle w:val="Index1"/>
        <w:rPr>
          <w:noProof/>
        </w:rPr>
      </w:pPr>
      <w:r>
        <w:rPr>
          <w:noProof/>
        </w:rPr>
        <w:t>Lüderitz, Adolf  98, 114, 121, 127</w:t>
      </w:r>
    </w:p>
    <w:p w:rsidR="00A35244" w:rsidRDefault="00A35244">
      <w:pPr>
        <w:pStyle w:val="Index1"/>
        <w:rPr>
          <w:noProof/>
        </w:rPr>
      </w:pPr>
      <w:r>
        <w:rPr>
          <w:noProof/>
        </w:rPr>
        <w:t>Lüderitzbucht  20, 22, 23, 30, 98, 127, 141, 179, 180, 182, 184</w:t>
      </w:r>
    </w:p>
    <w:p w:rsidR="00A35244" w:rsidRDefault="00A35244">
      <w:pPr>
        <w:pStyle w:val="Index1"/>
        <w:rPr>
          <w:noProof/>
        </w:rPr>
      </w:pPr>
      <w:r>
        <w:rPr>
          <w:noProof/>
        </w:rPr>
        <w:t>Luther, Martin  32, 104</w:t>
      </w:r>
    </w:p>
    <w:p w:rsidR="00A35244" w:rsidRDefault="00A35244">
      <w:pPr>
        <w:pStyle w:val="Index1"/>
        <w:rPr>
          <w:noProof/>
        </w:rPr>
      </w:pPr>
      <w:r>
        <w:rPr>
          <w:noProof/>
        </w:rPr>
        <w:t>lutherisch (Evangelisch-lutherische Kirchen)  76, 111, 143</w:t>
      </w:r>
    </w:p>
    <w:p w:rsidR="000F6FEF" w:rsidRPr="00DB1DF3" w:rsidRDefault="000F6FEF" w:rsidP="000F6FEF">
      <w:pPr>
        <w:pStyle w:val="Index1"/>
        <w:keepNext/>
        <w:spacing w:before="246" w:after="246"/>
        <w:ind w:left="238" w:hanging="238"/>
        <w:jc w:val="center"/>
        <w:rPr>
          <w:b/>
          <w:noProof/>
        </w:rPr>
      </w:pPr>
      <w:r>
        <w:rPr>
          <w:b/>
          <w:noProof/>
        </w:rPr>
        <w:t>M</w:t>
      </w:r>
    </w:p>
    <w:p w:rsidR="00A35244" w:rsidRDefault="00A35244">
      <w:pPr>
        <w:pStyle w:val="Index1"/>
        <w:rPr>
          <w:noProof/>
        </w:rPr>
      </w:pPr>
      <w:r>
        <w:rPr>
          <w:noProof/>
        </w:rPr>
        <w:t>Maharero, Samuel  97, 99, 127</w:t>
      </w:r>
    </w:p>
    <w:p w:rsidR="00A35244" w:rsidRDefault="00A35244">
      <w:pPr>
        <w:pStyle w:val="Index1"/>
        <w:rPr>
          <w:noProof/>
        </w:rPr>
      </w:pPr>
      <w:r>
        <w:rPr>
          <w:noProof/>
        </w:rPr>
        <w:t>Malaria  15, 27, 92</w:t>
      </w:r>
    </w:p>
    <w:p w:rsidR="00A35244" w:rsidRDefault="00A35244">
      <w:pPr>
        <w:pStyle w:val="Index1"/>
        <w:rPr>
          <w:noProof/>
        </w:rPr>
      </w:pPr>
      <w:r>
        <w:rPr>
          <w:noProof/>
        </w:rPr>
        <w:t>Manasse, Häuptling  108</w:t>
      </w:r>
    </w:p>
    <w:p w:rsidR="00A35244" w:rsidRDefault="00A35244">
      <w:pPr>
        <w:pStyle w:val="Index1"/>
        <w:rPr>
          <w:noProof/>
        </w:rPr>
      </w:pPr>
      <w:r>
        <w:rPr>
          <w:noProof/>
        </w:rPr>
        <w:t>Märker, Major (Windhuk)  66, 89, 116, 117, 143, 166</w:t>
      </w:r>
    </w:p>
    <w:p w:rsidR="00A35244" w:rsidRDefault="00A35244">
      <w:pPr>
        <w:pStyle w:val="Index1"/>
        <w:rPr>
          <w:noProof/>
        </w:rPr>
      </w:pPr>
      <w:r>
        <w:rPr>
          <w:noProof/>
        </w:rPr>
        <w:t>Marula-Baum  71</w:t>
      </w:r>
    </w:p>
    <w:p w:rsidR="00A35244" w:rsidRDefault="00A35244">
      <w:pPr>
        <w:pStyle w:val="Index1"/>
        <w:rPr>
          <w:noProof/>
        </w:rPr>
      </w:pPr>
      <w:r>
        <w:rPr>
          <w:noProof/>
        </w:rPr>
        <w:t>Matroosfontein  23, 161</w:t>
      </w:r>
    </w:p>
    <w:p w:rsidR="00A35244" w:rsidRDefault="00A35244">
      <w:pPr>
        <w:pStyle w:val="Index1"/>
        <w:rPr>
          <w:noProof/>
        </w:rPr>
      </w:pPr>
      <w:r>
        <w:rPr>
          <w:noProof/>
        </w:rPr>
        <w:t>Maulbeer-Feige  72</w:t>
      </w:r>
    </w:p>
    <w:p w:rsidR="00A35244" w:rsidRDefault="00A35244">
      <w:pPr>
        <w:pStyle w:val="Index1"/>
        <w:rPr>
          <w:noProof/>
        </w:rPr>
      </w:pPr>
      <w:r>
        <w:rPr>
          <w:noProof/>
        </w:rPr>
        <w:t>Meier, Br.  21, 164</w:t>
      </w:r>
    </w:p>
    <w:p w:rsidR="00A35244" w:rsidRDefault="00A35244">
      <w:pPr>
        <w:pStyle w:val="Index1"/>
        <w:rPr>
          <w:noProof/>
        </w:rPr>
      </w:pPr>
      <w:r>
        <w:rPr>
          <w:noProof/>
        </w:rPr>
        <w:t>Meisenholl, Br.  119</w:t>
      </w:r>
    </w:p>
    <w:p w:rsidR="00A35244" w:rsidRDefault="00A35244">
      <w:pPr>
        <w:pStyle w:val="Index1"/>
        <w:rPr>
          <w:noProof/>
        </w:rPr>
      </w:pPr>
      <w:r>
        <w:rPr>
          <w:noProof/>
        </w:rPr>
        <w:lastRenderedPageBreak/>
        <w:t>Meisenholl, Geschw.  20, 23, 71, 72, 144</w:t>
      </w:r>
    </w:p>
    <w:p w:rsidR="00A35244" w:rsidRDefault="00A35244">
      <w:pPr>
        <w:pStyle w:val="Index1"/>
        <w:rPr>
          <w:noProof/>
        </w:rPr>
      </w:pPr>
      <w:r>
        <w:rPr>
          <w:noProof/>
        </w:rPr>
        <w:t>Memmi, Albert  49, 101</w:t>
      </w:r>
    </w:p>
    <w:p w:rsidR="00A35244" w:rsidRDefault="00A35244">
      <w:pPr>
        <w:pStyle w:val="Index1"/>
        <w:rPr>
          <w:noProof/>
        </w:rPr>
      </w:pPr>
      <w:r>
        <w:rPr>
          <w:noProof/>
        </w:rPr>
        <w:t>Merensky, Alexander  147</w:t>
      </w:r>
    </w:p>
    <w:p w:rsidR="00A35244" w:rsidRDefault="00A35244">
      <w:pPr>
        <w:pStyle w:val="Index1"/>
        <w:rPr>
          <w:noProof/>
        </w:rPr>
      </w:pPr>
      <w:r>
        <w:rPr>
          <w:noProof/>
        </w:rPr>
        <w:t>Merensky, Hans  146, 147</w:t>
      </w:r>
    </w:p>
    <w:p w:rsidR="00A35244" w:rsidRDefault="00A35244">
      <w:pPr>
        <w:pStyle w:val="Index1"/>
        <w:rPr>
          <w:noProof/>
        </w:rPr>
      </w:pPr>
      <w:r>
        <w:rPr>
          <w:noProof/>
        </w:rPr>
        <w:t>Merkmalsprozess</w:t>
      </w:r>
    </w:p>
    <w:p w:rsidR="00A35244" w:rsidRDefault="00A35244">
      <w:pPr>
        <w:pStyle w:val="Index2"/>
        <w:tabs>
          <w:tab w:val="right" w:pos="3032"/>
        </w:tabs>
        <w:rPr>
          <w:noProof/>
        </w:rPr>
      </w:pPr>
      <w:r w:rsidRPr="000C7DF5">
        <w:rPr>
          <w:i/>
          <w:noProof/>
        </w:rPr>
        <w:t>Abbildung</w:t>
      </w:r>
      <w:r>
        <w:rPr>
          <w:noProof/>
        </w:rPr>
        <w:t xml:space="preserve">  18, 24, 28, 33, 89, 112, 132, 155</w:t>
      </w:r>
    </w:p>
    <w:p w:rsidR="00A35244" w:rsidRDefault="00A35244">
      <w:pPr>
        <w:pStyle w:val="Index1"/>
        <w:rPr>
          <w:noProof/>
        </w:rPr>
      </w:pPr>
      <w:r>
        <w:rPr>
          <w:noProof/>
        </w:rPr>
        <w:t>Meyer (Kaufmann)  119</w:t>
      </w:r>
    </w:p>
    <w:p w:rsidR="00A35244" w:rsidRDefault="00A35244">
      <w:pPr>
        <w:pStyle w:val="Index1"/>
        <w:rPr>
          <w:noProof/>
        </w:rPr>
      </w:pPr>
      <w:r>
        <w:rPr>
          <w:noProof/>
        </w:rPr>
        <w:t>Meyer, Br.  20, 103</w:t>
      </w:r>
    </w:p>
    <w:p w:rsidR="00A35244" w:rsidRDefault="00A35244">
      <w:pPr>
        <w:pStyle w:val="Index1"/>
        <w:rPr>
          <w:noProof/>
        </w:rPr>
      </w:pPr>
      <w:r>
        <w:rPr>
          <w:noProof/>
        </w:rPr>
        <w:t>Mischehen  84, 166, 167, 168, 169, 187</w:t>
      </w:r>
    </w:p>
    <w:p w:rsidR="00A35244" w:rsidRDefault="00A35244">
      <w:pPr>
        <w:pStyle w:val="Index1"/>
        <w:rPr>
          <w:noProof/>
        </w:rPr>
      </w:pPr>
      <w:r>
        <w:rPr>
          <w:noProof/>
        </w:rPr>
        <w:t>Missions-Handels-Actien-Gesellschaft (MHAG)  15, 94</w:t>
      </w:r>
    </w:p>
    <w:p w:rsidR="00A35244" w:rsidRDefault="00A35244">
      <w:pPr>
        <w:pStyle w:val="Index1"/>
        <w:rPr>
          <w:noProof/>
        </w:rPr>
      </w:pPr>
      <w:r>
        <w:rPr>
          <w:noProof/>
        </w:rPr>
        <w:t>Missionsschule  87, 90</w:t>
      </w:r>
    </w:p>
    <w:p w:rsidR="00A35244" w:rsidRDefault="00A35244">
      <w:pPr>
        <w:pStyle w:val="Index1"/>
        <w:rPr>
          <w:noProof/>
        </w:rPr>
      </w:pPr>
      <w:r>
        <w:rPr>
          <w:noProof/>
        </w:rPr>
        <w:t>Muslime  120</w:t>
      </w:r>
    </w:p>
    <w:p w:rsidR="000F6FEF" w:rsidRPr="00DB1DF3" w:rsidRDefault="000F6FEF" w:rsidP="000F6FEF">
      <w:pPr>
        <w:pStyle w:val="Index1"/>
        <w:keepNext/>
        <w:spacing w:before="246" w:after="246"/>
        <w:ind w:left="238" w:hanging="238"/>
        <w:jc w:val="center"/>
        <w:rPr>
          <w:b/>
          <w:noProof/>
        </w:rPr>
      </w:pPr>
      <w:r>
        <w:rPr>
          <w:b/>
          <w:noProof/>
        </w:rPr>
        <w:t>N</w:t>
      </w:r>
    </w:p>
    <w:p w:rsidR="00A35244" w:rsidRDefault="004D5F2A">
      <w:pPr>
        <w:pStyle w:val="Index1"/>
        <w:rPr>
          <w:noProof/>
        </w:rPr>
      </w:pPr>
      <w:r>
        <w:rPr>
          <w:noProof/>
        </w:rPr>
        <w:t>Nababip</w:t>
      </w:r>
      <w:r w:rsidR="00A35244">
        <w:rPr>
          <w:noProof/>
        </w:rPr>
        <w:t xml:space="preserve">  20</w:t>
      </w:r>
    </w:p>
    <w:p w:rsidR="00A35244" w:rsidRDefault="00A35244">
      <w:pPr>
        <w:pStyle w:val="Index1"/>
        <w:rPr>
          <w:noProof/>
        </w:rPr>
      </w:pPr>
      <w:r>
        <w:rPr>
          <w:noProof/>
        </w:rPr>
        <w:t>Naidans  29, 34</w:t>
      </w:r>
    </w:p>
    <w:p w:rsidR="00A35244" w:rsidRDefault="00A35244">
      <w:pPr>
        <w:pStyle w:val="Index1"/>
        <w:rPr>
          <w:noProof/>
        </w:rPr>
      </w:pPr>
      <w:r>
        <w:rPr>
          <w:noProof/>
        </w:rPr>
        <w:t>Nama  11, 14, 16, 26, 52, 59, 60, 65, 73, 75, 79, 86, 91, 94, 101, 121, 122, 124, 125, 127, 130, 148, 167, 170, 171, 173, 180, 182, 186</w:t>
      </w:r>
    </w:p>
    <w:p w:rsidR="00A35244" w:rsidRDefault="00A35244">
      <w:pPr>
        <w:pStyle w:val="Index1"/>
        <w:rPr>
          <w:noProof/>
        </w:rPr>
      </w:pPr>
      <w:r>
        <w:rPr>
          <w:noProof/>
        </w:rPr>
        <w:t>Nama (Sprache)  87, 169, 182</w:t>
      </w:r>
    </w:p>
    <w:p w:rsidR="00A35244" w:rsidRDefault="00A35244">
      <w:pPr>
        <w:pStyle w:val="Index1"/>
        <w:rPr>
          <w:noProof/>
        </w:rPr>
      </w:pPr>
      <w:r>
        <w:rPr>
          <w:noProof/>
        </w:rPr>
        <w:t>Namakunde  22, 64, 71, 73, 75, 80, 90, 112</w:t>
      </w:r>
    </w:p>
    <w:p w:rsidR="00A35244" w:rsidRDefault="00A35244">
      <w:pPr>
        <w:pStyle w:val="Index1"/>
        <w:rPr>
          <w:noProof/>
        </w:rPr>
      </w:pPr>
      <w:r>
        <w:rPr>
          <w:noProof/>
        </w:rPr>
        <w:t>Nechale, Häuptling  104, 130, 131, 132, 133, 185</w:t>
      </w:r>
    </w:p>
    <w:p w:rsidR="00A35244" w:rsidRDefault="00A35244">
      <w:pPr>
        <w:pStyle w:val="Index1"/>
        <w:rPr>
          <w:noProof/>
        </w:rPr>
      </w:pPr>
      <w:r>
        <w:rPr>
          <w:noProof/>
        </w:rPr>
        <w:t>Nekoto  63, 64</w:t>
      </w:r>
    </w:p>
    <w:p w:rsidR="00A35244" w:rsidRDefault="00A35244">
      <w:pPr>
        <w:pStyle w:val="Index1"/>
        <w:rPr>
          <w:noProof/>
        </w:rPr>
      </w:pPr>
      <w:r>
        <w:rPr>
          <w:noProof/>
        </w:rPr>
        <w:t>Nenga, Br.  22</w:t>
      </w:r>
    </w:p>
    <w:p w:rsidR="00A35244" w:rsidRDefault="00A35244">
      <w:pPr>
        <w:pStyle w:val="Index1"/>
        <w:rPr>
          <w:noProof/>
        </w:rPr>
      </w:pPr>
      <w:r>
        <w:rPr>
          <w:noProof/>
        </w:rPr>
        <w:t>Niemeier, Br.  21, 35</w:t>
      </w:r>
    </w:p>
    <w:p w:rsidR="00A35244" w:rsidRDefault="00A35244">
      <w:pPr>
        <w:pStyle w:val="Index1"/>
        <w:rPr>
          <w:noProof/>
        </w:rPr>
      </w:pPr>
      <w:r>
        <w:rPr>
          <w:noProof/>
        </w:rPr>
        <w:t>Nitschmann, Miss.  20</w:t>
      </w:r>
    </w:p>
    <w:p w:rsidR="00A35244" w:rsidRDefault="00A35244">
      <w:pPr>
        <w:pStyle w:val="Index1"/>
        <w:rPr>
          <w:noProof/>
        </w:rPr>
      </w:pPr>
      <w:r>
        <w:rPr>
          <w:noProof/>
        </w:rPr>
        <w:t>Nomaden  59, 65, 66, 166, 172</w:t>
      </w:r>
    </w:p>
    <w:p w:rsidR="000F6FEF" w:rsidRPr="00DB1DF3" w:rsidRDefault="000F6FEF" w:rsidP="000F6FEF">
      <w:pPr>
        <w:pStyle w:val="Index1"/>
        <w:keepNext/>
        <w:spacing w:before="246" w:after="246"/>
        <w:ind w:left="238" w:hanging="238"/>
        <w:jc w:val="center"/>
        <w:rPr>
          <w:b/>
          <w:noProof/>
        </w:rPr>
      </w:pPr>
      <w:r>
        <w:rPr>
          <w:b/>
          <w:noProof/>
        </w:rPr>
        <w:t>O</w:t>
      </w:r>
    </w:p>
    <w:p w:rsidR="00A35244" w:rsidRDefault="00A35244">
      <w:pPr>
        <w:pStyle w:val="Index1"/>
        <w:rPr>
          <w:noProof/>
        </w:rPr>
      </w:pPr>
      <w:r>
        <w:rPr>
          <w:noProof/>
        </w:rPr>
        <w:t>Oertzen, Hauptmann von  149</w:t>
      </w:r>
    </w:p>
    <w:p w:rsidR="00A35244" w:rsidRDefault="00A35244">
      <w:pPr>
        <w:pStyle w:val="Index1"/>
        <w:rPr>
          <w:noProof/>
        </w:rPr>
      </w:pPr>
      <w:r>
        <w:rPr>
          <w:noProof/>
        </w:rPr>
        <w:t>Okahandja  21, 22, 98, 99, 109, 143, 158, 169</w:t>
      </w:r>
    </w:p>
    <w:p w:rsidR="00A35244" w:rsidRDefault="00A35244">
      <w:pPr>
        <w:pStyle w:val="Index1"/>
        <w:rPr>
          <w:noProof/>
        </w:rPr>
      </w:pPr>
      <w:r>
        <w:rPr>
          <w:noProof/>
        </w:rPr>
        <w:t>Okaputa  21, 30, 69</w:t>
      </w:r>
    </w:p>
    <w:p w:rsidR="00A35244" w:rsidRDefault="00A35244">
      <w:pPr>
        <w:pStyle w:val="Index1"/>
        <w:rPr>
          <w:noProof/>
        </w:rPr>
      </w:pPr>
      <w:r>
        <w:rPr>
          <w:noProof/>
        </w:rPr>
        <w:t>Okaukuejo  22, 170, 183</w:t>
      </w:r>
    </w:p>
    <w:p w:rsidR="00A35244" w:rsidRDefault="00A35244">
      <w:pPr>
        <w:pStyle w:val="Index1"/>
        <w:rPr>
          <w:noProof/>
        </w:rPr>
      </w:pPr>
      <w:r>
        <w:rPr>
          <w:noProof/>
        </w:rPr>
        <w:lastRenderedPageBreak/>
        <w:t>Okombahe  21, 26, 27, 43, 69, 74, 92, 130, 159</w:t>
      </w:r>
    </w:p>
    <w:p w:rsidR="00A35244" w:rsidRDefault="00A35244">
      <w:pPr>
        <w:pStyle w:val="Index1"/>
        <w:rPr>
          <w:noProof/>
        </w:rPr>
      </w:pPr>
      <w:r>
        <w:rPr>
          <w:noProof/>
        </w:rPr>
        <w:t>Okowakuatjivi  32</w:t>
      </w:r>
    </w:p>
    <w:p w:rsidR="00A35244" w:rsidRDefault="00A35244">
      <w:pPr>
        <w:pStyle w:val="Index1"/>
        <w:rPr>
          <w:noProof/>
        </w:rPr>
      </w:pPr>
      <w:r w:rsidRPr="000C7DF5">
        <w:rPr>
          <w:noProof/>
          <w:lang w:val="en-GB"/>
        </w:rPr>
        <w:t>Olpp, Br.</w:t>
      </w:r>
      <w:r>
        <w:rPr>
          <w:noProof/>
        </w:rPr>
        <w:t xml:space="preserve">  21, 22, 89, 99, 109, 126, 127, 143, 151</w:t>
      </w:r>
    </w:p>
    <w:p w:rsidR="00A35244" w:rsidRDefault="00A35244">
      <w:pPr>
        <w:pStyle w:val="Index1"/>
        <w:rPr>
          <w:noProof/>
        </w:rPr>
      </w:pPr>
      <w:r>
        <w:rPr>
          <w:noProof/>
        </w:rPr>
        <w:t>Olukonda  22, 62, 63, 76, 112</w:t>
      </w:r>
    </w:p>
    <w:p w:rsidR="00A35244" w:rsidRDefault="00A35244">
      <w:pPr>
        <w:pStyle w:val="Index1"/>
        <w:rPr>
          <w:noProof/>
        </w:rPr>
      </w:pPr>
      <w:r>
        <w:rPr>
          <w:noProof/>
        </w:rPr>
        <w:t>Omaheke (Wüste)  129, 175</w:t>
      </w:r>
    </w:p>
    <w:p w:rsidR="00A35244" w:rsidRDefault="00A35244">
      <w:pPr>
        <w:pStyle w:val="Index1"/>
        <w:rPr>
          <w:noProof/>
        </w:rPr>
      </w:pPr>
      <w:r>
        <w:rPr>
          <w:noProof/>
        </w:rPr>
        <w:t>Omaruru  21, 22, 27, 30, 31, 32, 69, 108, 116, 118, 134, 159, 162, 170, 175, 178, 180</w:t>
      </w:r>
    </w:p>
    <w:p w:rsidR="00A35244" w:rsidRDefault="00A35244">
      <w:pPr>
        <w:pStyle w:val="Index1"/>
        <w:rPr>
          <w:noProof/>
        </w:rPr>
      </w:pPr>
      <w:r>
        <w:rPr>
          <w:noProof/>
        </w:rPr>
        <w:t>Omburo  21, 31, 69, 99, 108, 116, 117, 129, 133, 135, 139, 143, 175, 179, 180</w:t>
      </w:r>
    </w:p>
    <w:p w:rsidR="00A35244" w:rsidRDefault="00A35244">
      <w:pPr>
        <w:pStyle w:val="Index1"/>
        <w:rPr>
          <w:noProof/>
        </w:rPr>
      </w:pPr>
      <w:r>
        <w:rPr>
          <w:noProof/>
        </w:rPr>
        <w:t>Omipa  22, 112</w:t>
      </w:r>
    </w:p>
    <w:p w:rsidR="00A35244" w:rsidRDefault="00A35244">
      <w:pPr>
        <w:pStyle w:val="Index1"/>
        <w:rPr>
          <w:noProof/>
        </w:rPr>
      </w:pPr>
      <w:r>
        <w:rPr>
          <w:noProof/>
        </w:rPr>
        <w:t>Omulanga  22, 131</w:t>
      </w:r>
    </w:p>
    <w:p w:rsidR="00A35244" w:rsidRDefault="00A35244">
      <w:pPr>
        <w:pStyle w:val="Index1"/>
        <w:rPr>
          <w:noProof/>
        </w:rPr>
      </w:pPr>
      <w:r>
        <w:rPr>
          <w:noProof/>
        </w:rPr>
        <w:t>Omupanda  22, 61, 72, 80, 86, 110</w:t>
      </w:r>
    </w:p>
    <w:p w:rsidR="00A35244" w:rsidRDefault="00A35244">
      <w:pPr>
        <w:pStyle w:val="Index1"/>
        <w:rPr>
          <w:noProof/>
        </w:rPr>
      </w:pPr>
      <w:r>
        <w:rPr>
          <w:noProof/>
        </w:rPr>
        <w:t>Onajena  22, 132</w:t>
      </w:r>
    </w:p>
    <w:p w:rsidR="00A35244" w:rsidRDefault="00A35244">
      <w:pPr>
        <w:pStyle w:val="Index1"/>
        <w:rPr>
          <w:noProof/>
        </w:rPr>
      </w:pPr>
      <w:r w:rsidRPr="000C7DF5">
        <w:rPr>
          <w:noProof/>
          <w:lang w:val="it-IT"/>
        </w:rPr>
        <w:t>Ondangua</w:t>
      </w:r>
      <w:r>
        <w:rPr>
          <w:noProof/>
        </w:rPr>
        <w:t xml:space="preserve">  22, 71, 112</w:t>
      </w:r>
    </w:p>
    <w:p w:rsidR="00A35244" w:rsidRDefault="00A35244">
      <w:pPr>
        <w:pStyle w:val="Index1"/>
        <w:rPr>
          <w:noProof/>
        </w:rPr>
      </w:pPr>
      <w:r>
        <w:rPr>
          <w:noProof/>
        </w:rPr>
        <w:t>Ondekaremba (Farm)  115</w:t>
      </w:r>
    </w:p>
    <w:p w:rsidR="00A35244" w:rsidRDefault="00A35244">
      <w:pPr>
        <w:pStyle w:val="Index1"/>
        <w:rPr>
          <w:noProof/>
        </w:rPr>
      </w:pPr>
      <w:r w:rsidRPr="000C7DF5">
        <w:rPr>
          <w:noProof/>
          <w:lang w:val="it-IT"/>
        </w:rPr>
        <w:t>Ondjiva</w:t>
      </w:r>
      <w:r>
        <w:rPr>
          <w:noProof/>
        </w:rPr>
        <w:t xml:space="preserve">  22, 71, 72</w:t>
      </w:r>
    </w:p>
    <w:p w:rsidR="00A35244" w:rsidRDefault="00A35244">
      <w:pPr>
        <w:pStyle w:val="Index1"/>
        <w:rPr>
          <w:noProof/>
        </w:rPr>
      </w:pPr>
      <w:r>
        <w:rPr>
          <w:noProof/>
        </w:rPr>
        <w:t>Ontananga  22</w:t>
      </w:r>
    </w:p>
    <w:p w:rsidR="00A35244" w:rsidRDefault="00A35244">
      <w:pPr>
        <w:pStyle w:val="Index1"/>
        <w:rPr>
          <w:noProof/>
        </w:rPr>
      </w:pPr>
      <w:r>
        <w:rPr>
          <w:noProof/>
        </w:rPr>
        <w:t>Orientalismus  47, 48, 136</w:t>
      </w:r>
    </w:p>
    <w:p w:rsidR="00A35244" w:rsidRDefault="00A35244">
      <w:pPr>
        <w:pStyle w:val="Index1"/>
        <w:rPr>
          <w:noProof/>
        </w:rPr>
      </w:pPr>
      <w:r>
        <w:rPr>
          <w:noProof/>
        </w:rPr>
        <w:t>Oshikuanjama (Sprache)  90</w:t>
      </w:r>
    </w:p>
    <w:p w:rsidR="00A35244" w:rsidRDefault="00A35244">
      <w:pPr>
        <w:pStyle w:val="Index1"/>
        <w:rPr>
          <w:noProof/>
        </w:rPr>
      </w:pPr>
      <w:r w:rsidRPr="000C7DF5">
        <w:rPr>
          <w:iCs/>
          <w:noProof/>
        </w:rPr>
        <w:t>Oshindonga (Sprache)</w:t>
      </w:r>
      <w:r>
        <w:rPr>
          <w:noProof/>
        </w:rPr>
        <w:t xml:space="preserve">  90</w:t>
      </w:r>
    </w:p>
    <w:p w:rsidR="00A35244" w:rsidRDefault="00A35244">
      <w:pPr>
        <w:pStyle w:val="Index1"/>
        <w:rPr>
          <w:noProof/>
        </w:rPr>
      </w:pPr>
      <w:r w:rsidRPr="000C7DF5">
        <w:rPr>
          <w:noProof/>
          <w:lang w:val="it-IT"/>
        </w:rPr>
        <w:t>Otavi</w:t>
      </w:r>
      <w:r>
        <w:rPr>
          <w:noProof/>
        </w:rPr>
        <w:t xml:space="preserve">  22, 70</w:t>
      </w:r>
    </w:p>
    <w:p w:rsidR="00A35244" w:rsidRDefault="00A35244">
      <w:pPr>
        <w:pStyle w:val="Index1"/>
        <w:rPr>
          <w:noProof/>
        </w:rPr>
      </w:pPr>
      <w:r>
        <w:rPr>
          <w:noProof/>
        </w:rPr>
        <w:t>Otawi  21</w:t>
      </w:r>
    </w:p>
    <w:p w:rsidR="00A35244" w:rsidRDefault="00A35244">
      <w:pPr>
        <w:pStyle w:val="Index1"/>
        <w:rPr>
          <w:noProof/>
        </w:rPr>
      </w:pPr>
      <w:r>
        <w:rPr>
          <w:noProof/>
        </w:rPr>
        <w:t>Othering  53, 101, 102, 157</w:t>
      </w:r>
    </w:p>
    <w:p w:rsidR="00A35244" w:rsidRDefault="00A35244">
      <w:pPr>
        <w:pStyle w:val="Index1"/>
        <w:rPr>
          <w:noProof/>
        </w:rPr>
      </w:pPr>
      <w:r>
        <w:rPr>
          <w:noProof/>
        </w:rPr>
        <w:t>Otjihaënena  21, 36, 58, 65, 66, 74, 99, 106, 115, 116, 129, 133, 134, 135, 143, 179</w:t>
      </w:r>
    </w:p>
    <w:p w:rsidR="00A35244" w:rsidRDefault="00A35244">
      <w:pPr>
        <w:pStyle w:val="Index1"/>
        <w:rPr>
          <w:noProof/>
        </w:rPr>
      </w:pPr>
      <w:r>
        <w:rPr>
          <w:noProof/>
        </w:rPr>
        <w:t>Otjiherero (Sprache)  87, 90, 181</w:t>
      </w:r>
    </w:p>
    <w:p w:rsidR="00A35244" w:rsidRDefault="00A35244">
      <w:pPr>
        <w:pStyle w:val="Index1"/>
        <w:rPr>
          <w:noProof/>
        </w:rPr>
      </w:pPr>
      <w:r>
        <w:rPr>
          <w:noProof/>
        </w:rPr>
        <w:t>Otjimbingue  17, 21, 22, 75, 78, 89, 108, 109, 148, 168</w:t>
      </w:r>
    </w:p>
    <w:p w:rsidR="00A35244" w:rsidRDefault="00A35244">
      <w:pPr>
        <w:pStyle w:val="Index1"/>
        <w:rPr>
          <w:noProof/>
        </w:rPr>
      </w:pPr>
      <w:r>
        <w:rPr>
          <w:noProof/>
        </w:rPr>
        <w:t>Otjiwarongo  177</w:t>
      </w:r>
    </w:p>
    <w:p w:rsidR="00A35244" w:rsidRDefault="006D1099">
      <w:pPr>
        <w:pStyle w:val="Index1"/>
        <w:rPr>
          <w:noProof/>
        </w:rPr>
      </w:pPr>
      <w:r>
        <w:rPr>
          <w:noProof/>
        </w:rPr>
        <w:t>Otjosongombe</w:t>
      </w:r>
      <w:r w:rsidR="00A35244">
        <w:rPr>
          <w:noProof/>
        </w:rPr>
        <w:t xml:space="preserve">  99, 180</w:t>
      </w:r>
    </w:p>
    <w:p w:rsidR="00A35244" w:rsidRDefault="00A35244">
      <w:pPr>
        <w:pStyle w:val="Index1"/>
        <w:rPr>
          <w:noProof/>
        </w:rPr>
      </w:pPr>
      <w:r>
        <w:rPr>
          <w:noProof/>
        </w:rPr>
        <w:t>Outjo  22, 28, 29, 31, 35, 58, 73, 85, 149, 162, 169, 171</w:t>
      </w:r>
    </w:p>
    <w:p w:rsidR="00A35244" w:rsidRDefault="00A35244">
      <w:pPr>
        <w:pStyle w:val="Index1"/>
        <w:rPr>
          <w:noProof/>
        </w:rPr>
      </w:pPr>
      <w:r>
        <w:rPr>
          <w:noProof/>
        </w:rPr>
        <w:t>Ovambomission  124, 132</w:t>
      </w:r>
    </w:p>
    <w:p w:rsidR="000F6FEF" w:rsidRPr="00DB1DF3" w:rsidRDefault="000F6FEF" w:rsidP="000F6FEF">
      <w:pPr>
        <w:pStyle w:val="Index1"/>
        <w:keepNext/>
        <w:spacing w:before="246" w:after="246"/>
        <w:ind w:left="238" w:hanging="238"/>
        <w:jc w:val="center"/>
        <w:rPr>
          <w:b/>
          <w:noProof/>
        </w:rPr>
      </w:pPr>
      <w:r>
        <w:rPr>
          <w:b/>
          <w:noProof/>
        </w:rPr>
        <w:t>P</w:t>
      </w:r>
    </w:p>
    <w:p w:rsidR="00A35244" w:rsidRDefault="00A35244">
      <w:pPr>
        <w:pStyle w:val="Index1"/>
        <w:rPr>
          <w:noProof/>
        </w:rPr>
      </w:pPr>
      <w:r>
        <w:rPr>
          <w:noProof/>
        </w:rPr>
        <w:t>Pallottiner (Kamerun)  117</w:t>
      </w:r>
    </w:p>
    <w:p w:rsidR="00A35244" w:rsidRDefault="00A35244">
      <w:pPr>
        <w:pStyle w:val="Index1"/>
        <w:rPr>
          <w:noProof/>
        </w:rPr>
      </w:pPr>
      <w:r>
        <w:rPr>
          <w:noProof/>
        </w:rPr>
        <w:lastRenderedPageBreak/>
        <w:t>Paternalismus  86, 104, 127, 132, 165, 169, 170, 186, 187</w:t>
      </w:r>
    </w:p>
    <w:p w:rsidR="00A35244" w:rsidRDefault="00A35244">
      <w:pPr>
        <w:pStyle w:val="Index1"/>
        <w:rPr>
          <w:noProof/>
        </w:rPr>
      </w:pPr>
      <w:r>
        <w:rPr>
          <w:noProof/>
        </w:rPr>
        <w:t>Patriarchat  67, 135, 136, 137</w:t>
      </w:r>
    </w:p>
    <w:p w:rsidR="00A35244" w:rsidRDefault="00A35244">
      <w:pPr>
        <w:pStyle w:val="Index1"/>
        <w:rPr>
          <w:noProof/>
        </w:rPr>
      </w:pPr>
      <w:r>
        <w:rPr>
          <w:noProof/>
        </w:rPr>
        <w:t>Peters, Karl  144</w:t>
      </w:r>
    </w:p>
    <w:p w:rsidR="00A35244" w:rsidRDefault="00A35244">
      <w:pPr>
        <w:pStyle w:val="Index1"/>
        <w:rPr>
          <w:noProof/>
        </w:rPr>
      </w:pPr>
      <w:r>
        <w:rPr>
          <w:noProof/>
        </w:rPr>
        <w:t>Pettinen, Geschw.  22, 112</w:t>
      </w:r>
    </w:p>
    <w:p w:rsidR="00A35244" w:rsidRDefault="00A35244">
      <w:pPr>
        <w:pStyle w:val="Index1"/>
        <w:rPr>
          <w:noProof/>
        </w:rPr>
      </w:pPr>
      <w:r>
        <w:rPr>
          <w:noProof/>
        </w:rPr>
        <w:t>Polygamie  58, 137, 138</w:t>
      </w:r>
    </w:p>
    <w:p w:rsidR="00A35244" w:rsidRDefault="00A35244">
      <w:pPr>
        <w:pStyle w:val="Index1"/>
        <w:rPr>
          <w:noProof/>
        </w:rPr>
      </w:pPr>
      <w:r>
        <w:rPr>
          <w:noProof/>
        </w:rPr>
        <w:t>Pontok  62, 108, 134, 179, 180, 181</w:t>
      </w:r>
    </w:p>
    <w:p w:rsidR="00A35244" w:rsidRDefault="00A35244">
      <w:pPr>
        <w:pStyle w:val="Index1"/>
        <w:rPr>
          <w:noProof/>
        </w:rPr>
      </w:pPr>
      <w:r w:rsidRPr="000C7DF5">
        <w:rPr>
          <w:noProof/>
          <w:lang w:val="fr-FR"/>
        </w:rPr>
        <w:t>Port Nolloth</w:t>
      </w:r>
      <w:r>
        <w:rPr>
          <w:noProof/>
        </w:rPr>
        <w:t xml:space="preserve">  20, 23, 30, 176</w:t>
      </w:r>
    </w:p>
    <w:p w:rsidR="00A35244" w:rsidRDefault="00A35244">
      <w:pPr>
        <w:pStyle w:val="Index1"/>
        <w:rPr>
          <w:noProof/>
        </w:rPr>
      </w:pPr>
      <w:r>
        <w:rPr>
          <w:noProof/>
        </w:rPr>
        <w:t>Postkolonialismus  12, 13, 45, 46, 49, 50, 82, 136, 189</w:t>
      </w:r>
    </w:p>
    <w:p w:rsidR="000F6FEF" w:rsidRPr="00DB1DF3" w:rsidRDefault="000F6FEF" w:rsidP="000F6FEF">
      <w:pPr>
        <w:pStyle w:val="Index1"/>
        <w:keepNext/>
        <w:spacing w:before="246" w:after="246"/>
        <w:ind w:left="238" w:hanging="238"/>
        <w:jc w:val="center"/>
        <w:rPr>
          <w:b/>
          <w:noProof/>
        </w:rPr>
      </w:pPr>
      <w:r>
        <w:rPr>
          <w:b/>
          <w:noProof/>
        </w:rPr>
        <w:t>R</w:t>
      </w:r>
    </w:p>
    <w:p w:rsidR="00A35244" w:rsidRDefault="00A35244">
      <w:pPr>
        <w:pStyle w:val="Index1"/>
        <w:rPr>
          <w:noProof/>
        </w:rPr>
      </w:pPr>
      <w:r>
        <w:rPr>
          <w:noProof/>
        </w:rPr>
        <w:t>Ramansdrift  174</w:t>
      </w:r>
    </w:p>
    <w:p w:rsidR="00A35244" w:rsidRDefault="00A35244">
      <w:pPr>
        <w:pStyle w:val="Index1"/>
        <w:rPr>
          <w:noProof/>
        </w:rPr>
      </w:pPr>
      <w:r>
        <w:rPr>
          <w:noProof/>
        </w:rPr>
        <w:t>Rantauen, Br.  22, 76, 90, 112</w:t>
      </w:r>
    </w:p>
    <w:p w:rsidR="00A35244" w:rsidRDefault="00A35244">
      <w:pPr>
        <w:pStyle w:val="Index1"/>
        <w:rPr>
          <w:noProof/>
        </w:rPr>
      </w:pPr>
      <w:r>
        <w:rPr>
          <w:noProof/>
        </w:rPr>
        <w:t>Rassismus  45, 52, 151, 152, 153</w:t>
      </w:r>
    </w:p>
    <w:p w:rsidR="00A35244" w:rsidRDefault="00A35244">
      <w:pPr>
        <w:pStyle w:val="Index1"/>
        <w:rPr>
          <w:noProof/>
        </w:rPr>
      </w:pPr>
      <w:r>
        <w:rPr>
          <w:noProof/>
        </w:rPr>
        <w:t>Rawe (Lehrer in Windhuk)  90</w:t>
      </w:r>
    </w:p>
    <w:p w:rsidR="00A35244" w:rsidRDefault="00A35244">
      <w:pPr>
        <w:pStyle w:val="Index1"/>
        <w:rPr>
          <w:noProof/>
        </w:rPr>
      </w:pPr>
      <w:r>
        <w:rPr>
          <w:noProof/>
        </w:rPr>
        <w:t>Redecker, Familie  75, 148</w:t>
      </w:r>
    </w:p>
    <w:p w:rsidR="00A35244" w:rsidRDefault="00A35244">
      <w:pPr>
        <w:pStyle w:val="Index1"/>
        <w:rPr>
          <w:noProof/>
        </w:rPr>
      </w:pPr>
      <w:r>
        <w:rPr>
          <w:noProof/>
        </w:rPr>
        <w:t>Regenzeit  62, 69, 71, 92</w:t>
      </w:r>
    </w:p>
    <w:p w:rsidR="00A35244" w:rsidRDefault="00A35244">
      <w:pPr>
        <w:pStyle w:val="Index1"/>
        <w:rPr>
          <w:noProof/>
        </w:rPr>
      </w:pPr>
      <w:r>
        <w:rPr>
          <w:noProof/>
        </w:rPr>
        <w:t>Rehoboth  21, 23, 25, 33, 34, 35, 36, 69, 74, 77, 78, 79, 88, 105, 108, 129, 130, 160, 187</w:t>
      </w:r>
    </w:p>
    <w:p w:rsidR="00A35244" w:rsidRDefault="00A35244">
      <w:pPr>
        <w:pStyle w:val="Index1"/>
        <w:rPr>
          <w:noProof/>
        </w:rPr>
      </w:pPr>
      <w:r w:rsidRPr="000C7DF5">
        <w:rPr>
          <w:noProof/>
          <w:lang w:val="en-GB"/>
        </w:rPr>
        <w:t>Reich, Wilhelm</w:t>
      </w:r>
      <w:r>
        <w:rPr>
          <w:noProof/>
        </w:rPr>
        <w:t xml:space="preserve">  157</w:t>
      </w:r>
    </w:p>
    <w:p w:rsidR="00A35244" w:rsidRDefault="00A35244">
      <w:pPr>
        <w:pStyle w:val="Index1"/>
        <w:rPr>
          <w:noProof/>
        </w:rPr>
      </w:pPr>
      <w:r>
        <w:rPr>
          <w:noProof/>
        </w:rPr>
        <w:t>Reisebericht  36, 37, 39, 40, 41, 42, 50, 52, 154</w:t>
      </w:r>
    </w:p>
    <w:p w:rsidR="00A35244" w:rsidRDefault="00A35244">
      <w:pPr>
        <w:pStyle w:val="Index1"/>
        <w:rPr>
          <w:noProof/>
        </w:rPr>
      </w:pPr>
      <w:r>
        <w:rPr>
          <w:noProof/>
        </w:rPr>
        <w:t>Reiseliteratur  42, 45, 50, 156, 189</w:t>
      </w:r>
    </w:p>
    <w:p w:rsidR="00A35244" w:rsidRDefault="00A35244">
      <w:pPr>
        <w:pStyle w:val="Index1"/>
        <w:rPr>
          <w:noProof/>
        </w:rPr>
      </w:pPr>
      <w:r>
        <w:rPr>
          <w:noProof/>
        </w:rPr>
        <w:t>Reisetagebuch  19, 36, 40, 41, 186</w:t>
      </w:r>
    </w:p>
    <w:p w:rsidR="00A35244" w:rsidRDefault="00A35244">
      <w:pPr>
        <w:pStyle w:val="Index1"/>
        <w:rPr>
          <w:noProof/>
        </w:rPr>
      </w:pPr>
      <w:r>
        <w:rPr>
          <w:noProof/>
        </w:rPr>
        <w:t>Rheinische Missionsgesellschaft (RMG)  16, 111, 121</w:t>
      </w:r>
    </w:p>
    <w:p w:rsidR="00A35244" w:rsidRDefault="00A35244">
      <w:pPr>
        <w:pStyle w:val="Index1"/>
        <w:rPr>
          <w:noProof/>
        </w:rPr>
      </w:pPr>
      <w:r>
        <w:rPr>
          <w:noProof/>
        </w:rPr>
        <w:t>Riechmann, Br.  27</w:t>
      </w:r>
    </w:p>
    <w:p w:rsidR="00A35244" w:rsidRDefault="00A35244">
      <w:pPr>
        <w:pStyle w:val="Index1"/>
        <w:rPr>
          <w:noProof/>
        </w:rPr>
      </w:pPr>
      <w:r>
        <w:rPr>
          <w:noProof/>
        </w:rPr>
        <w:t>Rivier  71, 92</w:t>
      </w:r>
    </w:p>
    <w:p w:rsidR="00A35244" w:rsidRDefault="00A35244">
      <w:pPr>
        <w:pStyle w:val="Index1"/>
        <w:rPr>
          <w:noProof/>
        </w:rPr>
      </w:pPr>
      <w:r>
        <w:rPr>
          <w:noProof/>
        </w:rPr>
        <w:t>Rohde, Dr.  108</w:t>
      </w:r>
    </w:p>
    <w:p w:rsidR="00A35244" w:rsidRDefault="00A35244">
      <w:pPr>
        <w:pStyle w:val="Index1"/>
        <w:rPr>
          <w:noProof/>
        </w:rPr>
      </w:pPr>
      <w:r>
        <w:rPr>
          <w:noProof/>
        </w:rPr>
        <w:t>Rohrbach, Dr.  66, 166</w:t>
      </w:r>
    </w:p>
    <w:p w:rsidR="00A35244" w:rsidRDefault="00A35244">
      <w:pPr>
        <w:pStyle w:val="Index1"/>
        <w:rPr>
          <w:noProof/>
        </w:rPr>
      </w:pPr>
      <w:r>
        <w:rPr>
          <w:noProof/>
        </w:rPr>
        <w:t>Rust, Conrad  106, 107</w:t>
      </w:r>
    </w:p>
    <w:p w:rsidR="00A35244" w:rsidRDefault="00A35244">
      <w:pPr>
        <w:pStyle w:val="Index1"/>
        <w:rPr>
          <w:noProof/>
        </w:rPr>
      </w:pPr>
      <w:r>
        <w:rPr>
          <w:noProof/>
        </w:rPr>
        <w:t>Rust, Ehepaar (Ondekaremba)  115</w:t>
      </w:r>
    </w:p>
    <w:p w:rsidR="00A35244" w:rsidRDefault="00A35244">
      <w:pPr>
        <w:pStyle w:val="Index1"/>
        <w:rPr>
          <w:noProof/>
        </w:rPr>
      </w:pPr>
      <w:r>
        <w:rPr>
          <w:noProof/>
        </w:rPr>
        <w:t>Ryksboek (Bethanien)  138</w:t>
      </w:r>
    </w:p>
    <w:p w:rsidR="000F6FEF" w:rsidRPr="00DB1DF3" w:rsidRDefault="000F6FEF" w:rsidP="000F6FEF">
      <w:pPr>
        <w:pStyle w:val="Index1"/>
        <w:keepNext/>
        <w:spacing w:before="246" w:after="246"/>
        <w:ind w:left="238" w:hanging="238"/>
        <w:jc w:val="center"/>
        <w:rPr>
          <w:b/>
          <w:noProof/>
        </w:rPr>
      </w:pPr>
      <w:r>
        <w:rPr>
          <w:b/>
          <w:noProof/>
        </w:rPr>
        <w:t>S</w:t>
      </w:r>
    </w:p>
    <w:p w:rsidR="00A35244" w:rsidRDefault="00A35244">
      <w:pPr>
        <w:pStyle w:val="Index1"/>
        <w:rPr>
          <w:noProof/>
        </w:rPr>
      </w:pPr>
      <w:r>
        <w:rPr>
          <w:noProof/>
        </w:rPr>
        <w:t>Said, Edward  46, 47, 48, 49</w:t>
      </w:r>
    </w:p>
    <w:p w:rsidR="00A35244" w:rsidRDefault="00A35244">
      <w:pPr>
        <w:pStyle w:val="Index1"/>
        <w:rPr>
          <w:noProof/>
        </w:rPr>
      </w:pPr>
      <w:r>
        <w:rPr>
          <w:noProof/>
        </w:rPr>
        <w:t>Samassa, Paul  144</w:t>
      </w:r>
    </w:p>
    <w:p w:rsidR="00A35244" w:rsidRDefault="00A35244">
      <w:pPr>
        <w:pStyle w:val="Index1"/>
        <w:rPr>
          <w:noProof/>
        </w:rPr>
      </w:pPr>
      <w:r>
        <w:rPr>
          <w:noProof/>
        </w:rPr>
        <w:t>Sammelstelle  21, 31, 116, 117, 133, 179, 180, 181</w:t>
      </w:r>
    </w:p>
    <w:p w:rsidR="00A35244" w:rsidRDefault="00A35244">
      <w:pPr>
        <w:pStyle w:val="Index1"/>
        <w:rPr>
          <w:noProof/>
        </w:rPr>
      </w:pPr>
      <w:r>
        <w:rPr>
          <w:noProof/>
        </w:rPr>
        <w:lastRenderedPageBreak/>
        <w:t>Sarepta  20, 23, 161</w:t>
      </w:r>
    </w:p>
    <w:p w:rsidR="00A35244" w:rsidRDefault="00A35244">
      <w:pPr>
        <w:pStyle w:val="Index1"/>
        <w:rPr>
          <w:noProof/>
        </w:rPr>
      </w:pPr>
      <w:r>
        <w:rPr>
          <w:noProof/>
        </w:rPr>
        <w:t>Saron  20, 23, 81, 95, 98, 120, 187</w:t>
      </w:r>
    </w:p>
    <w:p w:rsidR="00A35244" w:rsidRDefault="00A35244">
      <w:pPr>
        <w:pStyle w:val="Index1"/>
        <w:rPr>
          <w:noProof/>
        </w:rPr>
      </w:pPr>
      <w:r>
        <w:rPr>
          <w:noProof/>
        </w:rPr>
        <w:t>Sauberzweig Schmidt, Gabriel (Missionsinspektor der Berliner Mission)  29</w:t>
      </w:r>
    </w:p>
    <w:p w:rsidR="00A35244" w:rsidRDefault="00A35244">
      <w:pPr>
        <w:pStyle w:val="Index1"/>
        <w:rPr>
          <w:noProof/>
        </w:rPr>
      </w:pPr>
      <w:r>
        <w:rPr>
          <w:noProof/>
        </w:rPr>
        <w:t>Schaible, Geschw.  22, 93</w:t>
      </w:r>
    </w:p>
    <w:p w:rsidR="00A35244" w:rsidRDefault="00A35244">
      <w:pPr>
        <w:pStyle w:val="Index1"/>
        <w:rPr>
          <w:noProof/>
        </w:rPr>
      </w:pPr>
      <w:r>
        <w:rPr>
          <w:noProof/>
        </w:rPr>
        <w:t>Schmolke, Br.  23</w:t>
      </w:r>
    </w:p>
    <w:p w:rsidR="00A35244" w:rsidRDefault="00A35244">
      <w:pPr>
        <w:pStyle w:val="Index1"/>
        <w:rPr>
          <w:noProof/>
        </w:rPr>
      </w:pPr>
      <w:r>
        <w:rPr>
          <w:noProof/>
        </w:rPr>
        <w:t>Schnalzlaute  182</w:t>
      </w:r>
    </w:p>
    <w:p w:rsidR="00A35244" w:rsidRDefault="00A35244">
      <w:pPr>
        <w:pStyle w:val="Index1"/>
        <w:rPr>
          <w:noProof/>
        </w:rPr>
      </w:pPr>
      <w:r>
        <w:rPr>
          <w:noProof/>
        </w:rPr>
        <w:t>Schönau-Wehr, Hauptmann von  108</w:t>
      </w:r>
    </w:p>
    <w:p w:rsidR="00A35244" w:rsidRDefault="00A35244">
      <w:pPr>
        <w:pStyle w:val="Index1"/>
        <w:rPr>
          <w:noProof/>
        </w:rPr>
      </w:pPr>
      <w:r>
        <w:rPr>
          <w:noProof/>
        </w:rPr>
        <w:t>Schouten, Wouter  82</w:t>
      </w:r>
    </w:p>
    <w:p w:rsidR="00A35244" w:rsidRDefault="00A35244">
      <w:pPr>
        <w:pStyle w:val="Index1"/>
        <w:rPr>
          <w:noProof/>
        </w:rPr>
      </w:pPr>
      <w:r>
        <w:rPr>
          <w:noProof/>
        </w:rPr>
        <w:t>Schroedter, Dr. (Militär-Oberarzt in Outjo)  115</w:t>
      </w:r>
    </w:p>
    <w:p w:rsidR="00A35244" w:rsidRDefault="00A35244">
      <w:pPr>
        <w:pStyle w:val="Index1"/>
        <w:rPr>
          <w:noProof/>
        </w:rPr>
      </w:pPr>
      <w:r>
        <w:rPr>
          <w:noProof/>
        </w:rPr>
        <w:t>Sckaer, Geschw.  22, 61</w:t>
      </w:r>
    </w:p>
    <w:p w:rsidR="00A35244" w:rsidRDefault="00A35244">
      <w:pPr>
        <w:pStyle w:val="Index1"/>
        <w:rPr>
          <w:noProof/>
        </w:rPr>
      </w:pPr>
      <w:r>
        <w:rPr>
          <w:noProof/>
        </w:rPr>
        <w:t>Shakespeare, William  153</w:t>
      </w:r>
    </w:p>
    <w:p w:rsidR="00A35244" w:rsidRDefault="00A35244">
      <w:pPr>
        <w:pStyle w:val="Index1"/>
        <w:rPr>
          <w:noProof/>
        </w:rPr>
      </w:pPr>
      <w:r>
        <w:rPr>
          <w:noProof/>
        </w:rPr>
        <w:t>Siedler  54, 73, 106, 107, 114, 129, 140, 148, 171, 186</w:t>
      </w:r>
    </w:p>
    <w:p w:rsidR="00A35244" w:rsidRDefault="00A35244">
      <w:pPr>
        <w:pStyle w:val="Index1"/>
        <w:rPr>
          <w:noProof/>
        </w:rPr>
      </w:pPr>
      <w:r>
        <w:rPr>
          <w:noProof/>
        </w:rPr>
        <w:t>Siefkes, Dr. Frauke  5, 13</w:t>
      </w:r>
    </w:p>
    <w:p w:rsidR="00A35244" w:rsidRDefault="00A35244">
      <w:pPr>
        <w:pStyle w:val="Index1"/>
        <w:rPr>
          <w:noProof/>
        </w:rPr>
      </w:pPr>
      <w:r>
        <w:rPr>
          <w:noProof/>
        </w:rPr>
        <w:t>Siefkes, Elisabeth geb. Spiecker  13, 15, 17, 23, 26, 31, 103</w:t>
      </w:r>
    </w:p>
    <w:p w:rsidR="00A35244" w:rsidRDefault="00A35244">
      <w:pPr>
        <w:pStyle w:val="Index1"/>
        <w:rPr>
          <w:noProof/>
        </w:rPr>
      </w:pPr>
      <w:r>
        <w:rPr>
          <w:noProof/>
        </w:rPr>
        <w:t>Siemens  16</w:t>
      </w:r>
    </w:p>
    <w:p w:rsidR="00A35244" w:rsidRDefault="00A35244">
      <w:pPr>
        <w:pStyle w:val="Index1"/>
        <w:rPr>
          <w:noProof/>
        </w:rPr>
      </w:pPr>
      <w:r>
        <w:rPr>
          <w:noProof/>
        </w:rPr>
        <w:t>Skorbut  178</w:t>
      </w:r>
    </w:p>
    <w:p w:rsidR="00A35244" w:rsidRDefault="00A35244">
      <w:pPr>
        <w:pStyle w:val="Index1"/>
        <w:rPr>
          <w:noProof/>
        </w:rPr>
      </w:pPr>
      <w:r w:rsidRPr="000C7DF5">
        <w:rPr>
          <w:rFonts w:cs="Times New Roman"/>
          <w:noProof/>
        </w:rPr>
        <w:t>Southampton</w:t>
      </w:r>
      <w:r>
        <w:rPr>
          <w:noProof/>
        </w:rPr>
        <w:t xml:space="preserve">  23</w:t>
      </w:r>
    </w:p>
    <w:p w:rsidR="00A35244" w:rsidRDefault="00A35244">
      <w:pPr>
        <w:pStyle w:val="Index1"/>
        <w:rPr>
          <w:noProof/>
        </w:rPr>
      </w:pPr>
      <w:r>
        <w:rPr>
          <w:noProof/>
        </w:rPr>
        <w:t>Spellmeyer, Br.  23</w:t>
      </w:r>
    </w:p>
    <w:p w:rsidR="00A35244" w:rsidRDefault="00A35244">
      <w:pPr>
        <w:pStyle w:val="Index1"/>
        <w:rPr>
          <w:noProof/>
        </w:rPr>
      </w:pPr>
      <w:r>
        <w:rPr>
          <w:noProof/>
        </w:rPr>
        <w:t>Spiecker, Annemarie  13</w:t>
      </w:r>
    </w:p>
    <w:p w:rsidR="00A35244" w:rsidRDefault="00A35244">
      <w:pPr>
        <w:pStyle w:val="Index1"/>
        <w:rPr>
          <w:noProof/>
        </w:rPr>
      </w:pPr>
      <w:r>
        <w:rPr>
          <w:noProof/>
        </w:rPr>
        <w:t xml:space="preserve">Spiecker, Elisabeth  </w:t>
      </w:r>
      <w:r w:rsidRPr="000C7DF5">
        <w:rPr>
          <w:rFonts w:cstheme="minorHAnsi"/>
          <w:i/>
          <w:noProof/>
        </w:rPr>
        <w:t>siehe</w:t>
      </w:r>
      <w:r w:rsidRPr="000C7DF5">
        <w:rPr>
          <w:rFonts w:cstheme="minorHAnsi"/>
          <w:noProof/>
        </w:rPr>
        <w:t xml:space="preserve"> Siefkes, Elisabeth</w:t>
      </w:r>
    </w:p>
    <w:p w:rsidR="00A35244" w:rsidRDefault="00A35244">
      <w:pPr>
        <w:pStyle w:val="Index1"/>
        <w:rPr>
          <w:noProof/>
        </w:rPr>
      </w:pPr>
      <w:r>
        <w:rPr>
          <w:noProof/>
        </w:rPr>
        <w:t>Spiecker, Friedrich Albert  15, 16, 94</w:t>
      </w:r>
    </w:p>
    <w:p w:rsidR="00A35244" w:rsidRDefault="00A35244">
      <w:pPr>
        <w:pStyle w:val="Index1"/>
        <w:rPr>
          <w:noProof/>
        </w:rPr>
      </w:pPr>
      <w:r>
        <w:rPr>
          <w:noProof/>
        </w:rPr>
        <w:t xml:space="preserve">Spiecker, Johannes Carl Wilhelm  14–16, </w:t>
      </w:r>
      <w:r w:rsidRPr="000C7DF5">
        <w:rPr>
          <w:i/>
          <w:noProof/>
        </w:rPr>
        <w:t>et passim</w:t>
      </w:r>
    </w:p>
    <w:p w:rsidR="00A35244" w:rsidRDefault="00A35244">
      <w:pPr>
        <w:pStyle w:val="Index1"/>
        <w:rPr>
          <w:noProof/>
        </w:rPr>
      </w:pPr>
      <w:r>
        <w:rPr>
          <w:noProof/>
        </w:rPr>
        <w:t>Spivak, Gayatri  101, 102</w:t>
      </w:r>
    </w:p>
    <w:p w:rsidR="00A35244" w:rsidRDefault="00A35244">
      <w:pPr>
        <w:pStyle w:val="Index1"/>
        <w:rPr>
          <w:noProof/>
        </w:rPr>
      </w:pPr>
      <w:r>
        <w:rPr>
          <w:noProof/>
        </w:rPr>
        <w:t>Springbock  20, 95</w:t>
      </w:r>
    </w:p>
    <w:p w:rsidR="00A35244" w:rsidRDefault="00A35244">
      <w:pPr>
        <w:pStyle w:val="Index1"/>
        <w:rPr>
          <w:noProof/>
        </w:rPr>
      </w:pPr>
      <w:r>
        <w:rPr>
          <w:noProof/>
        </w:rPr>
        <w:t>Springbockfontein  20</w:t>
      </w:r>
    </w:p>
    <w:p w:rsidR="00A35244" w:rsidRDefault="00A35244">
      <w:pPr>
        <w:pStyle w:val="Index1"/>
        <w:rPr>
          <w:noProof/>
        </w:rPr>
      </w:pPr>
      <w:r>
        <w:rPr>
          <w:noProof/>
        </w:rPr>
        <w:t>Steinkopf  15, 20, 23, 73, 119, 168, 174</w:t>
      </w:r>
    </w:p>
    <w:p w:rsidR="00A35244" w:rsidRDefault="00A35244">
      <w:pPr>
        <w:pStyle w:val="Index1"/>
        <w:rPr>
          <w:noProof/>
        </w:rPr>
      </w:pPr>
      <w:r w:rsidRPr="000C7DF5">
        <w:rPr>
          <w:noProof/>
          <w:lang w:val="en-GB"/>
        </w:rPr>
        <w:t>Steinthal</w:t>
      </w:r>
      <w:r>
        <w:rPr>
          <w:noProof/>
        </w:rPr>
        <w:t xml:space="preserve">  20, 23</w:t>
      </w:r>
    </w:p>
    <w:p w:rsidR="00A35244" w:rsidRDefault="00A35244">
      <w:pPr>
        <w:pStyle w:val="Index1"/>
        <w:rPr>
          <w:noProof/>
        </w:rPr>
      </w:pPr>
      <w:r>
        <w:rPr>
          <w:noProof/>
        </w:rPr>
        <w:t>Stellenbosch  15, 20, 23, 99, 144</w:t>
      </w:r>
    </w:p>
    <w:p w:rsidR="00A35244" w:rsidRDefault="00A35244">
      <w:pPr>
        <w:pStyle w:val="Index1"/>
        <w:rPr>
          <w:noProof/>
        </w:rPr>
      </w:pPr>
      <w:r>
        <w:rPr>
          <w:noProof/>
        </w:rPr>
        <w:t>Straßberger, Br.  23</w:t>
      </w:r>
    </w:p>
    <w:p w:rsidR="00A35244" w:rsidRDefault="00A35244">
      <w:pPr>
        <w:pStyle w:val="Index1"/>
        <w:rPr>
          <w:noProof/>
        </w:rPr>
      </w:pPr>
      <w:r>
        <w:rPr>
          <w:noProof/>
        </w:rPr>
        <w:t>Stuebel, Kolonialdirektor  78</w:t>
      </w:r>
    </w:p>
    <w:p w:rsidR="00A35244" w:rsidRDefault="00A35244">
      <w:pPr>
        <w:pStyle w:val="Index1"/>
        <w:rPr>
          <w:noProof/>
        </w:rPr>
      </w:pPr>
      <w:r>
        <w:rPr>
          <w:noProof/>
        </w:rPr>
        <w:t>Swakopmund  20, 22, 30, 32, 44, 79, 86, 93, 116, 134, 147, 150, 163, 164, 179, 180, 181, 184</w:t>
      </w:r>
    </w:p>
    <w:p w:rsidR="00A35244" w:rsidRDefault="00A35244">
      <w:pPr>
        <w:pStyle w:val="Index1"/>
        <w:rPr>
          <w:noProof/>
        </w:rPr>
      </w:pPr>
      <w:r>
        <w:rPr>
          <w:noProof/>
        </w:rPr>
        <w:lastRenderedPageBreak/>
        <w:t>System Puttkamer (Kamerun)  117</w:t>
      </w:r>
    </w:p>
    <w:p w:rsidR="000F6FEF" w:rsidRPr="00DB1DF3" w:rsidRDefault="000F6FEF" w:rsidP="000F6FEF">
      <w:pPr>
        <w:pStyle w:val="Index1"/>
        <w:keepNext/>
        <w:spacing w:before="246" w:after="246"/>
        <w:ind w:left="238" w:hanging="238"/>
        <w:jc w:val="center"/>
        <w:rPr>
          <w:b/>
          <w:noProof/>
        </w:rPr>
      </w:pPr>
      <w:r>
        <w:rPr>
          <w:b/>
          <w:noProof/>
        </w:rPr>
        <w:t>T</w:t>
      </w:r>
    </w:p>
    <w:p w:rsidR="00A35244" w:rsidRDefault="00A35244">
      <w:pPr>
        <w:pStyle w:val="Index1"/>
        <w:rPr>
          <w:noProof/>
        </w:rPr>
      </w:pPr>
      <w:r>
        <w:rPr>
          <w:noProof/>
        </w:rPr>
        <w:t>Taufe  76, 80, 81, 85, 86, 137</w:t>
      </w:r>
    </w:p>
    <w:p w:rsidR="00A35244" w:rsidRDefault="00A35244">
      <w:pPr>
        <w:pStyle w:val="Index1"/>
        <w:rPr>
          <w:noProof/>
        </w:rPr>
      </w:pPr>
      <w:r>
        <w:rPr>
          <w:noProof/>
        </w:rPr>
        <w:t>Tecklenburg, Regierungsrat  109</w:t>
      </w:r>
    </w:p>
    <w:p w:rsidR="00A35244" w:rsidRDefault="00A35244">
      <w:pPr>
        <w:pStyle w:val="Index1"/>
        <w:rPr>
          <w:noProof/>
        </w:rPr>
      </w:pPr>
      <w:r>
        <w:rPr>
          <w:noProof/>
        </w:rPr>
        <w:t>Thomas, Landmesser  106</w:t>
      </w:r>
    </w:p>
    <w:p w:rsidR="00A35244" w:rsidRDefault="00A35244">
      <w:pPr>
        <w:pStyle w:val="Index1"/>
        <w:rPr>
          <w:noProof/>
        </w:rPr>
      </w:pPr>
      <w:r>
        <w:rPr>
          <w:noProof/>
        </w:rPr>
        <w:t>Todesstrafe  138</w:t>
      </w:r>
    </w:p>
    <w:p w:rsidR="00A35244" w:rsidRDefault="00A35244">
      <w:pPr>
        <w:pStyle w:val="Index1"/>
        <w:rPr>
          <w:noProof/>
        </w:rPr>
      </w:pPr>
      <w:r>
        <w:rPr>
          <w:noProof/>
        </w:rPr>
        <w:t>Toenjes, Br.  22, 73, 75, 80, 113</w:t>
      </w:r>
    </w:p>
    <w:p w:rsidR="00A35244" w:rsidRDefault="00A35244">
      <w:pPr>
        <w:pStyle w:val="Index1"/>
        <w:rPr>
          <w:noProof/>
        </w:rPr>
      </w:pPr>
      <w:r>
        <w:rPr>
          <w:noProof/>
        </w:rPr>
        <w:t>Trotha, Lothar von  114, 129, 135, 148, 176, 177, 178, 183</w:t>
      </w:r>
    </w:p>
    <w:p w:rsidR="00A35244" w:rsidRDefault="00A35244">
      <w:pPr>
        <w:pStyle w:val="Index1"/>
        <w:rPr>
          <w:noProof/>
        </w:rPr>
      </w:pPr>
      <w:r w:rsidRPr="000C7DF5">
        <w:rPr>
          <w:noProof/>
          <w:lang w:val="it-IT"/>
        </w:rPr>
        <w:t>Tsumeb</w:t>
      </w:r>
      <w:r>
        <w:rPr>
          <w:noProof/>
        </w:rPr>
        <w:t xml:space="preserve">  21, 22, 33, 70</w:t>
      </w:r>
    </w:p>
    <w:p w:rsidR="00A35244" w:rsidRDefault="00A35244">
      <w:pPr>
        <w:pStyle w:val="Index1"/>
        <w:rPr>
          <w:noProof/>
        </w:rPr>
      </w:pPr>
      <w:r>
        <w:rPr>
          <w:noProof/>
        </w:rPr>
        <w:t>Tulbagh  19, 20, 23</w:t>
      </w:r>
    </w:p>
    <w:p w:rsidR="00A35244" w:rsidRDefault="00A35244">
      <w:pPr>
        <w:pStyle w:val="Index1"/>
        <w:rPr>
          <w:noProof/>
        </w:rPr>
      </w:pPr>
      <w:r w:rsidRPr="000C7DF5">
        <w:rPr>
          <w:noProof/>
          <w:lang w:val="it-IT"/>
        </w:rPr>
        <w:t>Tuttar, Br.</w:t>
      </w:r>
      <w:r>
        <w:rPr>
          <w:noProof/>
        </w:rPr>
        <w:t xml:space="preserve">  22</w:t>
      </w:r>
    </w:p>
    <w:p w:rsidR="000F6FEF" w:rsidRPr="00DB1DF3" w:rsidRDefault="000F6FEF" w:rsidP="000F6FEF">
      <w:pPr>
        <w:pStyle w:val="Index1"/>
        <w:keepNext/>
        <w:spacing w:before="246" w:after="246"/>
        <w:ind w:left="238" w:hanging="238"/>
        <w:jc w:val="center"/>
        <w:rPr>
          <w:b/>
          <w:noProof/>
        </w:rPr>
      </w:pPr>
      <w:r>
        <w:rPr>
          <w:b/>
          <w:noProof/>
        </w:rPr>
        <w:t>U</w:t>
      </w:r>
    </w:p>
    <w:p w:rsidR="00A35244" w:rsidRDefault="00A35244">
      <w:pPr>
        <w:pStyle w:val="Index1"/>
        <w:rPr>
          <w:noProof/>
        </w:rPr>
      </w:pPr>
      <w:r>
        <w:rPr>
          <w:noProof/>
        </w:rPr>
        <w:t>Ukuanjama  64</w:t>
      </w:r>
    </w:p>
    <w:p w:rsidR="00A35244" w:rsidRDefault="00A35244">
      <w:pPr>
        <w:pStyle w:val="Index1"/>
        <w:rPr>
          <w:noProof/>
        </w:rPr>
      </w:pPr>
      <w:r>
        <w:rPr>
          <w:noProof/>
        </w:rPr>
        <w:t>Usakos  21, 30, 31</w:t>
      </w:r>
    </w:p>
    <w:p w:rsidR="00A35244" w:rsidRDefault="00A35244">
      <w:pPr>
        <w:pStyle w:val="Index1"/>
        <w:rPr>
          <w:noProof/>
        </w:rPr>
      </w:pPr>
      <w:r>
        <w:rPr>
          <w:noProof/>
        </w:rPr>
        <w:t>Uyulu, Häuptling  71</w:t>
      </w:r>
    </w:p>
    <w:p w:rsidR="000F6FEF" w:rsidRPr="00DB1DF3" w:rsidRDefault="000F6FEF" w:rsidP="000F6FEF">
      <w:pPr>
        <w:pStyle w:val="Index1"/>
        <w:keepNext/>
        <w:spacing w:before="246" w:after="246"/>
        <w:ind w:left="238" w:hanging="238"/>
        <w:jc w:val="center"/>
        <w:rPr>
          <w:b/>
          <w:noProof/>
        </w:rPr>
      </w:pPr>
      <w:r>
        <w:rPr>
          <w:b/>
          <w:noProof/>
        </w:rPr>
        <w:t>V</w:t>
      </w:r>
    </w:p>
    <w:p w:rsidR="00A35244" w:rsidRDefault="00A35244">
      <w:pPr>
        <w:pStyle w:val="Index1"/>
        <w:rPr>
          <w:noProof/>
        </w:rPr>
      </w:pPr>
      <w:r>
        <w:rPr>
          <w:noProof/>
        </w:rPr>
        <w:t>Vedder, Br.  17, 20, 22, 39, 40, 116, 147, 148, 181</w:t>
      </w:r>
    </w:p>
    <w:p w:rsidR="00A35244" w:rsidRDefault="00A35244">
      <w:pPr>
        <w:pStyle w:val="Index1"/>
        <w:rPr>
          <w:noProof/>
        </w:rPr>
      </w:pPr>
      <w:r>
        <w:rPr>
          <w:noProof/>
        </w:rPr>
        <w:t>Vergewaltigung  163, 165, 186</w:t>
      </w:r>
    </w:p>
    <w:p w:rsidR="00A35244" w:rsidRDefault="00A35244">
      <w:pPr>
        <w:pStyle w:val="Index1"/>
        <w:rPr>
          <w:noProof/>
        </w:rPr>
      </w:pPr>
      <w:r>
        <w:rPr>
          <w:noProof/>
        </w:rPr>
        <w:t>Völkermord  129, 182, 183</w:t>
      </w:r>
    </w:p>
    <w:p w:rsidR="000F6FEF" w:rsidRPr="00DB1DF3" w:rsidRDefault="000F6FEF" w:rsidP="000F6FEF">
      <w:pPr>
        <w:pStyle w:val="Index1"/>
        <w:keepNext/>
        <w:spacing w:before="246" w:after="246"/>
        <w:ind w:left="238" w:hanging="238"/>
        <w:jc w:val="center"/>
        <w:rPr>
          <w:b/>
          <w:noProof/>
        </w:rPr>
      </w:pPr>
      <w:r>
        <w:rPr>
          <w:b/>
          <w:noProof/>
        </w:rPr>
        <w:t>W</w:t>
      </w:r>
    </w:p>
    <w:p w:rsidR="00A35244" w:rsidRDefault="00A35244">
      <w:pPr>
        <w:pStyle w:val="Index1"/>
        <w:rPr>
          <w:noProof/>
        </w:rPr>
      </w:pPr>
      <w:r>
        <w:rPr>
          <w:noProof/>
        </w:rPr>
        <w:t>Wagenführ, Leutnant  182</w:t>
      </w:r>
    </w:p>
    <w:p w:rsidR="00A35244" w:rsidRDefault="00A35244">
      <w:pPr>
        <w:pStyle w:val="Index1"/>
        <w:rPr>
          <w:noProof/>
        </w:rPr>
      </w:pPr>
      <w:r>
        <w:rPr>
          <w:noProof/>
        </w:rPr>
        <w:t>Wagner, Pastor (Kapstadt)  144</w:t>
      </w:r>
    </w:p>
    <w:p w:rsidR="00A35244" w:rsidRDefault="00A35244">
      <w:pPr>
        <w:pStyle w:val="Index1"/>
        <w:rPr>
          <w:noProof/>
        </w:rPr>
      </w:pPr>
      <w:r w:rsidRPr="000C7DF5">
        <w:rPr>
          <w:noProof/>
          <w:lang w:val="en-GB"/>
        </w:rPr>
        <w:t>Walfishbay</w:t>
      </w:r>
      <w:r>
        <w:rPr>
          <w:noProof/>
        </w:rPr>
        <w:t xml:space="preserve">  22, 62, 92, 93, 150</w:t>
      </w:r>
    </w:p>
    <w:p w:rsidR="00A35244" w:rsidRDefault="00A35244">
      <w:pPr>
        <w:pStyle w:val="Index1"/>
        <w:rPr>
          <w:noProof/>
        </w:rPr>
      </w:pPr>
      <w:r>
        <w:rPr>
          <w:noProof/>
        </w:rPr>
        <w:t>Wandres, Br.  21, 115, 164</w:t>
      </w:r>
    </w:p>
    <w:p w:rsidR="00A35244" w:rsidRDefault="00A35244">
      <w:pPr>
        <w:pStyle w:val="Index1"/>
        <w:rPr>
          <w:noProof/>
        </w:rPr>
      </w:pPr>
      <w:r>
        <w:rPr>
          <w:noProof/>
        </w:rPr>
        <w:t>Wangemann, Theodor Hermann  76, 77</w:t>
      </w:r>
    </w:p>
    <w:p w:rsidR="00A35244" w:rsidRDefault="00A35244">
      <w:pPr>
        <w:pStyle w:val="Index1"/>
        <w:rPr>
          <w:noProof/>
        </w:rPr>
      </w:pPr>
      <w:r>
        <w:rPr>
          <w:noProof/>
        </w:rPr>
        <w:t>Wangenheim, Hauptmann von  28, 162</w:t>
      </w:r>
    </w:p>
    <w:p w:rsidR="00A35244" w:rsidRDefault="00A35244">
      <w:pPr>
        <w:pStyle w:val="Index1"/>
        <w:rPr>
          <w:noProof/>
        </w:rPr>
      </w:pPr>
      <w:r>
        <w:rPr>
          <w:noProof/>
        </w:rPr>
        <w:t>Weber, Br.  20, 23, 84, 97, 99, 144, 154, 177</w:t>
      </w:r>
    </w:p>
    <w:p w:rsidR="00A35244" w:rsidRDefault="00A35244">
      <w:pPr>
        <w:pStyle w:val="Index1"/>
        <w:rPr>
          <w:noProof/>
        </w:rPr>
      </w:pPr>
      <w:r>
        <w:rPr>
          <w:noProof/>
        </w:rPr>
        <w:t>Weber, Ernst von  52, 154, 177</w:t>
      </w:r>
    </w:p>
    <w:p w:rsidR="00A35244" w:rsidRDefault="00A35244">
      <w:pPr>
        <w:pStyle w:val="Index1"/>
        <w:rPr>
          <w:noProof/>
        </w:rPr>
      </w:pPr>
      <w:r>
        <w:rPr>
          <w:noProof/>
        </w:rPr>
        <w:t>Werft  58, 62, 64, 71, 86, 132, 162, 179</w:t>
      </w:r>
    </w:p>
    <w:p w:rsidR="00A35244" w:rsidRDefault="00A35244">
      <w:pPr>
        <w:pStyle w:val="Index1"/>
        <w:rPr>
          <w:noProof/>
        </w:rPr>
      </w:pPr>
      <w:r>
        <w:rPr>
          <w:noProof/>
        </w:rPr>
        <w:lastRenderedPageBreak/>
        <w:t>Wimmer, Br.  168</w:t>
      </w:r>
    </w:p>
    <w:p w:rsidR="00A35244" w:rsidRDefault="00A35244">
      <w:pPr>
        <w:pStyle w:val="Index1"/>
        <w:rPr>
          <w:noProof/>
        </w:rPr>
      </w:pPr>
      <w:r>
        <w:rPr>
          <w:noProof/>
        </w:rPr>
        <w:t>Windhuk  21, 30, 34, 36, 65, 66, 88, 89, 90, 93, 96, 108, 109, 110, 115, 116, 126, 129, 133, 139, 143, 147, 163, 164, 166, 167, 170, 181</w:t>
      </w:r>
    </w:p>
    <w:p w:rsidR="00A35244" w:rsidRDefault="00A35244">
      <w:pPr>
        <w:pStyle w:val="Index1"/>
        <w:rPr>
          <w:noProof/>
        </w:rPr>
      </w:pPr>
      <w:r>
        <w:rPr>
          <w:noProof/>
        </w:rPr>
        <w:t>Windhuker Nachrichten  106</w:t>
      </w:r>
    </w:p>
    <w:p w:rsidR="00A35244" w:rsidRDefault="00A35244">
      <w:pPr>
        <w:pStyle w:val="Index1"/>
        <w:rPr>
          <w:noProof/>
        </w:rPr>
      </w:pPr>
      <w:r>
        <w:rPr>
          <w:noProof/>
        </w:rPr>
        <w:t>Witbooi, Hendrik  130, 171, 184</w:t>
      </w:r>
    </w:p>
    <w:p w:rsidR="00A35244" w:rsidRDefault="00A35244">
      <w:pPr>
        <w:pStyle w:val="Index1"/>
        <w:rPr>
          <w:noProof/>
        </w:rPr>
      </w:pPr>
      <w:r w:rsidRPr="000C7DF5">
        <w:rPr>
          <w:noProof/>
          <w:lang w:val="en-GB"/>
        </w:rPr>
        <w:t>Worcester</w:t>
      </w:r>
      <w:r>
        <w:rPr>
          <w:noProof/>
        </w:rPr>
        <w:t xml:space="preserve">  20, 23</w:t>
      </w:r>
    </w:p>
    <w:p w:rsidR="00A35244" w:rsidRDefault="00A35244">
      <w:pPr>
        <w:pStyle w:val="Index1"/>
        <w:rPr>
          <w:noProof/>
        </w:rPr>
      </w:pPr>
      <w:r>
        <w:rPr>
          <w:noProof/>
        </w:rPr>
        <w:t>Wulfhorst, Geschw.  22, 28, 29, 65, 71</w:t>
      </w:r>
    </w:p>
    <w:p w:rsidR="00A35244" w:rsidRDefault="00A35244">
      <w:pPr>
        <w:pStyle w:val="Index1"/>
        <w:rPr>
          <w:noProof/>
        </w:rPr>
      </w:pPr>
      <w:r>
        <w:rPr>
          <w:noProof/>
        </w:rPr>
        <w:t>Wupperthal  23, 111</w:t>
      </w:r>
      <w:r w:rsidR="006D1099">
        <w:rPr>
          <w:noProof/>
        </w:rPr>
        <w:br/>
      </w:r>
    </w:p>
    <w:p w:rsidR="00A35244" w:rsidRDefault="00A35244">
      <w:pPr>
        <w:pStyle w:val="Index1"/>
        <w:rPr>
          <w:noProof/>
        </w:rPr>
      </w:pPr>
      <w:r>
        <w:rPr>
          <w:noProof/>
        </w:rPr>
        <w:lastRenderedPageBreak/>
        <w:t>Wynberg  81</w:t>
      </w:r>
    </w:p>
    <w:p w:rsidR="000F6FEF" w:rsidRPr="00DB1DF3" w:rsidRDefault="000F6FEF" w:rsidP="000F6FEF">
      <w:pPr>
        <w:pStyle w:val="Index1"/>
        <w:keepNext/>
        <w:spacing w:before="246" w:after="246"/>
        <w:ind w:left="238" w:hanging="238"/>
        <w:jc w:val="center"/>
        <w:rPr>
          <w:b/>
          <w:noProof/>
        </w:rPr>
      </w:pPr>
      <w:r>
        <w:rPr>
          <w:b/>
          <w:noProof/>
        </w:rPr>
        <w:t>Z</w:t>
      </w:r>
    </w:p>
    <w:p w:rsidR="00A35244" w:rsidRDefault="00A35244">
      <w:pPr>
        <w:pStyle w:val="Index1"/>
        <w:rPr>
          <w:noProof/>
        </w:rPr>
      </w:pPr>
      <w:r>
        <w:rPr>
          <w:noProof/>
        </w:rPr>
        <w:t>Zacharias Kukuri von Otjosazu  143</w:t>
      </w:r>
    </w:p>
    <w:p w:rsidR="00A35244" w:rsidRDefault="00A35244">
      <w:pPr>
        <w:pStyle w:val="Index1"/>
        <w:rPr>
          <w:noProof/>
        </w:rPr>
      </w:pPr>
      <w:r>
        <w:rPr>
          <w:noProof/>
        </w:rPr>
        <w:t>Zacharias von Otjimbingwe  96</w:t>
      </w:r>
    </w:p>
    <w:p w:rsidR="00A35244" w:rsidRDefault="00A35244">
      <w:pPr>
        <w:pStyle w:val="Index1"/>
        <w:rPr>
          <w:noProof/>
        </w:rPr>
      </w:pPr>
      <w:r>
        <w:rPr>
          <w:noProof/>
        </w:rPr>
        <w:t>Ziegenfuß, Pater  115</w:t>
      </w:r>
    </w:p>
    <w:p w:rsidR="00A35244" w:rsidRDefault="00A35244">
      <w:pPr>
        <w:pStyle w:val="Index1"/>
        <w:rPr>
          <w:noProof/>
        </w:rPr>
      </w:pPr>
      <w:r>
        <w:rPr>
          <w:noProof/>
        </w:rPr>
        <w:t>Zwangsarbeit  59, 67, 91, 134, 166, 167, 180, 186</w:t>
      </w:r>
    </w:p>
    <w:p w:rsidR="00A35244" w:rsidRDefault="00A35244">
      <w:pPr>
        <w:pStyle w:val="Index1"/>
        <w:rPr>
          <w:noProof/>
        </w:rPr>
      </w:pPr>
      <w:r>
        <w:rPr>
          <w:noProof/>
        </w:rPr>
        <w:t>Zwei-Reiche-Lehre  104, 125</w:t>
      </w:r>
    </w:p>
    <w:p w:rsidR="00A35244" w:rsidRDefault="00A35244">
      <w:pPr>
        <w:pStyle w:val="Index1"/>
        <w:rPr>
          <w:noProof/>
        </w:rPr>
      </w:pPr>
      <w:r>
        <w:rPr>
          <w:noProof/>
        </w:rPr>
        <w:t>Zwei-Schwerter-Theorie  104</w:t>
      </w:r>
    </w:p>
    <w:p w:rsidR="00A35244" w:rsidRDefault="00A35244" w:rsidP="00AB383B">
      <w:pPr>
        <w:pStyle w:val="Text"/>
        <w:rPr>
          <w:noProof/>
        </w:rPr>
        <w:sectPr w:rsidR="00A35244" w:rsidSect="00A35244">
          <w:type w:val="continuous"/>
          <w:pgSz w:w="8789" w:h="13325" w:code="9"/>
          <w:pgMar w:top="1134" w:right="851" w:bottom="1418" w:left="1134" w:header="567" w:footer="680" w:gutter="0"/>
          <w:cols w:num="2" w:space="720"/>
          <w:titlePg/>
          <w:docGrid w:linePitch="360"/>
        </w:sectPr>
      </w:pPr>
    </w:p>
    <w:p w:rsidR="000C2B5D" w:rsidRPr="00D939EE" w:rsidRDefault="00363C1C" w:rsidP="00AB383B">
      <w:pPr>
        <w:pStyle w:val="Text"/>
      </w:pPr>
      <w:r>
        <w:lastRenderedPageBreak/>
        <w:fldChar w:fldCharType="end"/>
      </w:r>
    </w:p>
    <w:sectPr w:rsidR="000C2B5D" w:rsidRPr="00D939EE" w:rsidSect="00A35244">
      <w:type w:val="continuous"/>
      <w:pgSz w:w="8789" w:h="13325" w:code="9"/>
      <w:pgMar w:top="1134" w:right="851" w:bottom="1418" w:left="1134" w:header="567" w:footer="68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7539" w:rsidRDefault="006C7539">
      <w:r>
        <w:separator/>
      </w:r>
    </w:p>
    <w:p w:rsidR="006C7539" w:rsidRDefault="006C7539"/>
    <w:p w:rsidR="006C7539" w:rsidRDefault="006C7539"/>
  </w:endnote>
  <w:endnote w:type="continuationSeparator" w:id="0">
    <w:p w:rsidR="006C7539" w:rsidRDefault="006C7539">
      <w:r>
        <w:continuationSeparator/>
      </w:r>
    </w:p>
    <w:p w:rsidR="006C7539" w:rsidRDefault="006C7539"/>
    <w:p w:rsidR="006C7539" w:rsidRDefault="006C7539"/>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rigGarmnd BT">
    <w:panose1 w:val="02020602050306020403"/>
    <w:charset w:val="00"/>
    <w:family w:val="roman"/>
    <w:pitch w:val="variable"/>
    <w:sig w:usb0="00000087" w:usb1="00000000" w:usb2="00000000" w:usb3="00000000" w:csb0="0000001B"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wis721 BT">
    <w:panose1 w:val="00000000000000000000"/>
    <w:charset w:val="00"/>
    <w:family w:val="swiss"/>
    <w:notTrueType/>
    <w:pitch w:val="variable"/>
    <w:sig w:usb0="00000003" w:usb1="00000000" w:usb2="00000000" w:usb3="00000000" w:csb0="00000001" w:csb1="00000000"/>
  </w:font>
  <w:font w:name="Swis721 BdRnd BT">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E Galaxy">
    <w:altName w:val="Arial"/>
    <w:charset w:val="00"/>
    <w:family w:val="swiss"/>
    <w:pitch w:val="default"/>
    <w:sig w:usb0="00000003" w:usb1="00000000" w:usb2="00000000" w:usb3="00000000" w:csb0="00000001" w:csb1="00000000"/>
  </w:font>
  <w:font w:name="Arial MT">
    <w:panose1 w:val="00000000000000000000"/>
    <w:charset w:val="00"/>
    <w:family w:val="swiss"/>
    <w:notTrueType/>
    <w:pitch w:val="variable"/>
    <w:sig w:usb0="00000003" w:usb1="00000000" w:usb2="00000000" w:usb3="00000000" w:csb0="00000001" w:csb1="00000000"/>
  </w:font>
  <w:font w:name="E Future">
    <w:altName w:val="Arial"/>
    <w:charset w:val="00"/>
    <w:family w:val="swiss"/>
    <w:pitch w:val="default"/>
    <w:sig w:usb0="00000003" w:usb1="00000000" w:usb2="00000000" w:usb3="00000000" w:csb0="00000001" w:csb1="00000000"/>
  </w:font>
  <w:font w:name="OriginalGaramondBT-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NewRomanPS">
    <w:panose1 w:val="00000000000000000000"/>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7539" w:rsidRDefault="006C7539" w:rsidP="00CA6731">
      <w:pPr>
        <w:ind w:firstLine="0"/>
      </w:pPr>
      <w:r>
        <w:separator/>
      </w:r>
    </w:p>
  </w:footnote>
  <w:footnote w:type="continuationSeparator" w:id="0">
    <w:p w:rsidR="006C7539" w:rsidRDefault="006C7539" w:rsidP="00CA6731">
      <w:pPr>
        <w:ind w:firstLine="0"/>
      </w:pPr>
      <w:r>
        <w:continuationSeparator/>
      </w:r>
    </w:p>
  </w:footnote>
  <w:footnote w:id="1">
    <w:p w:rsidR="005A5F2B" w:rsidRDefault="005A5F2B" w:rsidP="00CF6655">
      <w:pPr>
        <w:pStyle w:val="Funotentext"/>
      </w:pPr>
      <w:r>
        <w:rPr>
          <w:rStyle w:val="Funotenzeichen"/>
        </w:rPr>
        <w:footnoteRef/>
      </w:r>
      <w:r>
        <w:t xml:space="preserve"> </w:t>
      </w:r>
      <w:r>
        <w:tab/>
        <w:t>Zur Geschichte dieses Aufstands vergleiche Drechsler 1966 und Bühler 2003. (Zur Aufl</w:t>
      </w:r>
      <w:r>
        <w:t>ö</w:t>
      </w:r>
      <w:r>
        <w:t>sung der Zitierform – Nachname, Jahr, ggb.falls Seitenzahl – siehe Literaturverzeichnis.)</w:t>
      </w:r>
    </w:p>
  </w:footnote>
  <w:footnote w:id="2">
    <w:p w:rsidR="005A5F2B" w:rsidRDefault="005A5F2B" w:rsidP="00CF6655">
      <w:pPr>
        <w:pStyle w:val="Funotentext"/>
      </w:pPr>
      <w:r>
        <w:rPr>
          <w:rStyle w:val="Funotenzeichen"/>
        </w:rPr>
        <w:footnoteRef/>
      </w:r>
      <w:r>
        <w:t xml:space="preserve"> </w:t>
      </w:r>
      <w:r>
        <w:tab/>
        <w:t>Vgl. dazu Bühler 2003: 329-336. Die Aufstände der Nama</w:t>
      </w:r>
      <w:r w:rsidR="00363C1C">
        <w:fldChar w:fldCharType="begin"/>
      </w:r>
      <w:r>
        <w:instrText xml:space="preserve"> XE "</w:instrText>
      </w:r>
      <w:r w:rsidRPr="001F563C">
        <w:instrText>Nama</w:instrText>
      </w:r>
      <w:r>
        <w:instrText xml:space="preserve">" </w:instrText>
      </w:r>
      <w:r w:rsidR="00363C1C">
        <w:fldChar w:fldCharType="end"/>
      </w:r>
      <w:r>
        <w:t xml:space="preserve"> und Herero</w:t>
      </w:r>
      <w:r w:rsidR="00363C1C">
        <w:fldChar w:fldCharType="begin"/>
      </w:r>
      <w:r>
        <w:instrText xml:space="preserve"> XE "</w:instrText>
      </w:r>
      <w:r w:rsidRPr="00D91537">
        <w:instrText>Herero</w:instrText>
      </w:r>
      <w:r>
        <w:instrText xml:space="preserve">" </w:instrText>
      </w:r>
      <w:r w:rsidR="00363C1C">
        <w:fldChar w:fldCharType="end"/>
      </w:r>
      <w:r>
        <w:t xml:space="preserve"> belasteten den Haushalt stark und führten, zusammen mit der Flottenrüstung, zur Zerrüttung der Reichsfinanzen. Nachdem der Reichstag immer wieder gewaltige Summen genehmigt hatte, lehnte er schließlich den Kolonialhaushalt für Südwestafrika für 1907 ab, woraufhin der Reichstag aufgelöst wurde. Die anschließenden „Hottentottenwahlen“ führten zu e</w:t>
      </w:r>
      <w:r>
        <w:t>i</w:t>
      </w:r>
      <w:r>
        <w:t>nem Rechtsruck im Reichstag, da die SPD trotz Stimmengewinns zahlreiche Mandate verlor. Auf diese Weise entwickelten die Aufstände sogar in Deutschland eine erhebliche politische Wirkung. – Vermutlich hat die Mission den Aufstand</w:t>
      </w:r>
      <w:r w:rsidR="00363C1C">
        <w:fldChar w:fldCharType="begin"/>
      </w:r>
      <w:r>
        <w:instrText xml:space="preserve"> XE "</w:instrText>
      </w:r>
      <w:r w:rsidRPr="00AA3184">
        <w:instrText>Aufstand</w:instrText>
      </w:r>
      <w:r>
        <w:instrText xml:space="preserve">" </w:instrText>
      </w:r>
      <w:r w:rsidR="00363C1C">
        <w:fldChar w:fldCharType="end"/>
      </w:r>
      <w:r>
        <w:t xml:space="preserve"> um Jahre verkürzt oder zumindest in ihrem Umfang verringert; andernfalls hätte der reine Kostenfaktor die Deutschen unter Umständen zur Aufgabe zwingen können.</w:t>
      </w:r>
    </w:p>
  </w:footnote>
  <w:footnote w:id="3">
    <w:p w:rsidR="005A5F2B" w:rsidRDefault="005A5F2B" w:rsidP="00CF6655">
      <w:pPr>
        <w:pStyle w:val="Funotentext"/>
      </w:pPr>
      <w:r>
        <w:rPr>
          <w:rStyle w:val="Funotenzeichen"/>
        </w:rPr>
        <w:footnoteRef/>
      </w:r>
      <w:r>
        <w:t xml:space="preserve"> </w:t>
      </w:r>
      <w:r>
        <w:tab/>
        <w:t>In inhaltlich relevanten Fällen wurde das Original konsultiert.</w:t>
      </w:r>
    </w:p>
  </w:footnote>
  <w:footnote w:id="4">
    <w:p w:rsidR="005A5F2B" w:rsidRDefault="005A5F2B" w:rsidP="00CF6655">
      <w:pPr>
        <w:pStyle w:val="Funotentext"/>
      </w:pPr>
      <w:r>
        <w:rPr>
          <w:rStyle w:val="Funotenzeichen"/>
        </w:rPr>
        <w:footnoteRef/>
      </w:r>
      <w:r>
        <w:t xml:space="preserve"> </w:t>
      </w:r>
      <w:r>
        <w:tab/>
        <w:t xml:space="preserve">Siehe Fußnote </w:t>
      </w:r>
      <w:r w:rsidR="00363C1C">
        <w:fldChar w:fldCharType="begin"/>
      </w:r>
      <w:r>
        <w:instrText xml:space="preserve"> NOTEREF _Ref325358314 \h </w:instrText>
      </w:r>
      <w:r w:rsidR="00363C1C">
        <w:fldChar w:fldCharType="separate"/>
      </w:r>
      <w:r w:rsidR="00216538">
        <w:t>11</w:t>
      </w:r>
      <w:r w:rsidR="00363C1C">
        <w:fldChar w:fldCharType="end"/>
      </w:r>
      <w:r>
        <w:t>.</w:t>
      </w:r>
    </w:p>
  </w:footnote>
  <w:footnote w:id="5">
    <w:p w:rsidR="005A5F2B" w:rsidRDefault="005A5F2B" w:rsidP="00CF6655">
      <w:pPr>
        <w:pStyle w:val="Funotentext"/>
      </w:pPr>
      <w:r>
        <w:rPr>
          <w:rStyle w:val="Funotenzeichen"/>
        </w:rPr>
        <w:footnoteRef/>
      </w:r>
      <w:r>
        <w:t xml:space="preserve"> </w:t>
      </w:r>
      <w:r>
        <w:tab/>
        <w:t>Da auch der Direktor der RMG „Inspektor“ hieß, werden die Begriffe manchmal durc</w:t>
      </w:r>
      <w:r>
        <w:t>h</w:t>
      </w:r>
      <w:r>
        <w:t>einander gebracht. Vor 1903 war Spiecker 2. Inspektor der RMG und besonders für den Unterricht am Missionsseminar zuständig. 1903 wurde eine Dezernatsaufteilung vorg</w:t>
      </w:r>
      <w:r>
        <w:t>e</w:t>
      </w:r>
      <w:r>
        <w:t>nommen: 1. Inspektor (und damit „Direktor“) wurde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(bis 1908), der z</w:t>
      </w:r>
      <w:r>
        <w:t>u</w:t>
      </w:r>
      <w:r>
        <w:t>nächst für das Gebiet des heutigen Indonesien zuständig war. 2. Inspektoren waren Spi</w:t>
      </w:r>
      <w:r>
        <w:t>e</w:t>
      </w:r>
      <w:r>
        <w:t>cker (zuständig für Afrika) und Kriele (zuständig für China/Neuguinea). Ab 1906 wurde ein weiterer 2. Inspektor (Wegner, zuständig für Sumatra/Nias) eingesetzt, wodurch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entlastet wurde. Spiecker folgte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als Direktor (1908–1920). (Au</w:t>
      </w:r>
      <w:r>
        <w:t>s</w:t>
      </w:r>
      <w:r>
        <w:t>kunft von Wolfgang Apelt, Archiv- und Museumsstiftung Wuppertal)</w:t>
      </w:r>
    </w:p>
  </w:footnote>
  <w:footnote w:id="6">
    <w:p w:rsidR="005A5F2B" w:rsidRDefault="005A5F2B" w:rsidP="00CF6655">
      <w:pPr>
        <w:pStyle w:val="Funotentext"/>
      </w:pPr>
      <w:r>
        <w:rPr>
          <w:rStyle w:val="Funotenzeichen"/>
        </w:rPr>
        <w:footnoteRef/>
      </w:r>
      <w:r>
        <w:t xml:space="preserve"> </w:t>
      </w:r>
      <w:r>
        <w:tab/>
        <w:t>Diese Informationen sind den Familienerinnerungen von Elisabeth Siefkes</w:t>
      </w:r>
      <w:r w:rsidR="00363C1C">
        <w:fldChar w:fldCharType="begin"/>
      </w:r>
      <w:r>
        <w:instrText xml:space="preserve"> XE "</w:instrText>
      </w:r>
      <w:r w:rsidRPr="008B0A8B">
        <w:instrText>Siefkes, Elisabeth geb. Spiecker</w:instrText>
      </w:r>
      <w:r>
        <w:instrText xml:space="preserve">" </w:instrText>
      </w:r>
      <w:r w:rsidR="00363C1C">
        <w:fldChar w:fldCharType="end"/>
      </w:r>
      <w:r>
        <w:t>, geb. Spiecker (13.02.1905–8.11.2002) entnommen (E. Siefkes 1993).</w:t>
      </w:r>
    </w:p>
  </w:footnote>
  <w:footnote w:id="7">
    <w:p w:rsidR="005A5F2B" w:rsidRDefault="005A5F2B" w:rsidP="00CF6655">
      <w:pPr>
        <w:pStyle w:val="Funotentext"/>
      </w:pPr>
      <w:r>
        <w:rPr>
          <w:rStyle w:val="Funotenzeichen"/>
        </w:rPr>
        <w:footnoteRef/>
      </w:r>
      <w:r>
        <w:tab/>
        <w:t>Die Reise wird von Thomas Braun in seinem Buch über die MHAG detailliert beschri</w:t>
      </w:r>
      <w:r>
        <w:t>e</w:t>
      </w:r>
      <w:r>
        <w:t>ben (Braun 1992: 132-139). – Johannes Spiecker trifft in Stellenbosch</w:t>
      </w:r>
      <w:r w:rsidR="00363C1C">
        <w:fldChar w:fldCharType="begin"/>
      </w:r>
      <w:r>
        <w:instrText xml:space="preserve"> XE "</w:instrText>
      </w:r>
      <w:r w:rsidRPr="00322A39">
        <w:instrText>Stellenbosch</w:instrText>
      </w:r>
      <w:r>
        <w:instrText xml:space="preserve">" </w:instrText>
      </w:r>
      <w:r w:rsidR="00363C1C">
        <w:fldChar w:fldCharType="end"/>
      </w:r>
      <w:r>
        <w:t xml:space="preserve"> auf eine Frau, die sich noch gut an den Besuch seines Bruders erinnern kann. Er hatte ihren Mann, der bei der Missions-Handels-Actien-Gesellschaft</w:t>
      </w:r>
      <w:r w:rsidR="00363C1C">
        <w:fldChar w:fldCharType="begin"/>
      </w:r>
      <w:r>
        <w:instrText xml:space="preserve"> XE "</w:instrText>
      </w:r>
      <w:r w:rsidRPr="00EB3213">
        <w:instrText>Missions-Handels-Actien-Gesellschaft (MHAG)</w:instrText>
      </w:r>
      <w:r>
        <w:instrText xml:space="preserve">" </w:instrText>
      </w:r>
      <w:r w:rsidR="00363C1C">
        <w:fldChar w:fldCharType="end"/>
      </w:r>
      <w:r>
        <w:t xml:space="preserve"> arbeitete, von Steinkopf</w:t>
      </w:r>
      <w:r w:rsidR="00363C1C">
        <w:fldChar w:fldCharType="begin"/>
      </w:r>
      <w:r>
        <w:instrText xml:space="preserve"> XE "</w:instrText>
      </w:r>
      <w:r w:rsidRPr="00E5690D">
        <w:instrText>Steinkopf</w:instrText>
      </w:r>
      <w:r>
        <w:instrText xml:space="preserve">" </w:instrText>
      </w:r>
      <w:r w:rsidR="00363C1C">
        <w:fldChar w:fldCharType="end"/>
      </w:r>
      <w:r>
        <w:t xml:space="preserve"> nach Ookiep versetzt (116).</w:t>
      </w:r>
    </w:p>
  </w:footnote>
  <w:footnote w:id="8">
    <w:p w:rsidR="005A5F2B" w:rsidRDefault="005A5F2B" w:rsidP="00CF6655">
      <w:pPr>
        <w:pStyle w:val="Funotentext"/>
      </w:pPr>
      <w:r>
        <w:rPr>
          <w:rStyle w:val="Funotenzeichen"/>
        </w:rPr>
        <w:footnoteRef/>
      </w:r>
      <w:r>
        <w:t xml:space="preserve"> </w:t>
      </w:r>
      <w:r>
        <w:tab/>
        <w:t>Kaiser 1995: 11. Mehrere Motive spielten bei der Etablierung des Missionshandels, den auch andere Missionsgesellschaften betrieben, eine Rolle: „Besonders zur Aufrechterha</w:t>
      </w:r>
      <w:r>
        <w:t>l</w:t>
      </w:r>
      <w:r>
        <w:t>tung der Missionsarbeit in [wenig erschlossenen] Gebieten erschien die Entwicklung b</w:t>
      </w:r>
      <w:r>
        <w:t>e</w:t>
      </w:r>
      <w:r>
        <w:t>sonderer Strategien erforderlich, die dem europäischen Missionar das Überleben in einer äußerst fremden, […] teilweise auch feindlich gesonnenen Umgebung ermöglichten. […] Neben die Versorgung der eigenen Missionare mit europäischen Gütern traten weitere Motive wie die Entlastung der Missionskasse durch anfallende Gewinne, die Verbreitung einer ‚wohltätigen Zivilisation‘ und die Bekämpfung unreellen Handelsgebarens.“ (Braun 1992: 11.)</w:t>
      </w:r>
    </w:p>
    <w:p w:rsidR="005A5F2B" w:rsidRDefault="005A5F2B" w:rsidP="00CF6655">
      <w:pPr>
        <w:pStyle w:val="Funotentext"/>
      </w:pPr>
      <w:r>
        <w:tab/>
        <w:t>Den letzten Punkt kann man als scheinheilige Verbrämung der wirtschaftlichen Motive sehen, sollte aber berücksichtigen, dass die Händler – dies zeigen die beständigen Klagen der Missionare – von diesen tatsächlich als Ausbeuter wahrgenommen wurden. So wurde bereits auf einer Konferenz im Jahr 1858 eine Anfrage an die Deputation</w:t>
      </w:r>
      <w:r w:rsidR="00363C1C">
        <w:fldChar w:fldCharType="begin"/>
      </w:r>
      <w:r>
        <w:instrText xml:space="preserve"> XE "</w:instrText>
      </w:r>
      <w:r w:rsidRPr="002762AE">
        <w:instrText>Deputation der RMG</w:instrText>
      </w:r>
      <w:r>
        <w:instrText xml:space="preserve">" </w:instrText>
      </w:r>
      <w:r w:rsidR="00363C1C">
        <w:fldChar w:fldCharType="end"/>
      </w:r>
      <w:r>
        <w:t xml:space="preserve"> nach der En</w:t>
      </w:r>
      <w:r>
        <w:t>t</w:t>
      </w:r>
      <w:r>
        <w:t>sendung eigener Händler gestellt. „Es sei nämlich höchst wünschenswert, daß der ei</w:t>
      </w:r>
      <w:r>
        <w:t>n</w:t>
      </w:r>
      <w:r>
        <w:t>heimischen Bevölkerung Gelegenheit gegeben werde, Landesprodukte vorteilhaft zu ve</w:t>
      </w:r>
      <w:r>
        <w:t>r</w:t>
      </w:r>
      <w:r>
        <w:t>äußern, während die englischen Händler nur ihren Vorteil suchten […]. Ein derartiges Unternehmen würde sich nicht nur rentieren, sondern auch segensreich auf das Volk einwirken, und die Missionare wären von den Handelsgeschäften ‚erlöst‘.“ (Braun 1992: 35.)</w:t>
      </w:r>
    </w:p>
  </w:footnote>
  <w:footnote w:id="9">
    <w:p w:rsidR="005A5F2B" w:rsidRDefault="005A5F2B" w:rsidP="00CF6655">
      <w:pPr>
        <w:pStyle w:val="Funotentext"/>
      </w:pPr>
      <w:r>
        <w:rPr>
          <w:rStyle w:val="Funotenzeichen"/>
        </w:rPr>
        <w:footnoteRef/>
      </w:r>
      <w:r>
        <w:t xml:space="preserve"> </w:t>
      </w:r>
      <w:r>
        <w:tab/>
        <w:t>Kaiser 1995: 13</w:t>
      </w:r>
    </w:p>
  </w:footnote>
  <w:footnote w:id="10">
    <w:p w:rsidR="005A5F2B" w:rsidRDefault="005A5F2B" w:rsidP="00CF6655">
      <w:pPr>
        <w:pStyle w:val="Funotentext"/>
      </w:pPr>
      <w:r>
        <w:rPr>
          <w:rStyle w:val="Funotenzeichen"/>
        </w:rPr>
        <w:footnoteRef/>
      </w:r>
      <w:r>
        <w:tab/>
        <w:t>ebd.: 28. Siemens</w:t>
      </w:r>
      <w:r w:rsidR="00363C1C">
        <w:fldChar w:fldCharType="begin"/>
      </w:r>
      <w:r>
        <w:instrText xml:space="preserve"> XE "</w:instrText>
      </w:r>
      <w:r w:rsidRPr="00207409">
        <w:instrText>Siemens</w:instrText>
      </w:r>
      <w:r>
        <w:instrText xml:space="preserve">" </w:instrText>
      </w:r>
      <w:r w:rsidR="00363C1C">
        <w:fldChar w:fldCharType="end"/>
      </w:r>
      <w:r>
        <w:t xml:space="preserve"> war vor dem 1. Weltkrieg schon ein Weltkonzern mit 80.000 Angestel</w:t>
      </w:r>
      <w:r>
        <w:t>l</w:t>
      </w:r>
      <w:r>
        <w:t>ten (ebd.: 25).</w:t>
      </w:r>
    </w:p>
  </w:footnote>
  <w:footnote w:id="11">
    <w:p w:rsidR="005A5F2B" w:rsidRDefault="005A5F2B" w:rsidP="00CF6655">
      <w:pPr>
        <w:pStyle w:val="Funotentext"/>
      </w:pPr>
      <w:r>
        <w:rPr>
          <w:rStyle w:val="Funotenzeichen"/>
        </w:rPr>
        <w:footnoteRef/>
      </w:r>
      <w:r>
        <w:t xml:space="preserve"> </w:t>
      </w:r>
      <w:r>
        <w:tab/>
        <w:t xml:space="preserve">Spiecker 1905–1907. – Ein Exemplar befindet sich im Archiv der Rheinischen Mission (Aktennummer RMG 3.346), das zur Archiv- und Museumsstiftung </w:t>
      </w:r>
      <w:r w:rsidR="006A4DF2">
        <w:t>der VEM (</w:t>
      </w:r>
      <w:r>
        <w:t>Vereini</w:t>
      </w:r>
      <w:r>
        <w:t>g</w:t>
      </w:r>
      <w:r>
        <w:t>te Evangelische Mission) gehört.</w:t>
      </w:r>
    </w:p>
    <w:p w:rsidR="005A5F2B" w:rsidRDefault="005A5F2B" w:rsidP="00CF6655">
      <w:pPr>
        <w:pStyle w:val="Funotentext"/>
      </w:pPr>
      <w:r>
        <w:tab/>
        <w:t>Das Tagebuch ist in gekürzter Fassung als Buch erschienen (Spiecker 2012).</w:t>
      </w:r>
    </w:p>
  </w:footnote>
  <w:footnote w:id="12">
    <w:p w:rsidR="005A5F2B" w:rsidRDefault="005A5F2B" w:rsidP="00CF6655">
      <w:pPr>
        <w:pStyle w:val="Funotentext"/>
      </w:pPr>
      <w:r>
        <w:rPr>
          <w:rStyle w:val="Funotenzeichen"/>
        </w:rPr>
        <w:footnoteRef/>
      </w:r>
      <w:r>
        <w:t xml:space="preserve"> </w:t>
      </w:r>
      <w:r>
        <w:tab/>
        <w:t>Die Auswertung des Tagebuchs nach inhaltlichen Gesichtspunkten erfolgte anlässlich e</w:t>
      </w:r>
      <w:r>
        <w:t>i</w:t>
      </w:r>
      <w:r>
        <w:t>ner Hausarbeit, die im WS 2003 an der TU Berlin im Hauptseminar „Aus den Kolonien“ (Prof. Miller) verfasst wurde.</w:t>
      </w:r>
    </w:p>
  </w:footnote>
  <w:footnote w:id="13">
    <w:p w:rsidR="005A5F2B" w:rsidRDefault="005A5F2B" w:rsidP="00CE5E6F">
      <w:pPr>
        <w:pStyle w:val="Funotentext"/>
      </w:pPr>
      <w:r>
        <w:rPr>
          <w:rStyle w:val="Funotenzeichen"/>
        </w:rPr>
        <w:footnoteRef/>
      </w:r>
      <w:r>
        <w:t xml:space="preserve"> </w:t>
      </w:r>
      <w:r>
        <w:tab/>
        <w:t xml:space="preserve">Die Rückreise erfolgt </w:t>
      </w:r>
      <w:r>
        <w:rPr>
          <w:rFonts w:cs="Times New Roman"/>
        </w:rPr>
        <w:t>mit dem englischen</w:t>
      </w:r>
      <w:r w:rsidRPr="007B0D4A">
        <w:rPr>
          <w:rFonts w:cs="Times New Roman"/>
        </w:rPr>
        <w:t xml:space="preserve"> Schiff</w:t>
      </w:r>
      <w:r>
        <w:rPr>
          <w:rFonts w:cs="Times New Roman"/>
        </w:rPr>
        <w:t xml:space="preserve"> „RMS </w:t>
      </w:r>
      <w:r w:rsidRPr="007B0D4A">
        <w:rPr>
          <w:rFonts w:cs="Times New Roman"/>
        </w:rPr>
        <w:t>Briton</w:t>
      </w:r>
      <w:r>
        <w:rPr>
          <w:rFonts w:cs="Times New Roman"/>
        </w:rPr>
        <w:t xml:space="preserve">“, das am </w:t>
      </w:r>
      <w:r w:rsidRPr="007B0D4A">
        <w:rPr>
          <w:rFonts w:cs="Times New Roman"/>
        </w:rPr>
        <w:t xml:space="preserve">6. März 1907 </w:t>
      </w:r>
      <w:r>
        <w:rPr>
          <w:rFonts w:cs="Times New Roman"/>
        </w:rPr>
        <w:t>in Kapstadt</w:t>
      </w:r>
      <w:r w:rsidR="00363C1C">
        <w:rPr>
          <w:rFonts w:cs="Times New Roman"/>
        </w:rPr>
        <w:fldChar w:fldCharType="begin"/>
      </w:r>
      <w:r>
        <w:instrText xml:space="preserve"> XE "</w:instrText>
      </w:r>
      <w:r w:rsidRPr="00C74AA5">
        <w:instrText>Kapstadt</w:instrText>
      </w:r>
      <w:r>
        <w:instrText xml:space="preserve">" </w:instrText>
      </w:r>
      <w:r w:rsidR="00363C1C">
        <w:rPr>
          <w:rFonts w:cs="Times New Roman"/>
        </w:rPr>
        <w:fldChar w:fldCharType="end"/>
      </w:r>
      <w:r>
        <w:rPr>
          <w:rFonts w:cs="Times New Roman"/>
        </w:rPr>
        <w:t xml:space="preserve"> ablegt </w:t>
      </w:r>
      <w:r w:rsidRPr="007B0D4A">
        <w:rPr>
          <w:rFonts w:cs="Times New Roman"/>
        </w:rPr>
        <w:t>und am 23.</w:t>
      </w:r>
      <w:r>
        <w:rPr>
          <w:rFonts w:cs="Times New Roman"/>
        </w:rPr>
        <w:t xml:space="preserve"> März </w:t>
      </w:r>
      <w:r w:rsidRPr="007B0D4A">
        <w:rPr>
          <w:rFonts w:cs="Times New Roman"/>
        </w:rPr>
        <w:t>Southampton</w:t>
      </w:r>
      <w:r w:rsidR="00363C1C">
        <w:rPr>
          <w:rFonts w:cs="Times New Roman"/>
        </w:rPr>
        <w:fldChar w:fldCharType="begin"/>
      </w:r>
      <w:r>
        <w:instrText xml:space="preserve"> XE "</w:instrText>
      </w:r>
      <w:r w:rsidRPr="00FB46E7">
        <w:rPr>
          <w:rFonts w:cs="Times New Roman"/>
        </w:rPr>
        <w:instrText>Southampton</w:instrText>
      </w:r>
      <w:r>
        <w:instrText xml:space="preserve">" </w:instrText>
      </w:r>
      <w:r w:rsidR="00363C1C">
        <w:rPr>
          <w:rFonts w:cs="Times New Roman"/>
        </w:rPr>
        <w:fldChar w:fldCharType="end"/>
      </w:r>
      <w:r>
        <w:rPr>
          <w:rFonts w:cs="Times New Roman"/>
        </w:rPr>
        <w:t xml:space="preserve"> erreicht</w:t>
      </w:r>
      <w:r w:rsidRPr="007B0D4A">
        <w:rPr>
          <w:rFonts w:cs="Times New Roman"/>
        </w:rPr>
        <w:t xml:space="preserve">. </w:t>
      </w:r>
      <w:r>
        <w:rPr>
          <w:rFonts w:cs="Times New Roman"/>
        </w:rPr>
        <w:t>Dort erwarten ihn seine Frau und sein ältester Sohn Hans, mit denen er einige Tage London</w:t>
      </w:r>
      <w:r w:rsidR="00363C1C">
        <w:rPr>
          <w:rFonts w:cs="Times New Roman"/>
        </w:rPr>
        <w:fldChar w:fldCharType="begin"/>
      </w:r>
      <w:r>
        <w:instrText xml:space="preserve"> XE "</w:instrText>
      </w:r>
      <w:r w:rsidRPr="00710612">
        <w:instrText>London</w:instrText>
      </w:r>
      <w:r>
        <w:instrText xml:space="preserve">" </w:instrText>
      </w:r>
      <w:r w:rsidR="00363C1C">
        <w:rPr>
          <w:rFonts w:cs="Times New Roman"/>
        </w:rPr>
        <w:fldChar w:fldCharType="end"/>
      </w:r>
      <w:r>
        <w:rPr>
          <w:rFonts w:cs="Times New Roman"/>
        </w:rPr>
        <w:t xml:space="preserve"> besichtigt und am 28. März wieder in Barmen</w:t>
      </w:r>
      <w:r w:rsidR="00363C1C">
        <w:rPr>
          <w:rFonts w:cs="Times New Roman"/>
        </w:rPr>
        <w:fldChar w:fldCharType="begin"/>
      </w:r>
      <w:r>
        <w:instrText xml:space="preserve"> XE "</w:instrText>
      </w:r>
      <w:r w:rsidRPr="00433A28">
        <w:instrText>Barmen</w:instrText>
      </w:r>
      <w:r>
        <w:instrText xml:space="preserve">" </w:instrText>
      </w:r>
      <w:r w:rsidR="00363C1C">
        <w:rPr>
          <w:rFonts w:cs="Times New Roman"/>
        </w:rPr>
        <w:fldChar w:fldCharType="end"/>
      </w:r>
      <w:r>
        <w:rPr>
          <w:rFonts w:cs="Times New Roman"/>
        </w:rPr>
        <w:t xml:space="preserve"> eintrifft.</w:t>
      </w:r>
      <w:r w:rsidRPr="00F1513A">
        <w:rPr>
          <w:rFonts w:cs="Times New Roman"/>
        </w:rPr>
        <w:t xml:space="preserve"> </w:t>
      </w:r>
      <w:r>
        <w:rPr>
          <w:rFonts w:cs="Times New Roman"/>
        </w:rPr>
        <w:t xml:space="preserve">Dies ergibt sich aus den </w:t>
      </w:r>
      <w:r w:rsidRPr="007B0D4A">
        <w:rPr>
          <w:rFonts w:cs="Times New Roman"/>
        </w:rPr>
        <w:t xml:space="preserve">Familienerinnerungen von </w:t>
      </w:r>
      <w:r>
        <w:t>El</w:t>
      </w:r>
      <w:r>
        <w:t>i</w:t>
      </w:r>
      <w:r>
        <w:t>sabeth Siefkes</w:t>
      </w:r>
      <w:r w:rsidR="00363C1C">
        <w:fldChar w:fldCharType="begin"/>
      </w:r>
      <w:r>
        <w:instrText xml:space="preserve"> XE "</w:instrText>
      </w:r>
      <w:r w:rsidRPr="008B0A8B">
        <w:instrText>Siefkes, Elisabeth geb. Spiecker</w:instrText>
      </w:r>
      <w:r>
        <w:instrText xml:space="preserve">" </w:instrText>
      </w:r>
      <w:r w:rsidR="00363C1C">
        <w:fldChar w:fldCharType="end"/>
      </w:r>
      <w:r>
        <w:t>, geb. Spiecker, die sich hier an den Briefen Spieckers orientieren. (E. Sie</w:t>
      </w:r>
      <w:r>
        <w:t>f</w:t>
      </w:r>
      <w:r>
        <w:t>kes 1993: 28)</w:t>
      </w:r>
    </w:p>
  </w:footnote>
  <w:footnote w:id="14">
    <w:p w:rsidR="005A5F2B" w:rsidRDefault="005A5F2B">
      <w:pPr>
        <w:pStyle w:val="Funotentext"/>
      </w:pPr>
      <w:r>
        <w:rPr>
          <w:rStyle w:val="Funotenzeichen"/>
        </w:rPr>
        <w:footnoteRef/>
      </w:r>
      <w:r>
        <w:t xml:space="preserve"> </w:t>
      </w:r>
      <w:r>
        <w:tab/>
      </w:r>
      <w:r w:rsidRPr="002444A5">
        <w:rPr>
          <w:i/>
        </w:rPr>
        <w:t>pad</w:t>
      </w:r>
      <w:r>
        <w:t xml:space="preserve"> ist im Afrikaans (damals: Kapholländischen) ein Ausdruck für ‚Straße‘, ‚Piste‘, </w:t>
      </w:r>
      <w:r>
        <w:rPr>
          <w:i/>
        </w:rPr>
        <w:t>op</w:t>
      </w:r>
      <w:r w:rsidRPr="002444A5">
        <w:rPr>
          <w:i/>
        </w:rPr>
        <w:t xml:space="preserve"> pad</w:t>
      </w:r>
      <w:r>
        <w:t xml:space="preserve"> oder </w:t>
      </w:r>
      <w:r w:rsidRPr="002444A5">
        <w:rPr>
          <w:i/>
        </w:rPr>
        <w:t>auf (dem) pad</w:t>
      </w:r>
      <w:r>
        <w:t xml:space="preserve"> wird für ‚unterwegs‘, ‚auf der Reise‘ verwendet (</w:t>
      </w:r>
      <w:r w:rsidRPr="008E675D">
        <w:t>http://de.wiki</w:t>
      </w:r>
      <w:r>
        <w:softHyphen/>
      </w:r>
      <w:r w:rsidRPr="008E675D">
        <w:t>pedia.org/wi</w:t>
      </w:r>
      <w:r>
        <w:softHyphen/>
      </w:r>
      <w:r w:rsidRPr="008E675D">
        <w:t>ki/Deutsche_Sprache_in_Namibia</w:t>
      </w:r>
      <w:r>
        <w:t>; Einsicht am 12.06.2012).</w:t>
      </w:r>
    </w:p>
  </w:footnote>
  <w:footnote w:id="15">
    <w:p w:rsidR="005A5F2B" w:rsidRDefault="005A5F2B" w:rsidP="00215D30">
      <w:pPr>
        <w:pStyle w:val="Funotentext"/>
      </w:pPr>
      <w:r>
        <w:rPr>
          <w:rStyle w:val="Funotenzeichen"/>
        </w:rPr>
        <w:footnoteRef/>
      </w:r>
      <w:r>
        <w:t xml:space="preserve"> </w:t>
      </w:r>
      <w:r>
        <w:tab/>
        <w:t>„Kapholländisch</w:t>
      </w:r>
      <w:r w:rsidR="00363C1C">
        <w:fldChar w:fldCharType="begin"/>
      </w:r>
      <w:r>
        <w:instrText xml:space="preserve"> XE "</w:instrText>
      </w:r>
      <w:r w:rsidRPr="00595B69">
        <w:instrText>Kapholländisch (Sprache)</w:instrText>
      </w:r>
      <w:r>
        <w:instrText xml:space="preserve">" </w:instrText>
      </w:r>
      <w:r w:rsidR="00363C1C">
        <w:fldChar w:fldCharType="end"/>
      </w:r>
      <w:r>
        <w:t>“ oder „Kolonial-Niederländisch“ waren damalige Bezeichnungen für die heute „Afrikaans“ genannte Sprache, die sich im 17. und 18. Jahrhundert in den Gebieten rund um Kapstadt aus dem Neuniederländischen entwickelte. „1806 ging die Kapkolonie in britischen Besitz über. Fortan stand Afrikaans in ständiger Konkurrenz zum Engl</w:t>
      </w:r>
      <w:r>
        <w:t>i</w:t>
      </w:r>
      <w:r>
        <w:t xml:space="preserve">schen, das ein deutlich höheres </w:t>
      </w:r>
      <w:r w:rsidRPr="00211EDA">
        <w:t>Prestige</w:t>
      </w:r>
      <w:r>
        <w:t xml:space="preserve"> hatte.“ (</w:t>
      </w:r>
      <w:r w:rsidRPr="00211EDA">
        <w:t>http://de.wiki</w:t>
      </w:r>
      <w:r>
        <w:softHyphen/>
      </w:r>
      <w:r w:rsidRPr="00211EDA">
        <w:t>pedia.org/wiki/Afri</w:t>
      </w:r>
      <w:r>
        <w:softHyphen/>
      </w:r>
      <w:r w:rsidRPr="00211EDA">
        <w:t>kaans#Kon</w:t>
      </w:r>
      <w:r>
        <w:softHyphen/>
      </w:r>
      <w:r w:rsidRPr="00211EDA">
        <w:t>kurrenz_mit_dem_Eng</w:t>
      </w:r>
      <w:r>
        <w:softHyphen/>
      </w:r>
      <w:r w:rsidRPr="00211EDA">
        <w:t>lischen_und_Ent</w:t>
      </w:r>
      <w:r>
        <w:softHyphen/>
      </w:r>
      <w:r w:rsidRPr="00211EDA">
        <w:t>wick</w:t>
      </w:r>
      <w:r>
        <w:softHyphen/>
      </w:r>
      <w:r w:rsidRPr="00211EDA">
        <w:t>lung_zur_Staats</w:t>
      </w:r>
      <w:r>
        <w:softHyphen/>
      </w:r>
      <w:r w:rsidRPr="00211EDA">
        <w:t>sprache</w:t>
      </w:r>
      <w:r>
        <w:t>; Einsicht am 12.06.2012) 1925 erhielt es zusammen mit dem Englischen, dem es an Prestige lange nachstand, den Status als Amtssprache in der Südafrikanischen Union.</w:t>
      </w:r>
    </w:p>
  </w:footnote>
  <w:footnote w:id="16">
    <w:p w:rsidR="005A5F2B" w:rsidRDefault="005A5F2B" w:rsidP="00CF6655">
      <w:pPr>
        <w:pStyle w:val="Funotentext"/>
      </w:pPr>
      <w:r>
        <w:rPr>
          <w:rStyle w:val="Funotenzeichen"/>
        </w:rPr>
        <w:footnoteRef/>
      </w:r>
      <w:r>
        <w:t xml:space="preserve"> </w:t>
      </w:r>
      <w:r>
        <w:tab/>
        <w:t>Über Spieckers Kontakte nach Holland schreibt Elisabeth Siefkes</w:t>
      </w:r>
      <w:r w:rsidR="00363C1C">
        <w:fldChar w:fldCharType="begin"/>
      </w:r>
      <w:r>
        <w:instrText xml:space="preserve"> XE "</w:instrText>
      </w:r>
      <w:r w:rsidRPr="008B0A8B">
        <w:instrText>Siefkes, Elisabeth geb. Spiecker</w:instrText>
      </w:r>
      <w:r>
        <w:instrText xml:space="preserve">" </w:instrText>
      </w:r>
      <w:r w:rsidR="00363C1C">
        <w:fldChar w:fldCharType="end"/>
      </w:r>
      <w:r>
        <w:t xml:space="preserve"> in ihren Erinnerungen</w:t>
      </w:r>
      <w:r w:rsidRPr="00402736">
        <w:rPr>
          <w:rFonts w:cs="Times New Roman"/>
        </w:rPr>
        <w:t xml:space="preserve">: „Schon auf seinen Afrikareisen mußte er viel holländisch sprechen, da allerdings mehr das sehr vereinfachte Burisch. Auf der niederländisch-indischen Reise ging es dann um das richtige Holländisch. </w:t>
      </w:r>
      <w:r>
        <w:rPr>
          <w:rFonts w:cs="Times New Roman"/>
        </w:rPr>
        <w:t xml:space="preserve">[…] </w:t>
      </w:r>
      <w:r w:rsidRPr="00402736">
        <w:rPr>
          <w:rFonts w:cs="Times New Roman"/>
        </w:rPr>
        <w:t>Papa mußte auch oft nach Holland und mußte mit der Regi</w:t>
      </w:r>
      <w:r w:rsidRPr="00402736">
        <w:rPr>
          <w:rFonts w:cs="Times New Roman"/>
        </w:rPr>
        <w:t>e</w:t>
      </w:r>
      <w:r w:rsidRPr="00402736">
        <w:rPr>
          <w:rFonts w:cs="Times New Roman"/>
        </w:rPr>
        <w:t>rung, gelegentlich auch der Königin selbst verhandeln wegen der Missionsstationen, die die Holländer sehr unterstützten. Papa sagte manchmal, es sei leichter mit der holländ</w:t>
      </w:r>
      <w:r w:rsidRPr="00402736">
        <w:rPr>
          <w:rFonts w:cs="Times New Roman"/>
        </w:rPr>
        <w:t>i</w:t>
      </w:r>
      <w:r w:rsidRPr="00402736">
        <w:rPr>
          <w:rFonts w:cs="Times New Roman"/>
        </w:rPr>
        <w:t>schen Regierung zu arbeiten als mit der deutschen in Deutsch-Süd-West-Afrika.</w:t>
      </w:r>
      <w:r>
        <w:t>“ (E. Siefkes 1993: 38)</w:t>
      </w:r>
    </w:p>
  </w:footnote>
  <w:footnote w:id="17">
    <w:p w:rsidR="005A5F2B" w:rsidRDefault="005A5F2B" w:rsidP="00CF6655">
      <w:pPr>
        <w:pStyle w:val="Funotentext"/>
      </w:pPr>
      <w:r>
        <w:rPr>
          <w:rStyle w:val="Funotenzeichen"/>
        </w:rPr>
        <w:footnoteRef/>
      </w:r>
      <w:r>
        <w:t xml:space="preserve"> </w:t>
      </w:r>
      <w:r>
        <w:tab/>
        <w:t xml:space="preserve">Die Gesundheitsgefahren in dem wasserarmen Land gehen mit der Ansiedlungspolitik einher, für die nomadischen Stämme waren sie zuvor kein Problem; vgl. dazu Abschnitt </w:t>
      </w:r>
      <w:r w:rsidR="00363C1C">
        <w:fldChar w:fldCharType="begin"/>
      </w:r>
      <w:r>
        <w:instrText xml:space="preserve"> REF _Ref325356767 \r \h </w:instrText>
      </w:r>
      <w:r w:rsidR="00363C1C">
        <w:fldChar w:fldCharType="separate"/>
      </w:r>
      <w:r w:rsidR="00216538">
        <w:t>2.2.4.1</w:t>
      </w:r>
      <w:r w:rsidR="00363C1C">
        <w:fldChar w:fldCharType="end"/>
      </w:r>
      <w:r>
        <w:t xml:space="preserve"> „Die Religion der Sesshaften“.</w:t>
      </w:r>
    </w:p>
  </w:footnote>
  <w:footnote w:id="18">
    <w:p w:rsidR="005A5F2B" w:rsidRDefault="005A5F2B" w:rsidP="00CF6655">
      <w:pPr>
        <w:pStyle w:val="Funotentext"/>
      </w:pPr>
      <w:r>
        <w:rPr>
          <w:rStyle w:val="Funotenzeichen"/>
        </w:rPr>
        <w:footnoteRef/>
      </w:r>
      <w:r>
        <w:tab/>
        <w:t>Schon eine Seite später wiederholt er allerdings seine Tiraden über die „grenzenlose Fau</w:t>
      </w:r>
      <w:r>
        <w:t>l</w:t>
      </w:r>
      <w:r>
        <w:t>heit“ der Leute, von der man sich „keine Vorstellung“ mache (1025).</w:t>
      </w:r>
    </w:p>
  </w:footnote>
  <w:footnote w:id="19">
    <w:p w:rsidR="005A5F2B" w:rsidRDefault="005A5F2B">
      <w:pPr>
        <w:pStyle w:val="Funotentext"/>
      </w:pPr>
      <w:r>
        <w:rPr>
          <w:rStyle w:val="Funotenzeichen"/>
        </w:rPr>
        <w:footnoteRef/>
      </w:r>
      <w:r>
        <w:t xml:space="preserve"> </w:t>
      </w:r>
      <w:r>
        <w:tab/>
        <w:t>Windhuk (heute Windhoek) war der Sitz der Kolonialregierung und ist heute Hauptstadt und wirtschaftliches Zentrum von Namibia. Die Namen „Windhuk“ und „Windhoek“ wurden zunächst nebeneinander verwendet; der amtliche Name wurde 1903 als „Win</w:t>
      </w:r>
      <w:r>
        <w:t>d</w:t>
      </w:r>
      <w:r>
        <w:t>huk“ festgelegt und 1918 in „Windhoek“ geändert (</w:t>
      </w:r>
      <w:r w:rsidRPr="00E33C28">
        <w:t>http://de.wiki</w:t>
      </w:r>
      <w:r>
        <w:softHyphen/>
      </w:r>
      <w:r w:rsidRPr="00E33C28">
        <w:t>pedia.org/wi</w:t>
      </w:r>
      <w:r>
        <w:softHyphen/>
      </w:r>
      <w:r w:rsidRPr="00E33C28">
        <w:t>ki/Wind</w:t>
      </w:r>
      <w:r>
        <w:softHyphen/>
      </w:r>
      <w:r w:rsidRPr="00E33C28">
        <w:t>hoek</w:t>
      </w:r>
      <w:r>
        <w:t>; Einsicht am 13.06.2012).</w:t>
      </w:r>
    </w:p>
  </w:footnote>
  <w:footnote w:id="20">
    <w:p w:rsidR="005A5F2B" w:rsidRDefault="005A5F2B" w:rsidP="00CF6655">
      <w:pPr>
        <w:pStyle w:val="Funotentext"/>
      </w:pPr>
      <w:r>
        <w:rPr>
          <w:rStyle w:val="Funotenzeichen"/>
        </w:rPr>
        <w:footnoteRef/>
      </w:r>
      <w:r>
        <w:tab/>
        <w:t>Der Schiffsstuhl wird später auf der Dampferfahrt von Swakopmund</w:t>
      </w:r>
      <w:r w:rsidR="00363C1C">
        <w:fldChar w:fldCharType="begin"/>
      </w:r>
      <w:r>
        <w:instrText xml:space="preserve"> XE "</w:instrText>
      </w:r>
      <w:r w:rsidRPr="00655FF6">
        <w:instrText>Swakopmund</w:instrText>
      </w:r>
      <w:r>
        <w:instrText xml:space="preserve">" </w:instrText>
      </w:r>
      <w:r w:rsidR="00363C1C">
        <w:fldChar w:fldCharType="end"/>
      </w:r>
      <w:r>
        <w:t xml:space="preserve"> nach Lüderitzbucht</w:t>
      </w:r>
      <w:r w:rsidR="00363C1C">
        <w:fldChar w:fldCharType="begin"/>
      </w:r>
      <w:r>
        <w:instrText xml:space="preserve"> XE "</w:instrText>
      </w:r>
      <w:r w:rsidRPr="00D04BC1">
        <w:instrText>Lüderitzbucht</w:instrText>
      </w:r>
      <w:r>
        <w:instrText xml:space="preserve">" </w:instrText>
      </w:r>
      <w:r w:rsidR="00363C1C">
        <w:fldChar w:fldCharType="end"/>
      </w:r>
      <w:r>
        <w:t xml:space="preserve"> zu Spieckers großem Bedauern verschlampt. „Die Woermann-Linie ist sehr bummelig und haftet für nichts“, stellt er verärgert fest. (1304) Drei Monate später regt er sich schon nicht mehr auf, konstatiert nur noch bedauerliche Fakten: „Der Kapitän Parrow […] gibt sich immer mehr dem Trunk hin und hält sich deshalb von uns jetzt fast ganz fern.“ (1827) Doch gelegentlich versucht man, guten Service zu bieten, nachdem Spiecker wieder einmal „den Fischen meinen Tribut“ zahlen musste: „Der Kellner war auffallend aufmerksam, brachte mir Wasser, Früchte und Zwieback. Ich genoß am Abend nur erst</w:t>
      </w:r>
      <w:r>
        <w:t>e</w:t>
      </w:r>
      <w:r>
        <w:t>res. Die Zwieback fraßen in der Nacht die Ratten und das Obst […] genoß ich nach der Ankunft in Port Nolloth</w:t>
      </w:r>
      <w:r w:rsidR="00363C1C">
        <w:fldChar w:fldCharType="begin"/>
      </w:r>
      <w:r>
        <w:instrText xml:space="preserve"> XE "</w:instrText>
      </w:r>
      <w:r w:rsidRPr="00CA1DE2">
        <w:rPr>
          <w:lang w:val="fr-FR"/>
        </w:rPr>
        <w:instrText>Port Nolloth</w:instrText>
      </w:r>
      <w:r>
        <w:instrText xml:space="preserve">" </w:instrText>
      </w:r>
      <w:r w:rsidR="00363C1C">
        <w:fldChar w:fldCharType="end"/>
      </w:r>
      <w:r>
        <w:t>.“ (1828f)</w:t>
      </w:r>
    </w:p>
  </w:footnote>
  <w:footnote w:id="21">
    <w:p w:rsidR="005A5F2B" w:rsidRDefault="005A5F2B" w:rsidP="00CF6655">
      <w:pPr>
        <w:pStyle w:val="Funotentext"/>
      </w:pPr>
      <w:r>
        <w:rPr>
          <w:rStyle w:val="Funotenzeichen"/>
        </w:rPr>
        <w:footnoteRef/>
      </w:r>
      <w:r>
        <w:tab/>
        <w:t>Diese Eigenschaft des frühen Zubettgehens war mir schon lange vor dem Kontakt mit dem Tagebuch gut vertraut; sie war so ziemlich das einzige, was ich über Johannes Spi</w:t>
      </w:r>
      <w:r>
        <w:t>e</w:t>
      </w:r>
      <w:r>
        <w:t>cker wusste. Denn meine Großmutter Elisabeth Siefkes</w:t>
      </w:r>
      <w:r w:rsidR="00363C1C">
        <w:fldChar w:fldCharType="begin"/>
      </w:r>
      <w:r>
        <w:instrText xml:space="preserve"> XE "</w:instrText>
      </w:r>
      <w:r w:rsidRPr="008B0A8B">
        <w:instrText>Siefkes, Elisabeth geb. Spiecker</w:instrText>
      </w:r>
      <w:r>
        <w:instrText xml:space="preserve">" </w:instrText>
      </w:r>
      <w:r w:rsidR="00363C1C">
        <w:fldChar w:fldCharType="end"/>
      </w:r>
      <w:r>
        <w:t>, 1905 als jüngstes Kind Spieckers geboren, wohnte von 1980 bis 1990 in unserem Haus bei Karlsruhe und half meinen E</w:t>
      </w:r>
      <w:r>
        <w:t>l</w:t>
      </w:r>
      <w:r>
        <w:t>tern, die beide berufstätig waren, bei der Kinderbetreuung aus. Sie ging selten nach neun oder halb zehn Uhr schlafen; dafür konnten wir sie morgens ab sechs in der Küche kla</w:t>
      </w:r>
      <w:r>
        <w:t>p</w:t>
      </w:r>
      <w:r>
        <w:t>pern hören. Sie berief sich dabei wie auch bei anderen Eigenarten stets auf ihren Vater. So konnte sie zum Essen nichts trinken, obwohl der Arzt das dringlich verlangte und sie ta</w:t>
      </w:r>
      <w:r>
        <w:t>t</w:t>
      </w:r>
      <w:r>
        <w:t>sächlich gesundheitliche Probleme deshalb bekam – mit der stets gleichen Begründung: „Ja unser Vater hat das nicht erlaubt!“ Als Kind stellte ich mir Johannes Spiecker daher als einen eindrucksvollen Mann vor; immerhin war sie über 80 und ihr Vater schon mehr als 60 Jahre tot. (Sie kann ihren Mann nicht viel gesehen haben – alle Siefkes sind chron</w:t>
      </w:r>
      <w:r>
        <w:t>i</w:t>
      </w:r>
      <w:r>
        <w:t>sche Nachteulen.)</w:t>
      </w:r>
    </w:p>
  </w:footnote>
  <w:footnote w:id="22">
    <w:p w:rsidR="005A5F2B" w:rsidRDefault="005A5F2B" w:rsidP="00CF6655">
      <w:pPr>
        <w:pStyle w:val="Funotentext"/>
      </w:pPr>
      <w:r>
        <w:rPr>
          <w:rStyle w:val="Funotenzeichen"/>
        </w:rPr>
        <w:footnoteRef/>
      </w:r>
      <w:r>
        <w:tab/>
        <w:t>Der Ort wird auch Okuakuatjiwi (1258) oder Okuwakuatjiwi geschrieben (1264). „De</w:t>
      </w:r>
      <w:r>
        <w:t>r</w:t>
      </w:r>
      <w:r>
        <w:t>artige Namen stehen fast auf jedem Wegweiser anders.“ (1264)</w:t>
      </w:r>
    </w:p>
  </w:footnote>
  <w:footnote w:id="23">
    <w:p w:rsidR="005A5F2B" w:rsidRDefault="005A5F2B" w:rsidP="00CF6655">
      <w:pPr>
        <w:pStyle w:val="Funotentext"/>
      </w:pPr>
      <w:r>
        <w:rPr>
          <w:rStyle w:val="Funotenzeichen"/>
        </w:rPr>
        <w:footnoteRef/>
      </w:r>
      <w:r>
        <w:tab/>
        <w:t>Einmal begegnet Spiecker einem Kraftwagen, der jedoch häufig steckenbleibt. „Nicht weit von Swakopmund</w:t>
      </w:r>
      <w:r w:rsidR="00363C1C">
        <w:fldChar w:fldCharType="begin"/>
      </w:r>
      <w:r>
        <w:instrText xml:space="preserve"> XE "</w:instrText>
      </w:r>
      <w:r w:rsidRPr="00655FF6">
        <w:instrText>Swakopmund</w:instrText>
      </w:r>
      <w:r>
        <w:instrText xml:space="preserve">" </w:instrText>
      </w:r>
      <w:r w:rsidR="00363C1C">
        <w:fldChar w:fldCharType="end"/>
      </w:r>
      <w:r>
        <w:t xml:space="preserve"> steht auch ein solcher Kraftwagen im Sand und kann nicht vo</w:t>
      </w:r>
      <w:r>
        <w:t>r</w:t>
      </w:r>
      <w:r>
        <w:t>wärts und nicht rückwärts. Man nennt ihn im Volksmund in gerade nicht sehr g</w:t>
      </w:r>
      <w:r>
        <w:t>e</w:t>
      </w:r>
      <w:r>
        <w:t>schmackvollem Scherz: Martin Luther</w:t>
      </w:r>
      <w:r w:rsidR="00363C1C">
        <w:fldChar w:fldCharType="begin"/>
      </w:r>
      <w:r>
        <w:instrText xml:space="preserve"> XE "</w:instrText>
      </w:r>
      <w:r w:rsidRPr="00AF37B1">
        <w:instrText>Luther, Martin</w:instrText>
      </w:r>
      <w:r>
        <w:instrText xml:space="preserve">" </w:instrText>
      </w:r>
      <w:r w:rsidR="00363C1C">
        <w:fldChar w:fldCharType="end"/>
      </w:r>
      <w:r>
        <w:t xml:space="preserve"> (Hier steh ich etc.)“ (1545f)</w:t>
      </w:r>
    </w:p>
  </w:footnote>
  <w:footnote w:id="24">
    <w:p w:rsidR="005A5F2B" w:rsidRDefault="005A5F2B" w:rsidP="00CF6655">
      <w:pPr>
        <w:pStyle w:val="Funotentext"/>
      </w:pPr>
      <w:r>
        <w:rPr>
          <w:rStyle w:val="Funotenzeichen"/>
        </w:rPr>
        <w:footnoteRef/>
      </w:r>
      <w:r>
        <w:tab/>
        <w:t>Die grammatikalischen Unregelmäßigkeiten entsprechen dem Typoskript (Spiecker 1905–1907).</w:t>
      </w:r>
    </w:p>
  </w:footnote>
  <w:footnote w:id="25">
    <w:p w:rsidR="005A5F2B" w:rsidRDefault="005A5F2B" w:rsidP="00CF6655">
      <w:pPr>
        <w:pStyle w:val="Funotentext"/>
      </w:pPr>
      <w:r>
        <w:rPr>
          <w:rStyle w:val="Funotenzeichen"/>
        </w:rPr>
        <w:footnoteRef/>
      </w:r>
      <w:r>
        <w:tab/>
        <w:t>Beides von Br. Niemeier</w:t>
      </w:r>
      <w:r w:rsidR="00363C1C">
        <w:fldChar w:fldCharType="begin"/>
      </w:r>
      <w:r>
        <w:instrText xml:space="preserve"> XE "</w:instrText>
      </w:r>
      <w:r w:rsidRPr="006A50D0">
        <w:instrText>Niemeier, Br.</w:instrText>
      </w:r>
      <w:r>
        <w:instrText xml:space="preserve">" </w:instrText>
      </w:r>
      <w:r w:rsidR="00363C1C">
        <w:fldChar w:fldCharType="end"/>
      </w:r>
      <w:r>
        <w:t>, der sich auch gerne mit der Waffe neben Johannes Spiecker photographieren lassen würde, „da es aussehen würde, als wenn er zu meinem Schutze mit dem Gewehr an meiner Seite gehe.“ (874)</w:t>
      </w:r>
    </w:p>
  </w:footnote>
  <w:footnote w:id="26">
    <w:p w:rsidR="005A5F2B" w:rsidRDefault="005A5F2B" w:rsidP="00CF6655">
      <w:pPr>
        <w:pStyle w:val="Funotentext"/>
      </w:pPr>
      <w:r>
        <w:rPr>
          <w:rStyle w:val="Funotenzeichen"/>
        </w:rPr>
        <w:footnoteRef/>
      </w:r>
      <w:r>
        <w:tab/>
        <w:t>Sie befinden sich ein Stück hinter Hoachanas</w:t>
      </w:r>
      <w:r w:rsidR="00363C1C">
        <w:fldChar w:fldCharType="begin"/>
      </w:r>
      <w:r>
        <w:instrText xml:space="preserve"> XE "</w:instrText>
      </w:r>
      <w:r w:rsidRPr="0023707C">
        <w:instrText>Hoachanas</w:instrText>
      </w:r>
      <w:r>
        <w:instrText xml:space="preserve">" </w:instrText>
      </w:r>
      <w:r w:rsidR="00363C1C">
        <w:fldChar w:fldCharType="end"/>
      </w:r>
      <w:r>
        <w:t xml:space="preserve"> bei der Rückreise von dort nach Rehoboth</w:t>
      </w:r>
      <w:r w:rsidR="00363C1C">
        <w:fldChar w:fldCharType="begin"/>
      </w:r>
      <w:r>
        <w:instrText xml:space="preserve"> XE "</w:instrText>
      </w:r>
      <w:r w:rsidRPr="00E8657B">
        <w:instrText>Rehoboth</w:instrText>
      </w:r>
      <w:r>
        <w:instrText xml:space="preserve">" </w:instrText>
      </w:r>
      <w:r w:rsidR="00363C1C">
        <w:fldChar w:fldCharType="end"/>
      </w:r>
      <w:r>
        <w:t>.</w:t>
      </w:r>
    </w:p>
  </w:footnote>
  <w:footnote w:id="27">
    <w:p w:rsidR="005A5F2B" w:rsidRDefault="005A5F2B" w:rsidP="00CF6655">
      <w:pPr>
        <w:pStyle w:val="Funotentext"/>
      </w:pPr>
      <w:r>
        <w:rPr>
          <w:rStyle w:val="Funotenzeichen"/>
        </w:rPr>
        <w:footnoteRef/>
      </w:r>
      <w:r>
        <w:t xml:space="preserve"> </w:t>
      </w:r>
      <w:r>
        <w:tab/>
        <w:t>Bleicher 1981: 4.</w:t>
      </w:r>
    </w:p>
  </w:footnote>
  <w:footnote w:id="28">
    <w:p w:rsidR="005A5F2B" w:rsidRDefault="005A5F2B" w:rsidP="00CF6655">
      <w:pPr>
        <w:pStyle w:val="Funotentext"/>
      </w:pPr>
      <w:r>
        <w:rPr>
          <w:rStyle w:val="Funotenzeichen"/>
        </w:rPr>
        <w:footnoteRef/>
      </w:r>
      <w:r>
        <w:t xml:space="preserve"> </w:t>
      </w:r>
      <w:r>
        <w:tab/>
        <w:t>Korte 1996: 12. Hervorhebung im Original (dies gilt, soweit nicht anders vermerkt, auch im Folgenden).</w:t>
      </w:r>
    </w:p>
  </w:footnote>
  <w:footnote w:id="29">
    <w:p w:rsidR="005A5F2B" w:rsidRDefault="005A5F2B" w:rsidP="00CF6655">
      <w:pPr>
        <w:pStyle w:val="Funotentext"/>
        <w:rPr>
          <w:lang w:val="en-GB"/>
        </w:rPr>
      </w:pPr>
      <w:r>
        <w:rPr>
          <w:rStyle w:val="Funotenzeichen"/>
        </w:rPr>
        <w:footnoteRef/>
      </w:r>
      <w:r>
        <w:rPr>
          <w:lang w:val="en-GB"/>
        </w:rPr>
        <w:t xml:space="preserve"> </w:t>
      </w:r>
      <w:r>
        <w:rPr>
          <w:lang w:val="en-GB"/>
        </w:rPr>
        <w:tab/>
      </w:r>
      <w:proofErr w:type="gramStart"/>
      <w:r w:rsidRPr="005034A7">
        <w:rPr>
          <w:lang w:val="en-US"/>
        </w:rPr>
        <w:t>ebd.:</w:t>
      </w:r>
      <w:proofErr w:type="gramEnd"/>
      <w:r>
        <w:rPr>
          <w:lang w:val="en-GB"/>
        </w:rPr>
        <w:t xml:space="preserve"> 9.</w:t>
      </w:r>
    </w:p>
  </w:footnote>
  <w:footnote w:id="30">
    <w:p w:rsidR="005A5F2B" w:rsidRDefault="005A5F2B" w:rsidP="00CF6655">
      <w:pPr>
        <w:pStyle w:val="Funotentext"/>
        <w:rPr>
          <w:lang w:val="en-GB"/>
        </w:rPr>
      </w:pPr>
      <w:r>
        <w:rPr>
          <w:rStyle w:val="Funotenzeichen"/>
        </w:rPr>
        <w:footnoteRef/>
      </w:r>
      <w:r>
        <w:rPr>
          <w:lang w:val="en-GB"/>
        </w:rPr>
        <w:t xml:space="preserve"> </w:t>
      </w:r>
      <w:r>
        <w:rPr>
          <w:lang w:val="en-GB"/>
        </w:rPr>
        <w:tab/>
      </w:r>
      <w:proofErr w:type="gramStart"/>
      <w:r>
        <w:rPr>
          <w:lang w:val="en-US"/>
        </w:rPr>
        <w:t>ebd.</w:t>
      </w:r>
      <w:r w:rsidRPr="005034A7">
        <w:rPr>
          <w:lang w:val="en-US"/>
        </w:rPr>
        <w:t>:</w:t>
      </w:r>
      <w:proofErr w:type="gramEnd"/>
      <w:r>
        <w:rPr>
          <w:lang w:val="en-GB"/>
        </w:rPr>
        <w:t xml:space="preserve"> 13.</w:t>
      </w:r>
    </w:p>
  </w:footnote>
  <w:footnote w:id="31">
    <w:p w:rsidR="005A5F2B" w:rsidRPr="00CF6655" w:rsidRDefault="005A5F2B" w:rsidP="00CF6655">
      <w:pPr>
        <w:pStyle w:val="Funotentext"/>
      </w:pPr>
      <w:r>
        <w:rPr>
          <w:rStyle w:val="Funotenzeichen"/>
        </w:rPr>
        <w:footnoteRef/>
      </w:r>
      <w:r>
        <w:rPr>
          <w:lang w:val="en-GB"/>
        </w:rPr>
        <w:t xml:space="preserve"> </w:t>
      </w:r>
      <w:r>
        <w:rPr>
          <w:lang w:val="en-GB"/>
        </w:rPr>
        <w:tab/>
        <w:t xml:space="preserve">Clark 2004: 1. Clark zitiert: Jonathan Raban (1987): </w:t>
      </w:r>
      <w:r>
        <w:rPr>
          <w:i/>
          <w:iCs/>
          <w:lang w:val="en-GB"/>
        </w:rPr>
        <w:t>For Love and Money: Writing, Rea</w:t>
      </w:r>
      <w:r>
        <w:rPr>
          <w:i/>
          <w:iCs/>
          <w:lang w:val="en-GB"/>
        </w:rPr>
        <w:t>d</w:t>
      </w:r>
      <w:r>
        <w:rPr>
          <w:i/>
          <w:iCs/>
          <w:lang w:val="en-GB"/>
        </w:rPr>
        <w:t xml:space="preserve">ing, </w:t>
      </w:r>
      <w:proofErr w:type="gramStart"/>
      <w:r>
        <w:rPr>
          <w:i/>
          <w:iCs/>
          <w:lang w:val="en-GB"/>
        </w:rPr>
        <w:t>Travelling</w:t>
      </w:r>
      <w:proofErr w:type="gramEnd"/>
      <w:r>
        <w:rPr>
          <w:i/>
          <w:iCs/>
          <w:lang w:val="en-GB"/>
        </w:rPr>
        <w:t xml:space="preserve">. </w:t>
      </w:r>
      <w:r w:rsidRPr="00481005">
        <w:t>London</w:t>
      </w:r>
      <w:r w:rsidR="00363C1C">
        <w:fldChar w:fldCharType="begin"/>
      </w:r>
      <w:r w:rsidRPr="00481005">
        <w:instrText xml:space="preserve"> XE "London</w:instrText>
      </w:r>
      <w:r>
        <w:instrText xml:space="preserve">" </w:instrText>
      </w:r>
      <w:r w:rsidR="00363C1C">
        <w:fldChar w:fldCharType="end"/>
      </w:r>
      <w:r w:rsidRPr="00CF6655">
        <w:t>: Collins Harvill: 253.</w:t>
      </w:r>
    </w:p>
  </w:footnote>
  <w:footnote w:id="32">
    <w:p w:rsidR="005A5F2B" w:rsidRDefault="005A5F2B" w:rsidP="00CF6655">
      <w:pPr>
        <w:pStyle w:val="Funotentext"/>
      </w:pPr>
      <w:r>
        <w:rPr>
          <w:rStyle w:val="Funotenzeichen"/>
        </w:rPr>
        <w:footnoteRef/>
      </w:r>
      <w:r>
        <w:t xml:space="preserve"> </w:t>
      </w:r>
      <w:r>
        <w:tab/>
        <w:t>Scott 2004: 210f.</w:t>
      </w:r>
    </w:p>
  </w:footnote>
  <w:footnote w:id="33">
    <w:p w:rsidR="005A5F2B" w:rsidRDefault="005A5F2B" w:rsidP="00CF6655">
      <w:pPr>
        <w:pStyle w:val="Funotentext"/>
      </w:pPr>
      <w:r>
        <w:rPr>
          <w:rStyle w:val="Funotenzeichen"/>
        </w:rPr>
        <w:footnoteRef/>
      </w:r>
      <w:r>
        <w:t xml:space="preserve"> </w:t>
      </w:r>
      <w:r>
        <w:tab/>
        <w:t>Bleicher 1981: 4.</w:t>
      </w:r>
    </w:p>
  </w:footnote>
  <w:footnote w:id="34">
    <w:p w:rsidR="005A5F2B" w:rsidRDefault="005A5F2B" w:rsidP="00CF6655">
      <w:pPr>
        <w:pStyle w:val="Funotentext"/>
      </w:pPr>
      <w:r>
        <w:rPr>
          <w:rStyle w:val="Funotenzeichen"/>
        </w:rPr>
        <w:footnoteRef/>
      </w:r>
      <w:r>
        <w:t xml:space="preserve"> </w:t>
      </w:r>
      <w:r>
        <w:tab/>
        <w:t>Spiecker ist immer um die ausreichende Größe und Qualität der Missionarshäuser b</w:t>
      </w:r>
      <w:r>
        <w:t>e</w:t>
      </w:r>
      <w:r>
        <w:t>sorgt, die zugleich auch Gemeindehaus waren; gerade an dieser Stelle hält er Sparen für schädlich, was jedoch wiederum mit Nützlichkeitsaspekten (Schaden für die Gesundheit der Missionare) begründet wird. (1625) – Tatsächlich war das Haus Vedders wohl sehr klein: „[Vedder</w:t>
      </w:r>
      <w:r w:rsidR="00363C1C">
        <w:fldChar w:fldCharType="begin"/>
      </w:r>
      <w:r>
        <w:instrText xml:space="preserve"> XE "</w:instrText>
      </w:r>
      <w:r w:rsidRPr="001901EA">
        <w:instrText>Vedder, Br.</w:instrText>
      </w:r>
      <w:r>
        <w:instrText xml:space="preserve">" </w:instrText>
      </w:r>
      <w:r w:rsidR="00363C1C">
        <w:fldChar w:fldCharType="end"/>
      </w:r>
      <w:r>
        <w:t>] bewohnte zunächst ein Bretterhäuschen, das aus einem einzigen Raum bestand, das Material für das zu errichtende Haus sollte in der Heimat beschafft werden.“ (Baumann</w:t>
      </w:r>
      <w:r w:rsidR="00363C1C">
        <w:fldChar w:fldCharType="begin"/>
      </w:r>
      <w:r>
        <w:instrText xml:space="preserve"> XE "</w:instrText>
      </w:r>
      <w:r w:rsidRPr="004572FE">
        <w:instrText>Baumann, Br.</w:instrText>
      </w:r>
      <w:r>
        <w:instrText xml:space="preserve">" </w:instrText>
      </w:r>
      <w:r w:rsidR="00363C1C">
        <w:fldChar w:fldCharType="end"/>
      </w:r>
      <w:r>
        <w:t xml:space="preserve"> 1965: 22)</w:t>
      </w:r>
    </w:p>
  </w:footnote>
  <w:footnote w:id="35">
    <w:p w:rsidR="005A5F2B" w:rsidRDefault="005A5F2B" w:rsidP="00CF6655">
      <w:pPr>
        <w:pStyle w:val="Funotentext"/>
      </w:pPr>
      <w:r>
        <w:rPr>
          <w:rStyle w:val="Funotenzeichen"/>
        </w:rPr>
        <w:footnoteRef/>
      </w:r>
      <w:r>
        <w:t xml:space="preserve"> </w:t>
      </w:r>
      <w:r>
        <w:tab/>
        <w:t>Korte 1996: 14.</w:t>
      </w:r>
    </w:p>
  </w:footnote>
  <w:footnote w:id="36">
    <w:p w:rsidR="005A5F2B" w:rsidRDefault="005A5F2B" w:rsidP="00CF6655">
      <w:pPr>
        <w:pStyle w:val="Funotentext"/>
      </w:pPr>
      <w:r>
        <w:rPr>
          <w:rStyle w:val="Funotenzeichen"/>
        </w:rPr>
        <w:footnoteRef/>
      </w:r>
      <w:r>
        <w:t xml:space="preserve"> </w:t>
      </w:r>
      <w:r>
        <w:tab/>
        <w:t>Beispielsweise der Bericht über Swakopmund</w:t>
      </w:r>
      <w:r w:rsidR="00363C1C">
        <w:fldChar w:fldCharType="begin"/>
      </w:r>
      <w:r>
        <w:instrText xml:space="preserve"> XE "</w:instrText>
      </w:r>
      <w:r w:rsidRPr="00655FF6">
        <w:instrText>Swakopmund</w:instrText>
      </w:r>
      <w:r>
        <w:instrText xml:space="preserve">" </w:instrText>
      </w:r>
      <w:r w:rsidR="00363C1C">
        <w:fldChar w:fldCharType="end"/>
      </w:r>
      <w:r>
        <w:t>, der am 25.-29.8. und 12.9.1906 entstand. (Archiv der Vereinigten Evangelischen Mission in Wuppertal, C/h 45: Swakopmund.)</w:t>
      </w:r>
    </w:p>
  </w:footnote>
  <w:footnote w:id="37">
    <w:p w:rsidR="005A5F2B" w:rsidRDefault="005A5F2B" w:rsidP="00CF6655">
      <w:pPr>
        <w:pStyle w:val="Funotentext"/>
      </w:pPr>
      <w:r>
        <w:rPr>
          <w:rStyle w:val="Funotenzeichen"/>
        </w:rPr>
        <w:footnoteRef/>
      </w:r>
      <w:r>
        <w:t xml:space="preserve"> </w:t>
      </w:r>
      <w:r>
        <w:tab/>
        <w:t>Eine Zuschreibung, die natürlich als naiv und als Teil der Tagebuchtradition selbst b</w:t>
      </w:r>
      <w:r>
        <w:t>e</w:t>
      </w:r>
      <w:r>
        <w:t xml:space="preserve">trachtet werden muss; auch in einem Tagebuch stilisiert sich der/die Schreibende für eine reale oder fiktive Leserschaft sowie nicht zuletzt für die Eigenwahrnehmung. Deshalb sind Tagebücher auch schon immer als Mittel der ‚Selbstfindung‘ geschätzt worden, ob nun in der Zeit der Orientierungssuche bei jungen Menschen, bei Persönlichkeitskrisen oder mit der Absicht, eine neue Lebensphase anzufangen. </w:t>
      </w:r>
    </w:p>
  </w:footnote>
  <w:footnote w:id="38">
    <w:p w:rsidR="005A5F2B" w:rsidRDefault="005A5F2B" w:rsidP="00CF6655">
      <w:pPr>
        <w:pStyle w:val="Funotentext"/>
      </w:pPr>
      <w:r>
        <w:rPr>
          <w:rStyle w:val="Funotenzeichen"/>
        </w:rPr>
        <w:footnoteRef/>
      </w:r>
      <w:r>
        <w:t xml:space="preserve"> </w:t>
      </w:r>
      <w:r>
        <w:tab/>
        <w:t>Dort hätte man es in der Tat lieber gesehen, wenn die Blätter direkt an die Deputation</w:t>
      </w:r>
      <w:r w:rsidR="00363C1C">
        <w:fldChar w:fldCharType="begin"/>
      </w:r>
      <w:r>
        <w:instrText xml:space="preserve"> XE "</w:instrText>
      </w:r>
      <w:r w:rsidRPr="002762AE">
        <w:instrText>Deputation der RMG</w:instrText>
      </w:r>
      <w:r>
        <w:instrText xml:space="preserve">" </w:instrText>
      </w:r>
      <w:r w:rsidR="00363C1C">
        <w:fldChar w:fldCharType="end"/>
      </w:r>
      <w:r>
        <w:t xml:space="preserve"> geschickt worden wären. (Auskunft von Liselotte Spiecker nach den persönlichen Briefen Spieckers an seine Frau.) Für die erste Afrikareise (1902–1903) ist aus den Familieneri</w:t>
      </w:r>
      <w:r>
        <w:t>n</w:t>
      </w:r>
      <w:r>
        <w:t>nerungen meiner Großmutter zu entnehmen, dass Inspektor Schreiber (der damalige Missionsdirektor) sich darüber ärgert, dass Spiecker alle Post an seine Frau adressiert.</w:t>
      </w:r>
    </w:p>
  </w:footnote>
  <w:footnote w:id="39">
    <w:p w:rsidR="005A5F2B" w:rsidRDefault="005A5F2B" w:rsidP="00CF6655">
      <w:pPr>
        <w:pStyle w:val="Funotentext"/>
      </w:pPr>
      <w:r>
        <w:rPr>
          <w:rStyle w:val="Funotenzeichen"/>
        </w:rPr>
        <w:footnoteRef/>
      </w:r>
      <w:r>
        <w:t xml:space="preserve"> </w:t>
      </w:r>
      <w:r>
        <w:tab/>
        <w:t xml:space="preserve">Spiecker 1907. Vgl. zu einigen inhaltlichen Differenzen zum Tagebuch die Abschnitte </w:t>
      </w:r>
      <w:r w:rsidR="00363C1C">
        <w:fldChar w:fldCharType="begin"/>
      </w:r>
      <w:r>
        <w:instrText xml:space="preserve"> REF _Ref325356893 \r \h </w:instrText>
      </w:r>
      <w:r w:rsidR="00363C1C">
        <w:fldChar w:fldCharType="separate"/>
      </w:r>
      <w:r w:rsidR="00216538">
        <w:t>2.2.3.2</w:t>
      </w:r>
      <w:r w:rsidR="00363C1C">
        <w:fldChar w:fldCharType="end"/>
      </w:r>
      <w:r>
        <w:t xml:space="preserve"> und </w:t>
      </w:r>
      <w:r w:rsidR="00363C1C">
        <w:fldChar w:fldCharType="begin"/>
      </w:r>
      <w:r>
        <w:instrText xml:space="preserve"> REF _Ref325356920 \r \h </w:instrText>
      </w:r>
      <w:r w:rsidR="00363C1C">
        <w:fldChar w:fldCharType="separate"/>
      </w:r>
      <w:r w:rsidR="00216538">
        <w:t>3.4.1</w:t>
      </w:r>
      <w:r w:rsidR="00363C1C">
        <w:fldChar w:fldCharType="end"/>
      </w:r>
      <w:r>
        <w:t>.</w:t>
      </w:r>
    </w:p>
  </w:footnote>
  <w:footnote w:id="40">
    <w:p w:rsidR="005A5F2B" w:rsidRDefault="005A5F2B" w:rsidP="00CF6655">
      <w:pPr>
        <w:pStyle w:val="Funotentext"/>
      </w:pPr>
      <w:r>
        <w:rPr>
          <w:rStyle w:val="Funotenzeichen"/>
        </w:rPr>
        <w:footnoteRef/>
      </w:r>
      <w:r>
        <w:t xml:space="preserve"> </w:t>
      </w:r>
      <w:r>
        <w:tab/>
        <w:t>Pratt 1992.</w:t>
      </w:r>
    </w:p>
  </w:footnote>
  <w:footnote w:id="41">
    <w:p w:rsidR="005A5F2B" w:rsidRDefault="005A5F2B" w:rsidP="00CF6655">
      <w:pPr>
        <w:pStyle w:val="Funotentext"/>
      </w:pPr>
      <w:r>
        <w:rPr>
          <w:rStyle w:val="Funotenzeichen"/>
        </w:rPr>
        <w:footnoteRef/>
      </w:r>
      <w:r>
        <w:t xml:space="preserve"> </w:t>
      </w:r>
      <w:r>
        <w:tab/>
        <w:t>Said 1978.</w:t>
      </w:r>
    </w:p>
  </w:footnote>
  <w:footnote w:id="42">
    <w:p w:rsidR="005A5F2B" w:rsidRDefault="005A5F2B" w:rsidP="00CF6655">
      <w:pPr>
        <w:pStyle w:val="Funotentext"/>
      </w:pPr>
      <w:r>
        <w:rPr>
          <w:rStyle w:val="Funotenzeichen"/>
        </w:rPr>
        <w:footnoteRef/>
      </w:r>
      <w:r>
        <w:t xml:space="preserve"> </w:t>
      </w:r>
      <w:r>
        <w:tab/>
        <w:t>Aus wissenschaftstheoretischer Sicht handelt es sich um das Problem der unzureichenden Trennung von Objekt- und Metasprache, ein ‚Dauerbrenner‘ aller Geisteswissenschaften, dessen volle Bedeutung jedoch erst im 20. Jahrhundert erkannt wurde. Eine solche b</w:t>
      </w:r>
      <w:r>
        <w:t>e</w:t>
      </w:r>
      <w:r>
        <w:t>ständige Kontaminierung der Metasprache durch die Objektsprache würde den klass</w:t>
      </w:r>
      <w:r>
        <w:t>i</w:t>
      </w:r>
      <w:r>
        <w:t>schen wissenschaftstheoretischen Idealen zufolge die Ergebnisse völlig wertlos machen (radikale Kritiker der Geisteswissenschaften glaubten daher auch, ihnen insgesamt den Status der Wissenschaftlichkeit absprechen zu können); heute ist eine solch radikale A</w:t>
      </w:r>
      <w:r>
        <w:t>b</w:t>
      </w:r>
      <w:r>
        <w:t>qualifizierung nicht mehr üblich, da die Möglichkeit einer vollständig ‚objektiven‘ Wi</w:t>
      </w:r>
      <w:r>
        <w:t>s</w:t>
      </w:r>
      <w:r>
        <w:t>senschaft immer öfter in Frage gestellt wird.</w:t>
      </w:r>
    </w:p>
  </w:footnote>
  <w:footnote w:id="43">
    <w:p w:rsidR="005A5F2B" w:rsidRPr="00CF6655" w:rsidRDefault="005A5F2B" w:rsidP="00CF6655">
      <w:pPr>
        <w:pStyle w:val="Funotentext"/>
      </w:pPr>
      <w:r>
        <w:rPr>
          <w:rStyle w:val="Funotenzeichen"/>
        </w:rPr>
        <w:footnoteRef/>
      </w:r>
      <w:r w:rsidRPr="00CF6655">
        <w:t xml:space="preserve"> </w:t>
      </w:r>
      <w:r w:rsidRPr="00CF6655">
        <w:tab/>
        <w:t>Young 1995: 163.</w:t>
      </w:r>
    </w:p>
  </w:footnote>
  <w:footnote w:id="44">
    <w:p w:rsidR="005A5F2B" w:rsidRPr="00CF6655" w:rsidRDefault="005A5F2B" w:rsidP="00CF6655">
      <w:pPr>
        <w:pStyle w:val="Funotentext"/>
      </w:pPr>
      <w:r>
        <w:rPr>
          <w:rStyle w:val="Funotenzeichen"/>
        </w:rPr>
        <w:footnoteRef/>
      </w:r>
      <w:r w:rsidRPr="00CF6655">
        <w:t xml:space="preserve"> </w:t>
      </w:r>
      <w:r w:rsidRPr="00CF6655">
        <w:tab/>
      </w:r>
      <w:r>
        <w:t>ebd.</w:t>
      </w:r>
      <w:r w:rsidRPr="00CF6655">
        <w:t>: 159f.</w:t>
      </w:r>
    </w:p>
  </w:footnote>
  <w:footnote w:id="45">
    <w:p w:rsidR="005A5F2B" w:rsidRDefault="005A5F2B" w:rsidP="00CF6655">
      <w:pPr>
        <w:pStyle w:val="Funotentext"/>
      </w:pPr>
      <w:r>
        <w:rPr>
          <w:rStyle w:val="Funotenzeichen"/>
        </w:rPr>
        <w:footnoteRef/>
      </w:r>
      <w:r>
        <w:t xml:space="preserve"> </w:t>
      </w:r>
      <w:r>
        <w:tab/>
        <w:t>Vgl. beispielsweise Bhabha 1983 und 1984; eine Synthese des Denkens von Bhabha findet sich in Bhabha 1994. Die kritische Beschäftigung mit Said dauerte an und ist dokume</w:t>
      </w:r>
      <w:r>
        <w:t>n</w:t>
      </w:r>
      <w:r>
        <w:t>tiert in Bhabha 2005.</w:t>
      </w:r>
    </w:p>
  </w:footnote>
  <w:footnote w:id="46">
    <w:p w:rsidR="005A5F2B" w:rsidRPr="00CF6655" w:rsidRDefault="005A5F2B" w:rsidP="00CF6655">
      <w:pPr>
        <w:pStyle w:val="Funotentext"/>
      </w:pPr>
      <w:r>
        <w:rPr>
          <w:rStyle w:val="Funotenzeichen"/>
        </w:rPr>
        <w:footnoteRef/>
      </w:r>
      <w:r w:rsidRPr="00CF6655">
        <w:t xml:space="preserve"> </w:t>
      </w:r>
      <w:r w:rsidRPr="00CF6655">
        <w:tab/>
        <w:t>Young 1995: 161.</w:t>
      </w:r>
    </w:p>
  </w:footnote>
  <w:footnote w:id="47">
    <w:p w:rsidR="005A5F2B" w:rsidRDefault="005A5F2B" w:rsidP="00CF6655">
      <w:pPr>
        <w:pStyle w:val="Funotentext"/>
      </w:pPr>
      <w:r>
        <w:rPr>
          <w:rStyle w:val="Funotenzeichen"/>
        </w:rPr>
        <w:footnoteRef/>
      </w:r>
      <w:r>
        <w:t xml:space="preserve"> </w:t>
      </w:r>
      <w:r>
        <w:tab/>
        <w:t xml:space="preserve">Zur Ableugnung des Prozesses der Rassenmischung vgl. Abschnitt </w:t>
      </w:r>
      <w:r w:rsidR="00363C1C">
        <w:fldChar w:fldCharType="begin"/>
      </w:r>
      <w:r>
        <w:instrText xml:space="preserve"> REF _Ref325356947 \r \h </w:instrText>
      </w:r>
      <w:r w:rsidR="00363C1C">
        <w:fldChar w:fldCharType="separate"/>
      </w:r>
      <w:r w:rsidR="00216538">
        <w:t>3.2.1.1</w:t>
      </w:r>
      <w:r w:rsidR="00363C1C">
        <w:fldChar w:fldCharType="end"/>
      </w:r>
      <w:r>
        <w:t>.</w:t>
      </w:r>
    </w:p>
  </w:footnote>
  <w:footnote w:id="48">
    <w:p w:rsidR="005A5F2B" w:rsidRPr="00CF6655" w:rsidRDefault="005A5F2B" w:rsidP="00CF6655">
      <w:pPr>
        <w:pStyle w:val="Funotentext"/>
      </w:pPr>
      <w:r>
        <w:rPr>
          <w:rStyle w:val="Funotenzeichen"/>
        </w:rPr>
        <w:footnoteRef/>
      </w:r>
      <w:r w:rsidRPr="00CF6655">
        <w:t xml:space="preserve"> </w:t>
      </w:r>
      <w:r w:rsidRPr="00CF6655">
        <w:tab/>
        <w:t>Young 1995: 161.</w:t>
      </w:r>
    </w:p>
  </w:footnote>
  <w:footnote w:id="49">
    <w:p w:rsidR="005A5F2B" w:rsidRDefault="005A5F2B" w:rsidP="00CF6655">
      <w:pPr>
        <w:pStyle w:val="Funotentext"/>
      </w:pPr>
      <w:r>
        <w:rPr>
          <w:rStyle w:val="Funotenzeichen"/>
        </w:rPr>
        <w:footnoteRef/>
      </w:r>
      <w:r>
        <w:t xml:space="preserve"> </w:t>
      </w:r>
      <w:r>
        <w:tab/>
        <w:t>Gandhi 1998: 73.</w:t>
      </w:r>
    </w:p>
  </w:footnote>
  <w:footnote w:id="50">
    <w:p w:rsidR="005A5F2B" w:rsidRDefault="005A5F2B" w:rsidP="00CF6655">
      <w:pPr>
        <w:pStyle w:val="Funotentext"/>
        <w:rPr>
          <w:lang w:val="it-IT"/>
        </w:rPr>
      </w:pPr>
      <w:r>
        <w:rPr>
          <w:rStyle w:val="Funotenzeichen"/>
        </w:rPr>
        <w:footnoteRef/>
      </w:r>
      <w:r>
        <w:rPr>
          <w:lang w:val="it-IT"/>
        </w:rPr>
        <w:t xml:space="preserve"> </w:t>
      </w:r>
      <w:r>
        <w:rPr>
          <w:lang w:val="it-IT"/>
        </w:rPr>
        <w:tab/>
      </w:r>
      <w:r>
        <w:t>ebd.:</w:t>
      </w:r>
      <w:r>
        <w:rPr>
          <w:lang w:val="it-IT"/>
        </w:rPr>
        <w:t xml:space="preserve"> ix.</w:t>
      </w:r>
    </w:p>
  </w:footnote>
  <w:footnote w:id="51">
    <w:p w:rsidR="005A5F2B" w:rsidRDefault="005A5F2B" w:rsidP="00CF6655">
      <w:pPr>
        <w:pStyle w:val="Funotentext"/>
        <w:rPr>
          <w:lang w:val="it-IT"/>
        </w:rPr>
      </w:pPr>
      <w:r>
        <w:rPr>
          <w:rStyle w:val="Funotenzeichen"/>
        </w:rPr>
        <w:footnoteRef/>
      </w:r>
      <w:r>
        <w:rPr>
          <w:lang w:val="it-IT"/>
        </w:rPr>
        <w:t xml:space="preserve"> </w:t>
      </w:r>
      <w:r>
        <w:rPr>
          <w:lang w:val="it-IT"/>
        </w:rPr>
        <w:tab/>
        <w:t>Vgl. Memmi</w:t>
      </w:r>
      <w:r w:rsidR="00363C1C">
        <w:rPr>
          <w:lang w:val="it-IT"/>
        </w:rPr>
        <w:fldChar w:fldCharType="begin"/>
      </w:r>
      <w:r>
        <w:instrText xml:space="preserve"> XE "</w:instrText>
      </w:r>
      <w:r w:rsidRPr="00AF0B05">
        <w:instrText>Memmi, Albert</w:instrText>
      </w:r>
      <w:r>
        <w:instrText xml:space="preserve">" </w:instrText>
      </w:r>
      <w:r w:rsidR="00363C1C">
        <w:rPr>
          <w:lang w:val="it-IT"/>
        </w:rPr>
        <w:fldChar w:fldCharType="end"/>
      </w:r>
      <w:r>
        <w:rPr>
          <w:lang w:val="it-IT"/>
        </w:rPr>
        <w:t xml:space="preserve"> 1994.</w:t>
      </w:r>
    </w:p>
  </w:footnote>
  <w:footnote w:id="52">
    <w:p w:rsidR="005A5F2B" w:rsidRDefault="005A5F2B" w:rsidP="00CF6655">
      <w:pPr>
        <w:pStyle w:val="Funotentext"/>
      </w:pPr>
      <w:r>
        <w:rPr>
          <w:rStyle w:val="Funotenzeichen"/>
        </w:rPr>
        <w:footnoteRef/>
      </w:r>
      <w:r>
        <w:t xml:space="preserve"> </w:t>
      </w:r>
      <w:r>
        <w:tab/>
        <w:t>Fanon</w:t>
      </w:r>
      <w:r w:rsidR="00363C1C">
        <w:fldChar w:fldCharType="begin"/>
      </w:r>
      <w:r>
        <w:instrText xml:space="preserve"> XE "</w:instrText>
      </w:r>
      <w:r w:rsidRPr="00362E25">
        <w:instrText>Fanon, Frantz</w:instrText>
      </w:r>
      <w:r>
        <w:instrText xml:space="preserve">" </w:instrText>
      </w:r>
      <w:r w:rsidR="00363C1C">
        <w:fldChar w:fldCharType="end"/>
      </w:r>
      <w:r>
        <w:t xml:space="preserve"> wurde 1924 auf Martinique geboren und studierte Philosophie und Medizin in Frankreich. 1953 ging er als Arzt nach Algerien, wo er sich 1954 der Nationalen B</w:t>
      </w:r>
      <w:r>
        <w:t>e</w:t>
      </w:r>
      <w:r>
        <w:t>freiungsfront anschloss. Seine Werke waren für die antikolonialen Befreiungskriege von Bedeutung; vgl insbesondere: Frantz Fanon</w:t>
      </w:r>
      <w:r w:rsidR="00363C1C">
        <w:fldChar w:fldCharType="begin"/>
      </w:r>
      <w:r>
        <w:instrText xml:space="preserve"> XE "</w:instrText>
      </w:r>
      <w:r w:rsidRPr="00362E25">
        <w:instrText>Fanon, Frantz</w:instrText>
      </w:r>
      <w:r>
        <w:instrText xml:space="preserve">" </w:instrText>
      </w:r>
      <w:r w:rsidR="00363C1C">
        <w:fldChar w:fldCharType="end"/>
      </w:r>
      <w:r>
        <w:t xml:space="preserve"> (1985): </w:t>
      </w:r>
      <w:r>
        <w:rPr>
          <w:i/>
          <w:iCs/>
        </w:rPr>
        <w:t xml:space="preserve">Schwarze Haut, weiße Masken. </w:t>
      </w:r>
      <w:r>
        <w:t>Frankfurt a.M.: Suhrkamp. Frantz Fanon</w:t>
      </w:r>
      <w:r w:rsidR="00363C1C">
        <w:fldChar w:fldCharType="begin"/>
      </w:r>
      <w:r>
        <w:instrText xml:space="preserve"> XE "</w:instrText>
      </w:r>
      <w:r w:rsidRPr="00362E25">
        <w:instrText>Fanon, Frantz</w:instrText>
      </w:r>
      <w:r>
        <w:instrText xml:space="preserve">" </w:instrText>
      </w:r>
      <w:r w:rsidR="00363C1C">
        <w:fldChar w:fldCharType="end"/>
      </w:r>
      <w:r>
        <w:t xml:space="preserve"> (1981): </w:t>
      </w:r>
      <w:r>
        <w:rPr>
          <w:i/>
          <w:iCs/>
        </w:rPr>
        <w:t xml:space="preserve">Die Verdammten dieser Erde. </w:t>
      </w:r>
      <w:r>
        <w:t>Frankfurt a.M.: Suhrkamp.</w:t>
      </w:r>
    </w:p>
  </w:footnote>
  <w:footnote w:id="53">
    <w:p w:rsidR="005A5F2B" w:rsidRPr="00CF6655" w:rsidRDefault="005A5F2B" w:rsidP="00CF6655">
      <w:pPr>
        <w:pStyle w:val="Funotentext"/>
      </w:pPr>
      <w:r>
        <w:rPr>
          <w:rStyle w:val="Funotenzeichen"/>
        </w:rPr>
        <w:footnoteRef/>
      </w:r>
      <w:r>
        <w:t xml:space="preserve"> </w:t>
      </w:r>
      <w:r>
        <w:tab/>
        <w:t>Zur Kritik dieser Probleme des Postkolonialismus</w:t>
      </w:r>
      <w:r w:rsidR="00363C1C">
        <w:fldChar w:fldCharType="begin"/>
      </w:r>
      <w:r>
        <w:instrText xml:space="preserve"> XE "</w:instrText>
      </w:r>
      <w:r w:rsidRPr="005A75D0">
        <w:instrText>Postkolonialismus</w:instrText>
      </w:r>
      <w:r>
        <w:instrText xml:space="preserve">" </w:instrText>
      </w:r>
      <w:r w:rsidR="00363C1C">
        <w:fldChar w:fldCharType="end"/>
      </w:r>
      <w:r>
        <w:t xml:space="preserve"> vgl. </w:t>
      </w:r>
      <w:r>
        <w:rPr>
          <w:bCs/>
        </w:rPr>
        <w:t>Aijaz</w:t>
      </w:r>
      <w:r>
        <w:t xml:space="preserve"> </w:t>
      </w:r>
      <w:r>
        <w:rPr>
          <w:bCs/>
        </w:rPr>
        <w:t>Ahmad (1992):</w:t>
      </w:r>
      <w:r>
        <w:t xml:space="preserve"> </w:t>
      </w:r>
      <w:r>
        <w:rPr>
          <w:i/>
          <w:iCs/>
        </w:rPr>
        <w:t xml:space="preserve">In </w:t>
      </w:r>
      <w:r>
        <w:rPr>
          <w:bCs/>
          <w:i/>
          <w:iCs/>
        </w:rPr>
        <w:t>Theory</w:t>
      </w:r>
      <w:r>
        <w:rPr>
          <w:i/>
          <w:iCs/>
        </w:rPr>
        <w:t xml:space="preserve">: </w:t>
      </w:r>
      <w:r>
        <w:rPr>
          <w:bCs/>
          <w:i/>
          <w:iCs/>
        </w:rPr>
        <w:t>Classes</w:t>
      </w:r>
      <w:r>
        <w:rPr>
          <w:i/>
          <w:iCs/>
        </w:rPr>
        <w:t xml:space="preserve">, </w:t>
      </w:r>
      <w:r>
        <w:rPr>
          <w:bCs/>
          <w:i/>
          <w:iCs/>
        </w:rPr>
        <w:t>Nations</w:t>
      </w:r>
      <w:r>
        <w:rPr>
          <w:i/>
          <w:iCs/>
        </w:rPr>
        <w:t xml:space="preserve">, </w:t>
      </w:r>
      <w:r>
        <w:rPr>
          <w:bCs/>
          <w:i/>
          <w:iCs/>
        </w:rPr>
        <w:t>Literatures</w:t>
      </w:r>
      <w:r>
        <w:rPr>
          <w:i/>
          <w:iCs/>
        </w:rPr>
        <w:t xml:space="preserve">. </w:t>
      </w:r>
      <w:r>
        <w:rPr>
          <w:lang w:val="it-IT"/>
        </w:rPr>
        <w:t>London</w:t>
      </w:r>
      <w:r w:rsidR="00363C1C">
        <w:rPr>
          <w:lang w:val="it-IT"/>
        </w:rPr>
        <w:fldChar w:fldCharType="begin"/>
      </w:r>
      <w:r w:rsidRPr="00FD12E8">
        <w:rPr>
          <w:lang w:val="en-US"/>
        </w:rPr>
        <w:instrText xml:space="preserve"> XE "</w:instrText>
      </w:r>
      <w:r w:rsidRPr="00E61711">
        <w:rPr>
          <w:lang w:val="en-GB"/>
        </w:rPr>
        <w:instrText>London</w:instrText>
      </w:r>
      <w:r w:rsidRPr="00FD12E8">
        <w:rPr>
          <w:lang w:val="en-US"/>
        </w:rPr>
        <w:instrText xml:space="preserve">" </w:instrText>
      </w:r>
      <w:r w:rsidR="00363C1C">
        <w:rPr>
          <w:lang w:val="it-IT"/>
        </w:rPr>
        <w:fldChar w:fldCharType="end"/>
      </w:r>
      <w:r>
        <w:rPr>
          <w:lang w:val="it-IT"/>
        </w:rPr>
        <w:t xml:space="preserve">: </w:t>
      </w:r>
      <w:r>
        <w:rPr>
          <w:bCs/>
          <w:lang w:val="it-IT"/>
        </w:rPr>
        <w:t>Verso</w:t>
      </w:r>
      <w:r>
        <w:rPr>
          <w:lang w:val="it-IT"/>
        </w:rPr>
        <w:t xml:space="preserve">; Benita Parry (2004): </w:t>
      </w:r>
      <w:r>
        <w:rPr>
          <w:i/>
          <w:iCs/>
          <w:lang w:val="it-IT"/>
        </w:rPr>
        <w:t xml:space="preserve">Postcolonial Studies. </w:t>
      </w:r>
      <w:r>
        <w:rPr>
          <w:i/>
          <w:iCs/>
          <w:lang w:val="fr-FR"/>
        </w:rPr>
        <w:t xml:space="preserve">A Materialist Critique. </w:t>
      </w:r>
      <w:r>
        <w:rPr>
          <w:lang w:val="en-GB"/>
        </w:rPr>
        <w:t xml:space="preserve">London u.a.: Routledge. </w:t>
      </w:r>
      <w:r>
        <w:t>Bezogen auf die Postmoderne als Gesam</w:t>
      </w:r>
      <w:r>
        <w:t>t</w:t>
      </w:r>
      <w:r>
        <w:t xml:space="preserve">phänomen wurde die – bereits von Jürgen Habermas vorgetragene – These der Komplizität mit den reaktionären Kräften unserer Zeit zuletzt schlüssig formuliert in: Terry </w:t>
      </w:r>
      <w:r>
        <w:rPr>
          <w:bCs/>
        </w:rPr>
        <w:t>Eagleton</w:t>
      </w:r>
      <w:r>
        <w:t xml:space="preserve"> (1996): </w:t>
      </w:r>
      <w:r>
        <w:rPr>
          <w:i/>
          <w:iCs/>
        </w:rPr>
        <w:t xml:space="preserve">The </w:t>
      </w:r>
      <w:r>
        <w:rPr>
          <w:bCs/>
          <w:i/>
          <w:iCs/>
        </w:rPr>
        <w:t>Illusions</w:t>
      </w:r>
      <w:r>
        <w:rPr>
          <w:i/>
          <w:iCs/>
        </w:rPr>
        <w:t xml:space="preserve"> of </w:t>
      </w:r>
      <w:r>
        <w:rPr>
          <w:bCs/>
          <w:i/>
          <w:iCs/>
        </w:rPr>
        <w:t xml:space="preserve">Postmodernism. </w:t>
      </w:r>
      <w:r w:rsidRPr="00CF6655">
        <w:t>London: Blackwell.</w:t>
      </w:r>
    </w:p>
  </w:footnote>
  <w:footnote w:id="54">
    <w:p w:rsidR="005A5F2B" w:rsidRPr="00CF6655" w:rsidRDefault="005A5F2B" w:rsidP="00CF6655">
      <w:pPr>
        <w:pStyle w:val="Funotentext"/>
      </w:pPr>
      <w:r>
        <w:rPr>
          <w:rStyle w:val="Funotenzeichen"/>
        </w:rPr>
        <w:footnoteRef/>
      </w:r>
      <w:r w:rsidRPr="00CF6655">
        <w:t xml:space="preserve"> </w:t>
      </w:r>
      <w:r w:rsidRPr="00CF6655">
        <w:tab/>
        <w:t>Pordzik 2005: 8.</w:t>
      </w:r>
    </w:p>
  </w:footnote>
  <w:footnote w:id="55">
    <w:p w:rsidR="005A5F2B" w:rsidRDefault="005A5F2B" w:rsidP="00CF6655">
      <w:pPr>
        <w:pStyle w:val="Funotentext"/>
      </w:pPr>
      <w:r>
        <w:rPr>
          <w:rStyle w:val="Funotenzeichen"/>
        </w:rPr>
        <w:footnoteRef/>
      </w:r>
      <w:r>
        <w:t xml:space="preserve"> </w:t>
      </w:r>
      <w:r>
        <w:tab/>
        <w:t>Porter 1991: 3.</w:t>
      </w:r>
    </w:p>
  </w:footnote>
  <w:footnote w:id="56">
    <w:p w:rsidR="005A5F2B" w:rsidRDefault="005A5F2B" w:rsidP="00CF6655">
      <w:pPr>
        <w:pStyle w:val="Funotentext"/>
      </w:pPr>
      <w:r>
        <w:rPr>
          <w:rStyle w:val="Funotenzeichen"/>
        </w:rPr>
        <w:footnoteRef/>
      </w:r>
      <w:r>
        <w:t xml:space="preserve"> </w:t>
      </w:r>
      <w:r>
        <w:tab/>
        <w:t>Pordzik 2005: 8.</w:t>
      </w:r>
    </w:p>
  </w:footnote>
  <w:footnote w:id="57">
    <w:p w:rsidR="005A5F2B" w:rsidRDefault="005A5F2B" w:rsidP="00CF6655">
      <w:pPr>
        <w:pStyle w:val="Funotentext"/>
      </w:pPr>
      <w:r>
        <w:rPr>
          <w:rStyle w:val="Funotenzeichen"/>
        </w:rPr>
        <w:footnoteRef/>
      </w:r>
      <w:r>
        <w:t xml:space="preserve"> </w:t>
      </w:r>
      <w:r>
        <w:tab/>
        <w:t>Guthke 2000: 3.</w:t>
      </w:r>
    </w:p>
  </w:footnote>
  <w:footnote w:id="58">
    <w:p w:rsidR="005A5F2B" w:rsidRDefault="005A5F2B" w:rsidP="00CF6655">
      <w:pPr>
        <w:pStyle w:val="Funotentext"/>
      </w:pPr>
      <w:r>
        <w:rPr>
          <w:rStyle w:val="Funotenzeichen"/>
        </w:rPr>
        <w:footnoteRef/>
      </w:r>
      <w:r>
        <w:t xml:space="preserve"> </w:t>
      </w:r>
      <w:r>
        <w:tab/>
        <w:t>ebd.</w:t>
      </w:r>
    </w:p>
  </w:footnote>
  <w:footnote w:id="59">
    <w:p w:rsidR="005A5F2B" w:rsidRDefault="005A5F2B" w:rsidP="00CF6655">
      <w:pPr>
        <w:pStyle w:val="Funotentext"/>
      </w:pPr>
      <w:r>
        <w:rPr>
          <w:rStyle w:val="Funotenzeichen"/>
        </w:rPr>
        <w:footnoteRef/>
      </w:r>
      <w:r>
        <w:t xml:space="preserve"> </w:t>
      </w:r>
      <w:r>
        <w:tab/>
        <w:t>Pratt 1992: 5.</w:t>
      </w:r>
    </w:p>
  </w:footnote>
  <w:footnote w:id="60">
    <w:p w:rsidR="005A5F2B" w:rsidRDefault="005A5F2B" w:rsidP="00CF6655">
      <w:pPr>
        <w:pStyle w:val="Funotentext"/>
      </w:pPr>
      <w:r>
        <w:rPr>
          <w:rStyle w:val="Funotenzeichen"/>
        </w:rPr>
        <w:footnoteRef/>
      </w:r>
      <w:r>
        <w:t xml:space="preserve"> </w:t>
      </w:r>
      <w:r>
        <w:tab/>
        <w:t>Zur Verwendung von „Bastards</w:t>
      </w:r>
      <w:r w:rsidR="00363C1C">
        <w:fldChar w:fldCharType="begin"/>
      </w:r>
      <w:r>
        <w:instrText xml:space="preserve"> XE "</w:instrText>
      </w:r>
      <w:r w:rsidRPr="006B6C63">
        <w:instrText>Bastards</w:instrText>
      </w:r>
      <w:r>
        <w:instrText xml:space="preserve">" </w:instrText>
      </w:r>
      <w:r w:rsidR="00363C1C">
        <w:fldChar w:fldCharType="end"/>
      </w:r>
      <w:r>
        <w:t xml:space="preserve">“ bei Spiecker s. Fußnote </w:t>
      </w:r>
      <w:r w:rsidR="00363C1C">
        <w:fldChar w:fldCharType="begin"/>
      </w:r>
      <w:r>
        <w:instrText xml:space="preserve"> NOTEREF _Ref325358341 \h </w:instrText>
      </w:r>
      <w:r w:rsidR="00363C1C">
        <w:fldChar w:fldCharType="separate"/>
      </w:r>
      <w:r w:rsidR="00216538">
        <w:t>97</w:t>
      </w:r>
      <w:r w:rsidR="00363C1C">
        <w:fldChar w:fldCharType="end"/>
      </w:r>
      <w:r>
        <w:t>.</w:t>
      </w:r>
    </w:p>
  </w:footnote>
  <w:footnote w:id="61">
    <w:p w:rsidR="005A5F2B" w:rsidRDefault="005A5F2B" w:rsidP="00CF6655">
      <w:pPr>
        <w:pStyle w:val="Funotentext"/>
      </w:pPr>
      <w:r>
        <w:rPr>
          <w:rStyle w:val="Funotenzeichen"/>
        </w:rPr>
        <w:footnoteRef/>
      </w:r>
      <w:r>
        <w:t xml:space="preserve"> </w:t>
      </w:r>
      <w:r>
        <w:tab/>
        <w:t>Tanja Hemme zeigt beispielsweise auf, wie die angetroffenen Stämme von Ernst von W</w:t>
      </w:r>
      <w:r>
        <w:t>e</w:t>
      </w:r>
      <w:r>
        <w:t>ber</w:t>
      </w:r>
      <w:r w:rsidR="00363C1C">
        <w:fldChar w:fldCharType="begin"/>
      </w:r>
      <w:r>
        <w:instrText xml:space="preserve"> XE "</w:instrText>
      </w:r>
      <w:r w:rsidRPr="002C5A3F">
        <w:instrText xml:space="preserve">Weber, </w:instrText>
      </w:r>
      <w:r>
        <w:instrText xml:space="preserve">Ernst von" </w:instrText>
      </w:r>
      <w:r w:rsidR="00363C1C">
        <w:fldChar w:fldCharType="end"/>
      </w:r>
      <w:r>
        <w:t>, einem der führenden Kolonialpropagandisten in Deutschland, der Afrika in Sachen Diamantenabbau bereiste, als Faktor des Wirtschaftsprozesses wahrgenommen werden (Hemme 2000: 133).</w:t>
      </w:r>
    </w:p>
  </w:footnote>
  <w:footnote w:id="62">
    <w:p w:rsidR="005A5F2B" w:rsidRDefault="005A5F2B" w:rsidP="00CF6655">
      <w:pPr>
        <w:pStyle w:val="Funotentext"/>
      </w:pPr>
      <w:r>
        <w:rPr>
          <w:rStyle w:val="Funotenzeichen"/>
        </w:rPr>
        <w:footnoteRef/>
      </w:r>
      <w:r>
        <w:t xml:space="preserve"> </w:t>
      </w:r>
      <w:r>
        <w:tab/>
        <w:t>Pratt 1992: 6.</w:t>
      </w:r>
    </w:p>
  </w:footnote>
  <w:footnote w:id="63">
    <w:p w:rsidR="005A5F2B" w:rsidRDefault="005A5F2B" w:rsidP="00CF6655">
      <w:pPr>
        <w:pStyle w:val="Funotentext"/>
      </w:pPr>
      <w:r>
        <w:rPr>
          <w:rStyle w:val="Funotenzeichen"/>
        </w:rPr>
        <w:footnoteRef/>
      </w:r>
      <w:r>
        <w:t xml:space="preserve"> </w:t>
      </w:r>
      <w:r>
        <w:tab/>
        <w:t>ebd.: 4.</w:t>
      </w:r>
    </w:p>
  </w:footnote>
  <w:footnote w:id="64">
    <w:p w:rsidR="005A5F2B" w:rsidRDefault="005A5F2B" w:rsidP="00CF6655">
      <w:pPr>
        <w:pStyle w:val="Funotentext"/>
      </w:pPr>
      <w:r>
        <w:rPr>
          <w:rStyle w:val="Funotenzeichen"/>
        </w:rPr>
        <w:footnoteRef/>
      </w:r>
      <w:r>
        <w:t xml:space="preserve"> </w:t>
      </w:r>
      <w:r>
        <w:tab/>
        <w:t>Kerridge 1999: 166.</w:t>
      </w:r>
    </w:p>
  </w:footnote>
  <w:footnote w:id="65">
    <w:p w:rsidR="005A5F2B" w:rsidRDefault="005A5F2B" w:rsidP="00CF6655">
      <w:pPr>
        <w:pStyle w:val="Funotentext"/>
      </w:pPr>
      <w:r>
        <w:rPr>
          <w:rStyle w:val="Funotenzeichen"/>
        </w:rPr>
        <w:footnoteRef/>
      </w:r>
      <w:r>
        <w:t xml:space="preserve"> </w:t>
      </w:r>
      <w:r>
        <w:tab/>
        <w:t>ebd.</w:t>
      </w:r>
    </w:p>
  </w:footnote>
  <w:footnote w:id="66">
    <w:p w:rsidR="005A5F2B" w:rsidRDefault="005A5F2B" w:rsidP="00CF6655">
      <w:pPr>
        <w:pStyle w:val="Funotentext"/>
      </w:pPr>
      <w:r>
        <w:rPr>
          <w:rStyle w:val="Funotenzeichen"/>
        </w:rPr>
        <w:footnoteRef/>
      </w:r>
      <w:r>
        <w:t xml:space="preserve"> </w:t>
      </w:r>
      <w:r>
        <w:tab/>
        <w:t>Pordzik 2005 (Titel).</w:t>
      </w:r>
    </w:p>
  </w:footnote>
  <w:footnote w:id="67">
    <w:p w:rsidR="005A5F2B" w:rsidRPr="00CF6655" w:rsidRDefault="005A5F2B" w:rsidP="00CF6655">
      <w:pPr>
        <w:pStyle w:val="Funotentext"/>
      </w:pPr>
      <w:r>
        <w:rPr>
          <w:rStyle w:val="Funotenzeichen"/>
        </w:rPr>
        <w:footnoteRef/>
      </w:r>
      <w:r>
        <w:t xml:space="preserve"> </w:t>
      </w:r>
      <w:r>
        <w:tab/>
        <w:t>Diese Möglichkeit des Reisens, überraschend etwas Neues und Anderes als das Erwartete hervorzubringen, wird in letzter Zeit wieder stärker betont, beispielsweise im Bereich der „Cultural Studies“. So schlägt James Clifford vor, Ethnographie wieder stärker im Reisen zu betreiben, anstatt sich – wie es lange Zeit als einzige ernstzunehmende Unters</w:t>
      </w:r>
      <w:r>
        <w:t>u</w:t>
      </w:r>
      <w:r>
        <w:t>chungsmethode von Kulturen galt – für lange Zeit vor Ort anzusiedeln: „In much trad</w:t>
      </w:r>
      <w:r>
        <w:t>i</w:t>
      </w:r>
      <w:r>
        <w:t>tional ethnography […] the ethnographer has localized what is actually a regi</w:t>
      </w:r>
      <w:r>
        <w:t>o</w:t>
      </w:r>
      <w:r>
        <w:t>nal/national/global nexus, relegating to the margins a “culture’s” external relations and displacements.“ (Clifford 1992: 100) Kulturen seien zu statisch und außerdem naiv als gegeben und stabil angesehen worden, während sie sich tatsächlich immer in der Intera</w:t>
      </w:r>
      <w:r>
        <w:t>k</w:t>
      </w:r>
      <w:r>
        <w:t xml:space="preserve">tion mit anderen Kulturen – also im Reisen – definierten. </w:t>
      </w:r>
      <w:r>
        <w:rPr>
          <w:lang w:val="en-GB"/>
        </w:rPr>
        <w:t xml:space="preserve">„In tipping the balance toward traveling as I am doing here, the “chronotype” of culture (a setting or scene organizing time and space in representable whole form) comes to resemble as much a site of travel encounters as of residence, less a tent in a village […], and more like a hotel lobby, ship or bus.“ Daraus ergeben sich neue Forschungsfelder für Anthropologen: „why not focus on any culture’s farthest range of travel while </w:t>
      </w:r>
      <w:r>
        <w:rPr>
          <w:i/>
          <w:iCs/>
          <w:lang w:val="en-GB"/>
        </w:rPr>
        <w:t xml:space="preserve">also </w:t>
      </w:r>
      <w:r>
        <w:rPr>
          <w:lang w:val="en-GB"/>
        </w:rPr>
        <w:t>looking at its centers, its villages […]</w:t>
      </w:r>
      <w:proofErr w:type="gramStart"/>
      <w:r>
        <w:rPr>
          <w:lang w:val="en-GB"/>
        </w:rPr>
        <w:t>?“</w:t>
      </w:r>
      <w:proofErr w:type="gramEnd"/>
      <w:r>
        <w:rPr>
          <w:lang w:val="en-GB"/>
        </w:rPr>
        <w:t xml:space="preserve"> </w:t>
      </w:r>
      <w:r w:rsidRPr="00CF6655">
        <w:t>(ebd.: 101)</w:t>
      </w:r>
    </w:p>
  </w:footnote>
  <w:footnote w:id="68">
    <w:p w:rsidR="005A5F2B" w:rsidRPr="00CF6655" w:rsidRDefault="005A5F2B" w:rsidP="00CF6655">
      <w:pPr>
        <w:pStyle w:val="Funotentext"/>
      </w:pPr>
      <w:r>
        <w:rPr>
          <w:rStyle w:val="Funotenzeichen"/>
        </w:rPr>
        <w:footnoteRef/>
      </w:r>
      <w:r w:rsidRPr="00CF6655">
        <w:t xml:space="preserve"> </w:t>
      </w:r>
      <w:r w:rsidRPr="00CF6655">
        <w:tab/>
        <w:t>Gründer 1984: 17.</w:t>
      </w:r>
    </w:p>
  </w:footnote>
  <w:footnote w:id="69">
    <w:p w:rsidR="005A5F2B" w:rsidRDefault="005A5F2B" w:rsidP="00CF6655">
      <w:pPr>
        <w:pStyle w:val="Funotentext"/>
      </w:pPr>
      <w:r>
        <w:rPr>
          <w:rStyle w:val="Funotenzeichen"/>
        </w:rPr>
        <w:footnoteRef/>
      </w:r>
      <w:r w:rsidRPr="00CF6655">
        <w:t xml:space="preserve"> </w:t>
      </w:r>
      <w:r w:rsidRPr="00CF6655">
        <w:tab/>
        <w:t>Zbigniew Bialas weist in „Mapping Wild Gardens. The Symbolic Conquest of South Africa“ (Zbigniew 1997) d</w:t>
      </w:r>
      <w:r>
        <w:t>etailliert den Zusammenhang zwischen Kartographie</w:t>
      </w:r>
      <w:r w:rsidR="00363C1C">
        <w:fldChar w:fldCharType="begin"/>
      </w:r>
      <w:r>
        <w:instrText xml:space="preserve"> XE "</w:instrText>
      </w:r>
      <w:r w:rsidRPr="009D104B">
        <w:instrText>Kartographie</w:instrText>
      </w:r>
      <w:r>
        <w:instrText xml:space="preserve">" </w:instrText>
      </w:r>
      <w:r w:rsidR="00363C1C">
        <w:fldChar w:fldCharType="end"/>
      </w:r>
      <w:r>
        <w:t xml:space="preserve"> und K</w:t>
      </w:r>
      <w:r>
        <w:t>o</w:t>
      </w:r>
      <w:r>
        <w:t>lonialismus</w:t>
      </w:r>
      <w:r w:rsidR="00363C1C">
        <w:fldChar w:fldCharType="begin"/>
      </w:r>
      <w:r>
        <w:instrText xml:space="preserve"> XE "</w:instrText>
      </w:r>
      <w:r w:rsidRPr="00603729">
        <w:instrText>Kolonialismus</w:instrText>
      </w:r>
      <w:r>
        <w:instrText xml:space="preserve">" </w:instrText>
      </w:r>
      <w:r w:rsidR="00363C1C">
        <w:fldChar w:fldCharType="end"/>
      </w:r>
      <w:r>
        <w:t xml:space="preserve"> nach. Es muss betont werden, dass es sich hier um einen anderen Typus des Reisenden handelt, doch scheint in der sachlich-nüchternen Darstellungsweise von Spi</w:t>
      </w:r>
      <w:r>
        <w:t>e</w:t>
      </w:r>
      <w:r>
        <w:t>cker, der für die Wiedergabe von Beobachtungen immer den Vorwand eines potentiell ‚nützlichen‘ Merkmals, einer Verwendungs- (man ist versucht zu sagen: Ausbeutungs-)möglichkeit des Landes zu benötigen scheint, ein Reflex auf diese spezifische Betrac</w:t>
      </w:r>
      <w:r>
        <w:t>h</w:t>
      </w:r>
      <w:r>
        <w:t>tungsweise der afrikanischen Landschaft zu liegen. Eine weitere Gemeinsamkeit liegt in der Betonung der Pflichtethik, die im preußisch geprägten Kaiserreich denen soziale A</w:t>
      </w:r>
      <w:r>
        <w:t>n</w:t>
      </w:r>
      <w:r>
        <w:t xml:space="preserve">erkennung und Selbstzufriedenheit gewährte, die bereit waren, sich als Teil des nationalen Ganzen zu fühlen und daraus ihre Motivation zu ziehen: „Conspicuously, for travellers-cartographers, conducting observations is rarely described as a privilege but rather as an absolute incumbency, be it religious, moral or military. </w:t>
      </w:r>
      <w:r>
        <w:rPr>
          <w:lang w:val="en-GB"/>
        </w:rPr>
        <w:t>[…] Col. Gordon regularly and ‘dutifully’ climbs hills and mountains in order to take his bearings, even when he is ill. He insists on making his observations from the highest point, but avoids aestheticising comments (Bialas 1997: 64)</w:t>
      </w:r>
      <w:proofErr w:type="gramStart"/>
      <w:r>
        <w:rPr>
          <w:lang w:val="en-GB"/>
        </w:rPr>
        <w:t>.“</w:t>
      </w:r>
      <w:proofErr w:type="gramEnd"/>
      <w:r>
        <w:rPr>
          <w:lang w:val="en-GB"/>
        </w:rPr>
        <w:t xml:space="preserve"> </w:t>
      </w:r>
      <w:r>
        <w:t>Ebenso besteht Spiecker auf der Notwendigkeit, bei Krankheit seine Pflicht zu tun, und nur Ermahnungen durch die Deputation</w:t>
      </w:r>
      <w:r w:rsidR="00363C1C">
        <w:fldChar w:fldCharType="begin"/>
      </w:r>
      <w:r>
        <w:instrText xml:space="preserve"> XE "</w:instrText>
      </w:r>
      <w:r w:rsidRPr="002762AE">
        <w:instrText>Deputation der RMG</w:instrText>
      </w:r>
      <w:r>
        <w:instrText xml:space="preserve">" </w:instrText>
      </w:r>
      <w:r w:rsidR="00363C1C">
        <w:fldChar w:fldCharType="end"/>
      </w:r>
      <w:r>
        <w:t xml:space="preserve">, im Interesse der Mission seine Gesundheit zu schonen, nimmt er ernst – ohne sich immer daran zu halten (vgl. Abschnitt </w:t>
      </w:r>
      <w:r w:rsidR="00363C1C">
        <w:fldChar w:fldCharType="begin"/>
      </w:r>
      <w:r>
        <w:instrText xml:space="preserve"> REF _Ref325357008 \r \h </w:instrText>
      </w:r>
      <w:r w:rsidR="00363C1C">
        <w:fldChar w:fldCharType="separate"/>
      </w:r>
      <w:r w:rsidR="00216538">
        <w:t>1.2.2.2</w:t>
      </w:r>
      <w:r w:rsidR="00363C1C">
        <w:fldChar w:fldCharType="end"/>
      </w:r>
      <w:r>
        <w:t xml:space="preserve"> und </w:t>
      </w:r>
      <w:r w:rsidR="00363C1C">
        <w:fldChar w:fldCharType="begin"/>
      </w:r>
      <w:r>
        <w:instrText xml:space="preserve"> REF _Ref325356978 \r \h </w:instrText>
      </w:r>
      <w:r w:rsidR="00363C1C">
        <w:fldChar w:fldCharType="separate"/>
      </w:r>
      <w:r w:rsidR="00216538">
        <w:t>2.4.4</w:t>
      </w:r>
      <w:r w:rsidR="00363C1C">
        <w:fldChar w:fldCharType="end"/>
      </w:r>
      <w:r>
        <w:t>).</w:t>
      </w:r>
    </w:p>
  </w:footnote>
  <w:footnote w:id="70">
    <w:p w:rsidR="005A5F2B" w:rsidRDefault="005A5F2B" w:rsidP="00CF6655">
      <w:pPr>
        <w:pStyle w:val="Funotentext"/>
      </w:pPr>
      <w:r>
        <w:rPr>
          <w:rStyle w:val="Funotenzeichen"/>
        </w:rPr>
        <w:footnoteRef/>
      </w:r>
      <w:r>
        <w:t xml:space="preserve"> </w:t>
      </w:r>
      <w:r>
        <w:tab/>
        <w:t>Cronin 1995: 22.</w:t>
      </w:r>
    </w:p>
  </w:footnote>
  <w:footnote w:id="71">
    <w:p w:rsidR="005A5F2B" w:rsidRDefault="005A5F2B" w:rsidP="00CF6655">
      <w:pPr>
        <w:pStyle w:val="Funotentext"/>
      </w:pPr>
      <w:r>
        <w:rPr>
          <w:rStyle w:val="Funotenzeichen"/>
        </w:rPr>
        <w:footnoteRef/>
      </w:r>
      <w:r>
        <w:t xml:space="preserve"> </w:t>
      </w:r>
      <w:r>
        <w:tab/>
        <w:t>Für eine Liste der Referate auf den Herero</w:t>
      </w:r>
      <w:r w:rsidR="00363C1C">
        <w:fldChar w:fldCharType="begin"/>
      </w:r>
      <w:r>
        <w:instrText xml:space="preserve"> XE "</w:instrText>
      </w:r>
      <w:r w:rsidRPr="00D91537">
        <w:instrText>Herero</w:instrText>
      </w:r>
      <w:r>
        <w:instrText xml:space="preserve">" </w:instrText>
      </w:r>
      <w:r w:rsidR="00363C1C">
        <w:fldChar w:fldCharType="end"/>
      </w:r>
      <w:r>
        <w:t>- und Namakonferenzen bis 1910 siehe Engel 1972: 478ff.</w:t>
      </w:r>
    </w:p>
  </w:footnote>
  <w:footnote w:id="72">
    <w:p w:rsidR="005A5F2B" w:rsidRDefault="005A5F2B" w:rsidP="00CF6655">
      <w:pPr>
        <w:pStyle w:val="Funotentext"/>
      </w:pPr>
      <w:r>
        <w:rPr>
          <w:rStyle w:val="Funotenzeichen"/>
        </w:rPr>
        <w:footnoteRef/>
      </w:r>
      <w:r>
        <w:tab/>
        <w:t>Am nächsten Tag wird eine Kompanie Soldaten zum deutschen Gottesdienst befehligt, der im Freien stattfindet. Sie müssen die ganze Zeit stehen, was Spiecker als „peinlich“ empfindet. Er hätte wohl doch lieber einen freiwilligen Gottesdienstbesuch. (1005f)</w:t>
      </w:r>
    </w:p>
  </w:footnote>
  <w:footnote w:id="73">
    <w:p w:rsidR="005A5F2B" w:rsidRDefault="005A5F2B" w:rsidP="00CF6655">
      <w:pPr>
        <w:pStyle w:val="Funotentext"/>
      </w:pPr>
      <w:r>
        <w:rPr>
          <w:rStyle w:val="Funotenzeichen"/>
        </w:rPr>
        <w:footnoteRef/>
      </w:r>
      <w:r>
        <w:t xml:space="preserve"> </w:t>
      </w:r>
      <w:r>
        <w:tab/>
        <w:t>Der von Spiecker „Bergdamra</w:t>
      </w:r>
      <w:r w:rsidR="00363C1C">
        <w:fldChar w:fldCharType="begin"/>
      </w:r>
      <w:r>
        <w:instrText xml:space="preserve"> XE "</w:instrText>
      </w:r>
      <w:r w:rsidRPr="001E01BD">
        <w:instrText>Bergdamra</w:instrText>
      </w:r>
      <w:r>
        <w:instrText xml:space="preserve">" </w:instrText>
      </w:r>
      <w:r w:rsidR="00363C1C">
        <w:fldChar w:fldCharType="end"/>
      </w:r>
      <w:r>
        <w:t>“ genannte Stamm wird gewöhnlich als „Damara“ oder „Bergnama“ bezeichnet. Sie sind kein Teil der Nama</w:t>
      </w:r>
      <w:r w:rsidR="00363C1C">
        <w:fldChar w:fldCharType="begin"/>
      </w:r>
      <w:r>
        <w:instrText xml:space="preserve"> XE "</w:instrText>
      </w:r>
      <w:r w:rsidRPr="001F563C">
        <w:instrText>Nama</w:instrText>
      </w:r>
      <w:r>
        <w:instrText xml:space="preserve">" </w:instrText>
      </w:r>
      <w:r w:rsidR="00363C1C">
        <w:fldChar w:fldCharType="end"/>
      </w:r>
      <w:r>
        <w:t>, haben aber deren Sprache ang</w:t>
      </w:r>
      <w:r>
        <w:t>e</w:t>
      </w:r>
      <w:r>
        <w:t>nommen. (Wöhe 1982: 53.) Ich werde hier aus Gründen der Konsistenz Spieckers Begriff verwenden, der auch sonst gelegentlich in der Literatur der Zeit auftritt.</w:t>
      </w:r>
    </w:p>
  </w:footnote>
  <w:footnote w:id="74">
    <w:p w:rsidR="005A5F2B" w:rsidRDefault="005A5F2B" w:rsidP="00CF6655">
      <w:pPr>
        <w:pStyle w:val="Funotentext"/>
      </w:pPr>
      <w:r>
        <w:rPr>
          <w:rStyle w:val="Funotenzeichen"/>
        </w:rPr>
        <w:footnoteRef/>
      </w:r>
      <w:r>
        <w:tab/>
        <w:t>Von den meisten psychologischen Schulen wird der Zusammenhang zwischen Überl</w:t>
      </w:r>
      <w:r>
        <w:t>e</w:t>
      </w:r>
      <w:r>
        <w:t>genheitsgefühlen und Minderwertigkeitskomplexen, zwischen Verachtung und Neid he</w:t>
      </w:r>
      <w:r>
        <w:t>r</w:t>
      </w:r>
      <w:r>
        <w:t>vorgehoben.</w:t>
      </w:r>
    </w:p>
  </w:footnote>
  <w:footnote w:id="75">
    <w:p w:rsidR="005A5F2B" w:rsidRDefault="005A5F2B" w:rsidP="00CF6655">
      <w:pPr>
        <w:pStyle w:val="Funotentext"/>
      </w:pPr>
      <w:r>
        <w:rPr>
          <w:rStyle w:val="Funotenzeichen"/>
        </w:rPr>
        <w:footnoteRef/>
      </w:r>
      <w:r>
        <w:tab/>
        <w:t>Ein charakteristisches Beispiel findet sich in Kurt Hasserts „Deutsche Kolonien“ von 1899, dessen sonst recht sachlicher und faktenorientierter Ton bei diesem Punkt in P</w:t>
      </w:r>
      <w:r>
        <w:t>o</w:t>
      </w:r>
      <w:r>
        <w:t>lemik umschlägt: „Bezüglich der geistigen Eigenschaften muss man die Nama</w:t>
      </w:r>
      <w:r w:rsidR="00363C1C">
        <w:fldChar w:fldCharType="begin"/>
      </w:r>
      <w:r>
        <w:instrText xml:space="preserve"> XE "</w:instrText>
      </w:r>
      <w:r w:rsidRPr="001F563C">
        <w:instrText>Nama</w:instrText>
      </w:r>
      <w:r>
        <w:instrText xml:space="preserve">" </w:instrText>
      </w:r>
      <w:r w:rsidR="00363C1C">
        <w:fldChar w:fldCharType="end"/>
      </w:r>
      <w:r>
        <w:t xml:space="preserve"> als ein ve</w:t>
      </w:r>
      <w:r>
        <w:t>r</w:t>
      </w:r>
      <w:r>
        <w:t>hältnismässig hochstehendes Volk bezeichnen. Im Erkennen menschlicher und tierischer Spuren, im Durchspähen des Geländes, im Reiten und Schiessen, in der Musik, in Fell- und Lederarbeiten leisten sie Ausserordentliches. Leider sind sie sehr unreinlich, neigen stark zur Trunksucht und Hinterlist und sind so faul, dass sich jeder echte Hottentotte von dem fortwährenden Liegen auf dem Boden die Haare am Hinterkopfe durchgesche</w:t>
      </w:r>
      <w:r>
        <w:t>u</w:t>
      </w:r>
      <w:r>
        <w:t>ert hat.“ (Hassert 1899: 174) Der Witz klingt, als hätte der Leipziger Dozent ihn sich mit einiger Mühe aus der Hüfte geleiert, leider ohne besonderen Erfolg. Er deutet aber darauf hin, dass Hassert bei seinem deutschen Publikum mit einem spezifischen Ärger über di</w:t>
      </w:r>
      <w:r>
        <w:t>e</w:t>
      </w:r>
      <w:r>
        <w:t>se „Faulheit“ rechnen konnte. Dabei korreliert er sie selbst mit der dazugehörigen B</w:t>
      </w:r>
      <w:r>
        <w:t>e</w:t>
      </w:r>
      <w:r>
        <w:t>scheidenheit in den Ansprüchen: „Bei den geringen Bedürfnissen der Eingeborenen liegt die Bodenbewirtschaftung sehr darnieder.“ (ebd.: 169)</w:t>
      </w:r>
    </w:p>
  </w:footnote>
  <w:footnote w:id="76">
    <w:p w:rsidR="005A5F2B" w:rsidRDefault="005A5F2B" w:rsidP="00CF6655">
      <w:pPr>
        <w:pStyle w:val="Funotentext"/>
      </w:pPr>
      <w:r>
        <w:rPr>
          <w:rStyle w:val="Funotenzeichen"/>
          <w:color w:val="auto"/>
          <w:sz w:val="24"/>
          <w:szCs w:val="24"/>
        </w:rPr>
        <w:footnoteRef/>
      </w:r>
      <w:r>
        <w:tab/>
        <w:t>Kombinationen wie „rohe und nackte Heiden“ (1195) oder „heidnische Zügellosigkeit“ (1189) sind häufig.</w:t>
      </w:r>
    </w:p>
  </w:footnote>
  <w:footnote w:id="77">
    <w:p w:rsidR="005A5F2B" w:rsidRDefault="005A5F2B" w:rsidP="00CF6655">
      <w:pPr>
        <w:pStyle w:val="Funotentext"/>
      </w:pPr>
      <w:r>
        <w:rPr>
          <w:rStyle w:val="Funotenzeichen"/>
        </w:rPr>
        <w:footnoteRef/>
      </w:r>
      <w:r>
        <w:t xml:space="preserve"> </w:t>
      </w:r>
      <w:r>
        <w:tab/>
        <w:t>Panzergrau 1998: 27.</w:t>
      </w:r>
    </w:p>
  </w:footnote>
  <w:footnote w:id="78">
    <w:p w:rsidR="005A5F2B" w:rsidRDefault="005A5F2B" w:rsidP="00CF6655">
      <w:pPr>
        <w:pStyle w:val="Funotentext"/>
      </w:pPr>
      <w:r>
        <w:rPr>
          <w:rStyle w:val="Funotenzeichen"/>
        </w:rPr>
        <w:footnoteRef/>
      </w:r>
      <w:r>
        <w:t xml:space="preserve"> </w:t>
      </w:r>
      <w:r>
        <w:tab/>
        <w:t>ebd.: 27f.</w:t>
      </w:r>
    </w:p>
  </w:footnote>
  <w:footnote w:id="79">
    <w:p w:rsidR="005A5F2B" w:rsidRDefault="005A5F2B" w:rsidP="00CF6655">
      <w:pPr>
        <w:pStyle w:val="Funotentext"/>
      </w:pPr>
      <w:r>
        <w:rPr>
          <w:rStyle w:val="Funotenzeichen"/>
        </w:rPr>
        <w:footnoteRef/>
      </w:r>
      <w:r>
        <w:t xml:space="preserve"> </w:t>
      </w:r>
      <w:r>
        <w:tab/>
        <w:t>ebd.: 31.</w:t>
      </w:r>
    </w:p>
  </w:footnote>
  <w:footnote w:id="80">
    <w:p w:rsidR="005A5F2B" w:rsidRDefault="005A5F2B" w:rsidP="00CF6655">
      <w:pPr>
        <w:pStyle w:val="Funotentext"/>
      </w:pPr>
      <w:r>
        <w:rPr>
          <w:rStyle w:val="Funotenzeichen"/>
        </w:rPr>
        <w:footnoteRef/>
      </w:r>
      <w:r>
        <w:t xml:space="preserve"> </w:t>
      </w:r>
      <w:r>
        <w:tab/>
        <w:t>ebd.: 29f.</w:t>
      </w:r>
    </w:p>
  </w:footnote>
  <w:footnote w:id="81">
    <w:p w:rsidR="005A5F2B" w:rsidRDefault="005A5F2B">
      <w:pPr>
        <w:pStyle w:val="Funotentext"/>
      </w:pPr>
      <w:r>
        <w:rPr>
          <w:rStyle w:val="Funotenzeichen"/>
        </w:rPr>
        <w:footnoteRef/>
      </w:r>
      <w:r>
        <w:t xml:space="preserve"> </w:t>
      </w:r>
      <w:r>
        <w:tab/>
      </w:r>
      <w:r w:rsidRPr="008E675D">
        <w:t>http://de.wikipedia.org/wiki/Deutsche_Sprache_in_Namibia</w:t>
      </w:r>
      <w:r>
        <w:t>; Einsicht am 12.06.2012.</w:t>
      </w:r>
    </w:p>
  </w:footnote>
  <w:footnote w:id="82">
    <w:p w:rsidR="005A5F2B" w:rsidRDefault="005A5F2B">
      <w:pPr>
        <w:pStyle w:val="Funotentext"/>
      </w:pPr>
      <w:r>
        <w:rPr>
          <w:rStyle w:val="Funotenzeichen"/>
        </w:rPr>
        <w:footnoteRef/>
      </w:r>
      <w:r>
        <w:t xml:space="preserve"> </w:t>
      </w:r>
      <w:r>
        <w:tab/>
        <w:t>siehe letzte Fußnote</w:t>
      </w:r>
    </w:p>
  </w:footnote>
  <w:footnote w:id="83">
    <w:p w:rsidR="005A5F2B" w:rsidRDefault="005A5F2B" w:rsidP="00CF6655">
      <w:pPr>
        <w:pStyle w:val="Funotentext"/>
      </w:pPr>
      <w:r>
        <w:rPr>
          <w:rStyle w:val="Funotenzeichen"/>
        </w:rPr>
        <w:footnoteRef/>
      </w:r>
      <w:r>
        <w:tab/>
        <w:t>Gemeint sind „Stücke Tuch, die sie vorne oder hinten wie einen Vorhang tragen“ (1140).</w:t>
      </w:r>
    </w:p>
  </w:footnote>
  <w:footnote w:id="84">
    <w:p w:rsidR="005A5F2B" w:rsidRDefault="005A5F2B" w:rsidP="00CF6655">
      <w:pPr>
        <w:pStyle w:val="Funotentext"/>
      </w:pPr>
      <w:r>
        <w:rPr>
          <w:rStyle w:val="Funotenzeichen"/>
        </w:rPr>
        <w:footnoteRef/>
      </w:r>
      <w:r>
        <w:t xml:space="preserve"> </w:t>
      </w:r>
      <w:r>
        <w:tab/>
        <w:t>Man vergleiche die Einschätzung der arbeitenden Marta im Vergleich mit der untätigen Maria (Luk 10, 38-42) sowie die Bewertung des Teilens, das von Jesus nicht als Gnade</w:t>
      </w:r>
      <w:r>
        <w:t>n</w:t>
      </w:r>
      <w:r>
        <w:t>akt, sondern als Verpflichtung verstanden wird.</w:t>
      </w:r>
    </w:p>
  </w:footnote>
  <w:footnote w:id="85">
    <w:p w:rsidR="005A5F2B" w:rsidRDefault="005A5F2B" w:rsidP="00CF6655">
      <w:pPr>
        <w:pStyle w:val="Funotentext"/>
      </w:pPr>
      <w:r>
        <w:rPr>
          <w:rStyle w:val="Funotenzeichen"/>
        </w:rPr>
        <w:footnoteRef/>
      </w:r>
      <w:r>
        <w:tab/>
        <w:t>Wobei sich das von Spiecker verwendete Attribut nur auf die Frage des Landbesitzes und die Teilungsgewohnheiten anwenden lässt; eine egalitäre Organisation des Besitzes oder gar der Machtausübung fand sich dagegen in den Stammesgesellschaften nicht (Gründer 1982: 362).</w:t>
      </w:r>
    </w:p>
  </w:footnote>
  <w:footnote w:id="86">
    <w:p w:rsidR="005A5F2B" w:rsidRDefault="005A5F2B" w:rsidP="00CF6655">
      <w:pPr>
        <w:pStyle w:val="Funotentext"/>
      </w:pPr>
      <w:r>
        <w:rPr>
          <w:rStyle w:val="Funotenzeichen"/>
        </w:rPr>
        <w:footnoteRef/>
      </w:r>
      <w:r>
        <w:tab/>
        <w:t>Es handelt sich um dieselbe Ideologie, die heute die Arbeitslosen durch vielerlei Ma</w:t>
      </w:r>
      <w:r>
        <w:t>ß</w:t>
      </w:r>
      <w:r>
        <w:t>nahmen bestraft, obwohl nachweislich nicht genug Arbeit vorhanden ist. Auch das stä</w:t>
      </w:r>
      <w:r>
        <w:t>n</w:t>
      </w:r>
      <w:r>
        <w:t>dige Reden von „Sozialmissbrauch“ und Menschen, die „gar nicht arbeiten wollen“ – so absurd es ist einer Gesellschaft ist, in der Arbeit zur Mangelware geworden ist – erklärt sich daraus: Wenn die Pflicht zur Arbeit eine heilige ist, verletzt der Arbeitslose sie, selbst wenn er gar keine Möglichkeit zur Arbeit hat. Nicht die Unternehmen, die seit Jahrzeh</w:t>
      </w:r>
      <w:r>
        <w:t>n</w:t>
      </w:r>
      <w:r>
        <w:t>ten Arbeitsplätze wegrationalisieren, oder gar das Wirtschaftssystem als Ganzes ist für die Arbeitslosigkeit verantwortlich, sondern der Arbeitslose selbst; denn er offenbart den inhärenten Widerspruch einer Ideologie, die von jedem Arbeit verlangt, aber nicht genug anzubieten hat. Er muss daher zum Außenseiter stilisiert werden; kein Schicksal darf als schlimmer gelten als das des Arbeitslosen. Er ist ein „Schmarotzer“ – wie die beiden „Cape boys“ in Johannes Spieckers kleiner Reisegesellschaft.</w:t>
      </w:r>
    </w:p>
  </w:footnote>
  <w:footnote w:id="87">
    <w:p w:rsidR="005A5F2B" w:rsidRDefault="005A5F2B" w:rsidP="00CF6655">
      <w:pPr>
        <w:pStyle w:val="Funotentext"/>
      </w:pPr>
      <w:r>
        <w:rPr>
          <w:rStyle w:val="Funotenzeichen"/>
        </w:rPr>
        <w:footnoteRef/>
      </w:r>
      <w:r>
        <w:tab/>
        <w:t>Auch Johannes Spiecker erwähnt immer wieder die „Erziehung zur Arbeit“, die man von der Mission erwarte (z.B. 815, 822). Einerseits steht er dieser Haltung kritisch gegenüber, wie dieser Kommentar anlässlich eines Besuchs bei Dr. Rohrbach</w:t>
      </w:r>
      <w:r w:rsidR="00363C1C">
        <w:fldChar w:fldCharType="begin"/>
      </w:r>
      <w:r>
        <w:instrText xml:space="preserve"> XE "</w:instrText>
      </w:r>
      <w:r w:rsidRPr="00041500">
        <w:instrText>Rohrbach, Dr.</w:instrText>
      </w:r>
      <w:r>
        <w:instrText xml:space="preserve">" </w:instrText>
      </w:r>
      <w:r w:rsidR="00363C1C">
        <w:fldChar w:fldCharType="end"/>
      </w:r>
      <w:r>
        <w:t xml:space="preserve"> in Windhuk</w:t>
      </w:r>
      <w:r w:rsidR="00363C1C">
        <w:fldChar w:fldCharType="begin"/>
      </w:r>
      <w:r>
        <w:instrText xml:space="preserve"> XE "</w:instrText>
      </w:r>
      <w:r w:rsidRPr="001870D2">
        <w:instrText>Windhuk</w:instrText>
      </w:r>
      <w:r>
        <w:instrText xml:space="preserve">" </w:instrText>
      </w:r>
      <w:r w:rsidR="00363C1C">
        <w:fldChar w:fldCharType="end"/>
      </w:r>
      <w:r>
        <w:t xml:space="preserve"> zeigt: „Sehr gute Ansichten entwickelte er über die Behandlung der Eingeborenen. Er hält es für unmöglich aus bisherigen Nomadenvölkern</w:t>
      </w:r>
      <w:r w:rsidR="00363C1C">
        <w:fldChar w:fldCharType="begin"/>
      </w:r>
      <w:r>
        <w:instrText xml:space="preserve"> XE "</w:instrText>
      </w:r>
      <w:r w:rsidRPr="00B4446E">
        <w:instrText>Nomaden</w:instrText>
      </w:r>
      <w:r>
        <w:instrText xml:space="preserve">" </w:instrText>
      </w:r>
      <w:r w:rsidR="00363C1C">
        <w:fldChar w:fldCharType="end"/>
      </w:r>
      <w:r>
        <w:t xml:space="preserve"> ohne Übergang arbeitende Völker zu m</w:t>
      </w:r>
      <w:r>
        <w:t>a</w:t>
      </w:r>
      <w:r>
        <w:t>chen. Die Regierung wird aber darin schwerlich nachgeben. Die Eingeborenen sind zur Arbeit da und müssen schon deshalb arbeiten, damit sie ihr Unrecht wieder gut machen. So sagte mir noch heute Morgen Major Märker</w:t>
      </w:r>
      <w:r w:rsidR="00363C1C">
        <w:fldChar w:fldCharType="begin"/>
      </w:r>
      <w:r>
        <w:instrText xml:space="preserve"> XE "</w:instrText>
      </w:r>
      <w:r w:rsidRPr="007605EC">
        <w:instrText>Märker, Major (Windhuk)</w:instrText>
      </w:r>
      <w:r>
        <w:instrText xml:space="preserve">" </w:instrText>
      </w:r>
      <w:r w:rsidR="00363C1C">
        <w:fldChar w:fldCharType="end"/>
      </w:r>
      <w:r>
        <w:t>“ (820). Andererseits predigt er selbst di</w:t>
      </w:r>
      <w:r>
        <w:t>e</w:t>
      </w:r>
      <w:r>
        <w:t>se ‚Tugend‘, so hier in Otjihaënena</w:t>
      </w:r>
      <w:r w:rsidR="00363C1C">
        <w:fldChar w:fldCharType="begin"/>
      </w:r>
      <w:r>
        <w:instrText xml:space="preserve"> XE "</w:instrText>
      </w:r>
      <w:r w:rsidRPr="007C2688">
        <w:instrText>Otjihaënena</w:instrText>
      </w:r>
      <w:r>
        <w:instrText xml:space="preserve">" </w:instrText>
      </w:r>
      <w:r w:rsidR="00363C1C">
        <w:fldChar w:fldCharType="end"/>
      </w:r>
      <w:r>
        <w:t>: „Dann mahnte ich sie fleißig zu arbeiten und suchte ihnen den Segen der Arbeit klar zu machen und forderte sie zum Schluß auf rechte Jesu</w:t>
      </w:r>
      <w:r>
        <w:t>s</w:t>
      </w:r>
      <w:r>
        <w:t>leute zu werden“ (916). Diese Jesusauffassung scheint einen Apostel der Arbeit in Jesus zu sehen, der tatsächlich seine Jünger von ihrer arbeitenden Lebensweise und (auch dies wird von heutigen Vertretern eines irrtümlich christlich genannten Weltbildes fast immer übersehen) von ihren Familien weglockte. Nach mittelalterlichen Kriterien war Jesus ein Bettelmönch; nach heutigen ein Obdachloser.</w:t>
      </w:r>
    </w:p>
  </w:footnote>
  <w:footnote w:id="88">
    <w:p w:rsidR="005A5F2B" w:rsidRDefault="005A5F2B" w:rsidP="00CF6655">
      <w:pPr>
        <w:pStyle w:val="Funotentext"/>
      </w:pPr>
      <w:r>
        <w:rPr>
          <w:rStyle w:val="Funotenzeichen"/>
        </w:rPr>
        <w:footnoteRef/>
      </w:r>
      <w:r>
        <w:tab/>
        <w:t>„Mir kommt doch immer wieder der Gedanke, daß eine harte Schule für diese Leute nötig ist, damit sie andere Menschen werden.“ (1025) Spiecker übersieht, dass harte Arbeit nur dann den Charakter stärkt, wenn man sie freiwillig tut und etwas dafür bekommt (z.B. Anerkennung, eine soziale Position, die Freude eine selbstgewählte Aufgabe gelöst zu haben). Dann kann sie Menschen positiv verändern, indem sie ihnen ihre eigenen Fähi</w:t>
      </w:r>
      <w:r>
        <w:t>g</w:t>
      </w:r>
      <w:r>
        <w:t>keiten zeigt und sie durch Selbstüberwindung stärker werden lässt. Zwangsarbeit</w:t>
      </w:r>
      <w:r w:rsidR="00363C1C">
        <w:fldChar w:fldCharType="begin"/>
      </w:r>
      <w:r>
        <w:instrText xml:space="preserve"> XE "</w:instrText>
      </w:r>
      <w:r w:rsidRPr="008D7EB1">
        <w:instrText>Zwangsarbeit</w:instrText>
      </w:r>
      <w:r>
        <w:instrText xml:space="preserve">" </w:instrText>
      </w:r>
      <w:r w:rsidR="00363C1C">
        <w:fldChar w:fldCharType="end"/>
      </w:r>
      <w:r>
        <w:t>, wie sie den gefangenen Herero</w:t>
      </w:r>
      <w:r w:rsidR="00363C1C">
        <w:fldChar w:fldCharType="begin"/>
      </w:r>
      <w:r>
        <w:instrText xml:space="preserve"> XE "</w:instrText>
      </w:r>
      <w:r w:rsidRPr="00D91537">
        <w:instrText>Herero</w:instrText>
      </w:r>
      <w:r>
        <w:instrText xml:space="preserve">" </w:instrText>
      </w:r>
      <w:r w:rsidR="00363C1C">
        <w:fldChar w:fldCharType="end"/>
      </w:r>
      <w:r>
        <w:t xml:space="preserve"> aufgebürdet wird, hat noch nie einen solchen positiven Effekt gehabt. Da sie mit einer intensiven Demütigung einhergeht, prägt sie den Menschen A</w:t>
      </w:r>
      <w:r>
        <w:t>r</w:t>
      </w:r>
      <w:r>
        <w:t>beit als etwas Negatives ein. Ähnlich übrigens die miserabel bezahlte Arbeit beim Eise</w:t>
      </w:r>
      <w:r>
        <w:t>n</w:t>
      </w:r>
      <w:r>
        <w:t>bahnbau</w:t>
      </w:r>
      <w:r w:rsidR="00363C1C">
        <w:fldChar w:fldCharType="begin"/>
      </w:r>
      <w:r>
        <w:instrText xml:space="preserve"> XE "</w:instrText>
      </w:r>
      <w:r w:rsidRPr="0036291F">
        <w:instrText>Eisenbahnbau</w:instrText>
      </w:r>
      <w:r>
        <w:instrText xml:space="preserve">" </w:instrText>
      </w:r>
      <w:r w:rsidR="00363C1C">
        <w:fldChar w:fldCharType="end"/>
      </w:r>
      <w:r>
        <w:t>, die Spiecker so positiv einschätzt (952). Sie demonstriert den Leuten plausibel, dass sich Arbeit nicht lohnt und es wohl andere Gründe für den Reichtum der Weißen geben muss.</w:t>
      </w:r>
    </w:p>
  </w:footnote>
  <w:footnote w:id="89">
    <w:p w:rsidR="005A5F2B" w:rsidRDefault="005A5F2B" w:rsidP="00CF6655">
      <w:pPr>
        <w:pStyle w:val="Funotentext"/>
      </w:pPr>
      <w:r>
        <w:rPr>
          <w:rStyle w:val="Funotenzeichen"/>
        </w:rPr>
        <w:footnoteRef/>
      </w:r>
      <w:r>
        <w:t xml:space="preserve"> </w:t>
      </w:r>
      <w:r>
        <w:tab/>
        <w:t>Loth 1988: 21f.</w:t>
      </w:r>
    </w:p>
  </w:footnote>
  <w:footnote w:id="90">
    <w:p w:rsidR="005A5F2B" w:rsidRPr="00754E9C" w:rsidRDefault="005A5F2B" w:rsidP="00CF6655">
      <w:pPr>
        <w:pStyle w:val="Funotentext"/>
        <w:rPr>
          <w:lang w:val="en-US"/>
        </w:rPr>
      </w:pPr>
      <w:r>
        <w:rPr>
          <w:rStyle w:val="Funotenzeichen"/>
        </w:rPr>
        <w:footnoteRef/>
      </w:r>
      <w:r>
        <w:t xml:space="preserve"> </w:t>
      </w:r>
      <w:r>
        <w:tab/>
        <w:t xml:space="preserve">Vgl. das Kap. </w:t>
      </w:r>
      <w:r w:rsidRPr="00754E9C">
        <w:rPr>
          <w:lang w:val="en-US"/>
        </w:rPr>
        <w:t>„Alexander von Humboldt and the reinvention of América“ in: Pratt 1992, 111-143.</w:t>
      </w:r>
    </w:p>
  </w:footnote>
  <w:footnote w:id="91">
    <w:p w:rsidR="005A5F2B" w:rsidRDefault="005A5F2B" w:rsidP="00CF6655">
      <w:pPr>
        <w:pStyle w:val="Funotentext"/>
      </w:pPr>
      <w:r>
        <w:rPr>
          <w:rStyle w:val="Funotenzeichen"/>
        </w:rPr>
        <w:footnoteRef/>
      </w:r>
      <w:r>
        <w:t xml:space="preserve"> </w:t>
      </w:r>
      <w:r>
        <w:tab/>
        <w:t>In diesem Widerspruch scheint der Zusammenhang zwischen weltweitem Kapitalismu</w:t>
      </w:r>
      <w:r>
        <w:t>s</w:t>
      </w:r>
      <w:r>
        <w:t>export und ökologischem Kollaps, der die Globalisierung der letzten Jahrzehnte prägte, bereits vorgezeichnet zu sein.</w:t>
      </w:r>
    </w:p>
  </w:footnote>
  <w:footnote w:id="92">
    <w:p w:rsidR="005A5F2B" w:rsidRDefault="005A5F2B" w:rsidP="007179BA">
      <w:pPr>
        <w:pStyle w:val="Funotentext"/>
      </w:pPr>
      <w:r>
        <w:rPr>
          <w:rStyle w:val="Funotenzeichen"/>
        </w:rPr>
        <w:footnoteRef/>
      </w:r>
      <w:r>
        <w:t xml:space="preserve"> </w:t>
      </w:r>
      <w:r>
        <w:tab/>
      </w:r>
      <w:r w:rsidRPr="00632C92">
        <w:t>http://de.wikipedia.org/wiki/Marula-Baum</w:t>
      </w:r>
      <w:r w:rsidR="00363C1C">
        <w:fldChar w:fldCharType="begin"/>
      </w:r>
      <w:r>
        <w:instrText xml:space="preserve"> XE "</w:instrText>
      </w:r>
      <w:r w:rsidRPr="00AE5939">
        <w:instrText>Marula-Baum</w:instrText>
      </w:r>
      <w:r>
        <w:instrText xml:space="preserve">" </w:instrText>
      </w:r>
      <w:r w:rsidR="00363C1C">
        <w:fldChar w:fldCharType="end"/>
      </w:r>
      <w:r>
        <w:t>; Einsicht am 20.05.2012.</w:t>
      </w:r>
    </w:p>
  </w:footnote>
  <w:footnote w:id="93">
    <w:p w:rsidR="005A5F2B" w:rsidRDefault="005A5F2B">
      <w:pPr>
        <w:pStyle w:val="Funotentext"/>
      </w:pPr>
      <w:r>
        <w:rPr>
          <w:rStyle w:val="Funotenzeichen"/>
        </w:rPr>
        <w:footnoteRef/>
      </w:r>
      <w:r>
        <w:t xml:space="preserve"> </w:t>
      </w:r>
      <w:r>
        <w:tab/>
      </w:r>
      <w:r w:rsidRPr="006E6C58">
        <w:t>http://de.wikipedia.org/wiki/Amarula</w:t>
      </w:r>
      <w:r>
        <w:t>; Einsicht am 20.05.2012.</w:t>
      </w:r>
    </w:p>
  </w:footnote>
  <w:footnote w:id="94">
    <w:p w:rsidR="005A5F2B" w:rsidRDefault="005A5F2B" w:rsidP="00CF6655">
      <w:pPr>
        <w:pStyle w:val="Funotentext"/>
      </w:pPr>
      <w:r>
        <w:rPr>
          <w:rStyle w:val="Funotenzeichen"/>
        </w:rPr>
        <w:footnoteRef/>
      </w:r>
      <w:r>
        <w:tab/>
        <w:t>Diese auch „Rivier</w:t>
      </w:r>
      <w:r w:rsidR="00363C1C">
        <w:fldChar w:fldCharType="begin"/>
      </w:r>
      <w:r>
        <w:instrText xml:space="preserve"> XE "</w:instrText>
      </w:r>
      <w:r w:rsidRPr="00632BC9">
        <w:instrText>Rivier</w:instrText>
      </w:r>
      <w:r>
        <w:instrText xml:space="preserve">" </w:instrText>
      </w:r>
      <w:r w:rsidR="00363C1C">
        <w:fldChar w:fldCharType="end"/>
      </w:r>
      <w:r>
        <w:t>“ genannten, außerhalb der Regenzeit</w:t>
      </w:r>
      <w:r w:rsidR="00363C1C">
        <w:fldChar w:fldCharType="begin"/>
      </w:r>
      <w:r>
        <w:instrText xml:space="preserve"> XE "</w:instrText>
      </w:r>
      <w:r w:rsidRPr="00C537E8">
        <w:instrText>Regenzeit</w:instrText>
      </w:r>
      <w:r>
        <w:instrText xml:space="preserve">" </w:instrText>
      </w:r>
      <w:r w:rsidR="00363C1C">
        <w:fldChar w:fldCharType="end"/>
      </w:r>
      <w:r>
        <w:t xml:space="preserve"> trockenen Flussläufe sind ein charakteristisches Element der Landschaft (vgl. auch Abschnitt </w:t>
      </w:r>
      <w:r w:rsidR="00363C1C">
        <w:fldChar w:fldCharType="begin"/>
      </w:r>
      <w:r>
        <w:instrText xml:space="preserve"> REF _Ref327290794 \r \h </w:instrText>
      </w:r>
      <w:r w:rsidR="00363C1C">
        <w:fldChar w:fldCharType="separate"/>
      </w:r>
      <w:r w:rsidR="00216538">
        <w:t>2.2.4.1</w:t>
      </w:r>
      <w:r w:rsidR="00363C1C">
        <w:fldChar w:fldCharType="end"/>
      </w:r>
      <w:r>
        <w:t>). Für Landesu</w:t>
      </w:r>
      <w:r>
        <w:t>n</w:t>
      </w:r>
      <w:r>
        <w:t>kundige bergen sie Tücken: Spiecker erfährt, dass Br. Wulfhorst</w:t>
      </w:r>
      <w:r w:rsidR="00363C1C">
        <w:fldChar w:fldCharType="begin"/>
      </w:r>
      <w:r>
        <w:instrText xml:space="preserve"> XE "</w:instrText>
      </w:r>
      <w:r w:rsidRPr="001C031A">
        <w:instrText>Wulfhorst, Geschw.</w:instrText>
      </w:r>
      <w:r>
        <w:instrText xml:space="preserve">" </w:instrText>
      </w:r>
      <w:r w:rsidR="00363C1C">
        <w:fldChar w:fldCharType="end"/>
      </w:r>
      <w:r>
        <w:t xml:space="preserve"> und Meisenholl</w:t>
      </w:r>
      <w:r w:rsidR="00363C1C">
        <w:fldChar w:fldCharType="begin"/>
      </w:r>
      <w:r>
        <w:instrText xml:space="preserve"> XE "</w:instrText>
      </w:r>
      <w:r w:rsidRPr="009F60CD">
        <w:instrText>Meisenholl, Geschw.</w:instrText>
      </w:r>
      <w:r>
        <w:instrText xml:space="preserve">" </w:instrText>
      </w:r>
      <w:r w:rsidR="00363C1C">
        <w:fldChar w:fldCharType="end"/>
      </w:r>
      <w:r>
        <w:t xml:space="preserve"> bei ihrer Ankunft in Ondjiva</w:t>
      </w:r>
      <w:r w:rsidR="00363C1C">
        <w:fldChar w:fldCharType="begin"/>
      </w:r>
      <w:r>
        <w:instrText xml:space="preserve"> XE "</w:instrText>
      </w:r>
      <w:r w:rsidRPr="00754908">
        <w:rPr>
          <w:lang w:val="it-IT"/>
        </w:rPr>
        <w:instrText>Ondjiva</w:instrText>
      </w:r>
      <w:r>
        <w:instrText xml:space="preserve">" </w:instrText>
      </w:r>
      <w:r w:rsidR="00363C1C">
        <w:fldChar w:fldCharType="end"/>
      </w:r>
      <w:r>
        <w:t xml:space="preserve"> im Jahr 1891 die Station in eines dieser trockenen Flußbetten bauen wollten, aber von Häuptling Uyulu</w:t>
      </w:r>
      <w:r w:rsidR="00363C1C">
        <w:fldChar w:fldCharType="begin"/>
      </w:r>
      <w:r>
        <w:instrText xml:space="preserve"> XE "</w:instrText>
      </w:r>
      <w:r w:rsidRPr="00A6233E">
        <w:instrText>Uyulu</w:instrText>
      </w:r>
      <w:r>
        <w:instrText xml:space="preserve">, Häuptling" </w:instrText>
      </w:r>
      <w:r w:rsidR="00363C1C">
        <w:fldChar w:fldCharType="end"/>
      </w:r>
      <w:r>
        <w:t xml:space="preserve"> daran gehindert wurden. (1126)</w:t>
      </w:r>
    </w:p>
  </w:footnote>
  <w:footnote w:id="95">
    <w:p w:rsidR="005A5F2B" w:rsidRDefault="005A5F2B">
      <w:pPr>
        <w:pStyle w:val="Funotentext"/>
      </w:pPr>
      <w:r>
        <w:rPr>
          <w:rStyle w:val="Funotenzeichen"/>
        </w:rPr>
        <w:footnoteRef/>
      </w:r>
      <w:r>
        <w:t xml:space="preserve"> </w:t>
      </w:r>
      <w:r>
        <w:tab/>
      </w:r>
      <w:r w:rsidRPr="00C61633">
        <w:t>http://de.wikipedia.org/wiki/Maulbeer-Feige</w:t>
      </w:r>
      <w:r>
        <w:t xml:space="preserve">; Einsicht am 20.05.2012. </w:t>
      </w:r>
    </w:p>
  </w:footnote>
  <w:footnote w:id="96">
    <w:p w:rsidR="005A5F2B" w:rsidRDefault="005A5F2B" w:rsidP="00CF6655">
      <w:pPr>
        <w:pStyle w:val="Funotentext"/>
      </w:pPr>
      <w:r>
        <w:rPr>
          <w:rStyle w:val="Funotenzeichen"/>
        </w:rPr>
        <w:footnoteRef/>
      </w:r>
      <w:r>
        <w:tab/>
        <w:t>Ondjiva</w:t>
      </w:r>
      <w:r w:rsidR="00363C1C">
        <w:fldChar w:fldCharType="begin"/>
      </w:r>
      <w:r>
        <w:instrText xml:space="preserve"> XE "</w:instrText>
      </w:r>
      <w:r w:rsidRPr="00754908">
        <w:rPr>
          <w:lang w:val="it-IT"/>
        </w:rPr>
        <w:instrText>Ondjiva</w:instrText>
      </w:r>
      <w:r>
        <w:instrText xml:space="preserve">" </w:instrText>
      </w:r>
      <w:r w:rsidR="00363C1C">
        <w:fldChar w:fldCharType="end"/>
      </w:r>
      <w:r>
        <w:t xml:space="preserve"> und Omupanda</w:t>
      </w:r>
      <w:r w:rsidR="00363C1C">
        <w:fldChar w:fldCharType="begin"/>
      </w:r>
      <w:r>
        <w:instrText xml:space="preserve"> XE "</w:instrText>
      </w:r>
      <w:r w:rsidRPr="00FA4932">
        <w:instrText>Omupanda</w:instrText>
      </w:r>
      <w:r>
        <w:instrText xml:space="preserve">" </w:instrText>
      </w:r>
      <w:r w:rsidR="00363C1C">
        <w:fldChar w:fldCharType="end"/>
      </w:r>
      <w:r>
        <w:t xml:space="preserve"> liegen schon in Angola, wie die detaillierte Karte von 1909 zeigt (s. Anhang).</w:t>
      </w:r>
    </w:p>
  </w:footnote>
  <w:footnote w:id="97">
    <w:p w:rsidR="005A5F2B" w:rsidRDefault="005A5F2B" w:rsidP="00CF6655">
      <w:pPr>
        <w:pStyle w:val="Funotentext"/>
      </w:pPr>
      <w:r>
        <w:rPr>
          <w:rStyle w:val="Funotenzeichen"/>
        </w:rPr>
        <w:footnoteRef/>
      </w:r>
      <w:r>
        <w:t xml:space="preserve"> </w:t>
      </w:r>
      <w:r>
        <w:tab/>
        <w:t>Die „Bastards</w:t>
      </w:r>
      <w:r w:rsidR="00363C1C">
        <w:fldChar w:fldCharType="begin"/>
      </w:r>
      <w:r>
        <w:instrText xml:space="preserve"> XE "</w:instrText>
      </w:r>
      <w:r w:rsidRPr="006B6C63">
        <w:instrText>Bastards</w:instrText>
      </w:r>
      <w:r>
        <w:instrText xml:space="preserve">" </w:instrText>
      </w:r>
      <w:r w:rsidR="00363C1C">
        <w:fldChar w:fldCharType="end"/>
      </w:r>
      <w:r>
        <w:t>“ werden häufig auch „Baster“ (dän: Bastard, Mischling) oder „Basters“ g</w:t>
      </w:r>
      <w:r>
        <w:t>e</w:t>
      </w:r>
      <w:r>
        <w:t>nannt; laut Gerti Wöhe ist die Anwendung nicht abwertend, da sie diesen Namen im Verweis auf ihre Geschichte selbst gegeben hätten und stolz darauf seien (Wöhe 1982: 55). Zugleich nennen sie sich in ihrer Muttersprache Afrikaans „burgers“ (‚Bürger‘). „E</w:t>
      </w:r>
      <w:r>
        <w:t>i</w:t>
      </w:r>
      <w:r>
        <w:t>ne andere übliche Bezeichnung ist ‚die Rehobother‘“; dort leben sie seit 1871. „Ihre He</w:t>
      </w:r>
      <w:r>
        <w:t>r</w:t>
      </w:r>
      <w:r>
        <w:t>kunft leiten sie von 37 Stammvätern her, alles Weiße, die in der Kapkolonie im 18. Jah</w:t>
      </w:r>
      <w:r>
        <w:t>r</w:t>
      </w:r>
      <w:r>
        <w:t>hundert Ehen mit Hottentottenfrauen eingegangen waren.“ (ebd.)</w:t>
      </w:r>
    </w:p>
  </w:footnote>
  <w:footnote w:id="98">
    <w:p w:rsidR="005A5F2B" w:rsidRDefault="005A5F2B" w:rsidP="00CF6655">
      <w:pPr>
        <w:pStyle w:val="Funotentext"/>
      </w:pPr>
      <w:r>
        <w:rPr>
          <w:rStyle w:val="Funotenzeichen"/>
        </w:rPr>
        <w:footnoteRef/>
      </w:r>
      <w:r>
        <w:tab/>
        <w:t>Spiecker muss dann nach dem Abschlussgottesdienst am 23. Sept., der ihm übertragen wurde, noch drei Ansprachen halten: in geselliger Runde bei den Siedlerfamilien Haelbich und Redecker</w:t>
      </w:r>
      <w:r w:rsidR="00363C1C">
        <w:fldChar w:fldCharType="begin"/>
      </w:r>
      <w:r>
        <w:instrText xml:space="preserve"> XE "</w:instrText>
      </w:r>
      <w:r w:rsidRPr="005407F8">
        <w:instrText>Redecker, Familie</w:instrText>
      </w:r>
      <w:r>
        <w:instrText xml:space="preserve">" </w:instrText>
      </w:r>
      <w:r w:rsidR="00363C1C">
        <w:fldChar w:fldCharType="end"/>
      </w:r>
      <w:r>
        <w:t xml:space="preserve"> und schließlich für die Bergdamragemeinde, die ihn, wie überall im Land die Eingeborenengemeinden, mit Liedern verabschiedet. (1422ff) Unnötig zu sagen, dass auch diese Ansprachen religiöse Thematik haben.</w:t>
      </w:r>
    </w:p>
  </w:footnote>
  <w:footnote w:id="99">
    <w:p w:rsidR="005A5F2B" w:rsidRDefault="005A5F2B" w:rsidP="00CF6655">
      <w:pPr>
        <w:pStyle w:val="Funotentext"/>
      </w:pPr>
      <w:r>
        <w:rPr>
          <w:rStyle w:val="Funotenzeichen"/>
        </w:rPr>
        <w:footnoteRef/>
      </w:r>
      <w:r>
        <w:t xml:space="preserve"> </w:t>
      </w:r>
      <w:r>
        <w:tab/>
        <w:t>Wangemann</w:t>
      </w:r>
      <w:r w:rsidR="00363C1C">
        <w:fldChar w:fldCharType="begin"/>
      </w:r>
      <w:r>
        <w:instrText xml:space="preserve"> XE "</w:instrText>
      </w:r>
      <w:r w:rsidRPr="00503667">
        <w:instrText>Wangemann, Theodor Hermann</w:instrText>
      </w:r>
      <w:r>
        <w:instrText xml:space="preserve">" </w:instrText>
      </w:r>
      <w:r w:rsidR="00363C1C">
        <w:fldChar w:fldCharType="end"/>
      </w:r>
      <w:r>
        <w:t xml:space="preserve"> 1868.</w:t>
      </w:r>
    </w:p>
  </w:footnote>
  <w:footnote w:id="100">
    <w:p w:rsidR="005A5F2B" w:rsidRDefault="005A5F2B" w:rsidP="00CF6655">
      <w:pPr>
        <w:pStyle w:val="Funotentext"/>
      </w:pPr>
      <w:r>
        <w:rPr>
          <w:rStyle w:val="Funotenzeichen"/>
        </w:rPr>
        <w:footnoteRef/>
      </w:r>
      <w:r>
        <w:t xml:space="preserve"> </w:t>
      </w:r>
      <w:r>
        <w:tab/>
        <w:t>Wangemann</w:t>
      </w:r>
      <w:r w:rsidR="00363C1C">
        <w:fldChar w:fldCharType="begin"/>
      </w:r>
      <w:r>
        <w:instrText xml:space="preserve"> XE "</w:instrText>
      </w:r>
      <w:r w:rsidRPr="00503667">
        <w:instrText>Wangemann, Theodor Hermann</w:instrText>
      </w:r>
      <w:r>
        <w:instrText xml:space="preserve">" </w:instrText>
      </w:r>
      <w:r w:rsidR="00363C1C">
        <w:fldChar w:fldCharType="end"/>
      </w:r>
      <w:r>
        <w:t xml:space="preserve"> 1868: 146.</w:t>
      </w:r>
    </w:p>
  </w:footnote>
  <w:footnote w:id="101">
    <w:p w:rsidR="005A5F2B" w:rsidRDefault="005A5F2B" w:rsidP="00CF6655">
      <w:pPr>
        <w:pStyle w:val="Funotentext"/>
      </w:pPr>
      <w:r>
        <w:rPr>
          <w:rStyle w:val="Funotenzeichen"/>
        </w:rPr>
        <w:footnoteRef/>
      </w:r>
      <w:r>
        <w:t xml:space="preserve"> </w:t>
      </w:r>
      <w:r>
        <w:tab/>
        <w:t>Hemme 2000: 120.</w:t>
      </w:r>
    </w:p>
  </w:footnote>
  <w:footnote w:id="102">
    <w:p w:rsidR="005A5F2B" w:rsidRDefault="005A5F2B" w:rsidP="00CF6655">
      <w:pPr>
        <w:pStyle w:val="Funotentext"/>
      </w:pPr>
      <w:r>
        <w:rPr>
          <w:rStyle w:val="Funotenzeichen"/>
        </w:rPr>
        <w:footnoteRef/>
      </w:r>
      <w:r>
        <w:t xml:space="preserve"> </w:t>
      </w:r>
      <w:r>
        <w:tab/>
        <w:t>Engel 1976: 184.</w:t>
      </w:r>
    </w:p>
  </w:footnote>
  <w:footnote w:id="103">
    <w:p w:rsidR="005A5F2B" w:rsidRDefault="005A5F2B" w:rsidP="00CF6655">
      <w:pPr>
        <w:pStyle w:val="Funotentext"/>
      </w:pPr>
      <w:r>
        <w:rPr>
          <w:rStyle w:val="Funotenzeichen"/>
        </w:rPr>
        <w:footnoteRef/>
      </w:r>
      <w:r>
        <w:tab/>
        <w:t>Über die Beratungen der Konferenz in Otjimbingue</w:t>
      </w:r>
      <w:r w:rsidR="00363C1C">
        <w:fldChar w:fldCharType="begin"/>
      </w:r>
      <w:r>
        <w:instrText xml:space="preserve"> XE "</w:instrText>
      </w:r>
      <w:r w:rsidRPr="00374FA4">
        <w:instrText>Otjimbingue</w:instrText>
      </w:r>
      <w:r>
        <w:instrText xml:space="preserve">" </w:instrText>
      </w:r>
      <w:r w:rsidR="00363C1C">
        <w:fldChar w:fldCharType="end"/>
      </w:r>
      <w:r>
        <w:t xml:space="preserve"> schreibt Spiecker am 24.9.1906: „Kommen die Rehobother später in Not, so sind wir moralisch verpflichtet, sie möglichst auf der Farm wohnen zu lassen. Aus diesem Gesichtspunkt heraus geschah die Sche</w:t>
      </w:r>
      <w:r>
        <w:t>n</w:t>
      </w:r>
      <w:r>
        <w:t xml:space="preserve">kung, doch ist in der Urkunde gesagt: </w:t>
      </w:r>
      <w:r w:rsidR="00AE1224">
        <w:t>„</w:t>
      </w:r>
      <w:r>
        <w:t>aus Dankbarkeit für die Dienste der Rhein. Miss</w:t>
      </w:r>
      <w:r>
        <w:t>i</w:t>
      </w:r>
      <w:r>
        <w:t>on</w:t>
      </w:r>
      <w:r w:rsidR="00AE1224">
        <w:t>“</w:t>
      </w:r>
      <w:r>
        <w:t>. Diese Farmen ersetzen die Reservate und sind für uns viel besser und zweckentspr</w:t>
      </w:r>
      <w:r>
        <w:t>e</w:t>
      </w:r>
      <w:r>
        <w:t>chender.“ (1429) Die Mission hatte sich schon länger für die Einführung von Reservaten stark gemacht. Vor Spieckers Abreise nach Afrika, am 18. September 1905, hatte er z</w:t>
      </w:r>
      <w:r>
        <w:t>u</w:t>
      </w:r>
      <w:r>
        <w:t>sammen mit Missionsdirektor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in einer Besprechung in der Kolonialverwa</w:t>
      </w:r>
      <w:r>
        <w:t>l</w:t>
      </w:r>
      <w:r>
        <w:t>tung des Auswärtigen Amts mit Kolonialdirektor Stuebel</w:t>
      </w:r>
      <w:r w:rsidR="00363C1C">
        <w:fldChar w:fldCharType="begin"/>
      </w:r>
      <w:r>
        <w:instrText xml:space="preserve"> XE "</w:instrText>
      </w:r>
      <w:r w:rsidRPr="002F6E8F">
        <w:instrText>Stuebel, Kolonialdirektor</w:instrText>
      </w:r>
      <w:r>
        <w:instrText xml:space="preserve">" </w:instrText>
      </w:r>
      <w:r w:rsidR="00363C1C">
        <w:fldChar w:fldCharType="end"/>
      </w:r>
      <w:r>
        <w:t xml:space="preserve"> und Gouverneur von Lindequist</w:t>
      </w:r>
      <w:r w:rsidR="00363C1C">
        <w:fldChar w:fldCharType="begin"/>
      </w:r>
      <w:r>
        <w:instrText xml:space="preserve"> XE "</w:instrText>
      </w:r>
      <w:r w:rsidRPr="00F96CA9">
        <w:instrText>Lindequist, Gouverneur von</w:instrText>
      </w:r>
      <w:r>
        <w:instrText xml:space="preserve">" </w:instrText>
      </w:r>
      <w:r w:rsidR="00363C1C">
        <w:fldChar w:fldCharType="end"/>
      </w:r>
      <w:r>
        <w:t xml:space="preserve"> die Reservatsfrage besprochen, wurde jedoch abschlägig beschieden. „Selbst das einzige bestehende Reservat der Mission (Rietmond) sollte durch den Aufstand</w:t>
      </w:r>
      <w:r w:rsidR="00363C1C">
        <w:fldChar w:fldCharType="begin"/>
      </w:r>
      <w:r>
        <w:instrText xml:space="preserve"> XE "</w:instrText>
      </w:r>
      <w:r w:rsidRPr="00AA3184">
        <w:instrText>Aufstand</w:instrText>
      </w:r>
      <w:r>
        <w:instrText xml:space="preserve">" </w:instrText>
      </w:r>
      <w:r w:rsidR="00363C1C">
        <w:fldChar w:fldCharType="end"/>
      </w:r>
      <w:r>
        <w:t xml:space="preserve"> ve</w:t>
      </w:r>
      <w:r>
        <w:t>r</w:t>
      </w:r>
      <w:r>
        <w:t>fallen sein.“ (Gründer 1982: 129.)</w:t>
      </w:r>
    </w:p>
  </w:footnote>
  <w:footnote w:id="104">
    <w:p w:rsidR="005A5F2B" w:rsidRDefault="005A5F2B" w:rsidP="00CF6655">
      <w:pPr>
        <w:pStyle w:val="Funotentext"/>
      </w:pPr>
      <w:r>
        <w:rPr>
          <w:rStyle w:val="Funotenzeichen"/>
        </w:rPr>
        <w:footnoteRef/>
      </w:r>
      <w:r>
        <w:t xml:space="preserve"> </w:t>
      </w:r>
      <w:r>
        <w:tab/>
        <w:t>Stoecker 1991: 121.</w:t>
      </w:r>
    </w:p>
  </w:footnote>
  <w:footnote w:id="105">
    <w:p w:rsidR="005A5F2B" w:rsidRDefault="005A5F2B" w:rsidP="00CF6655">
      <w:pPr>
        <w:pStyle w:val="Funotentext"/>
      </w:pPr>
      <w:r>
        <w:rPr>
          <w:rStyle w:val="Funotenzeichen"/>
        </w:rPr>
        <w:footnoteRef/>
      </w:r>
      <w:r>
        <w:tab/>
        <w:t xml:space="preserve">Zur Problematik der Enteignung und ihrer juristischen Beurteilung vgl. Abschnitt </w:t>
      </w:r>
      <w:r w:rsidR="00363C1C">
        <w:fldChar w:fldCharType="begin"/>
      </w:r>
      <w:r>
        <w:instrText xml:space="preserve"> REF _Ref325357049 \r \h </w:instrText>
      </w:r>
      <w:r w:rsidR="00363C1C">
        <w:fldChar w:fldCharType="separate"/>
      </w:r>
      <w:r w:rsidR="00216538">
        <w:t>3.3.6</w:t>
      </w:r>
      <w:r w:rsidR="00363C1C">
        <w:fldChar w:fldCharType="end"/>
      </w:r>
      <w:r>
        <w:t>.</w:t>
      </w:r>
    </w:p>
  </w:footnote>
  <w:footnote w:id="106">
    <w:p w:rsidR="005A5F2B" w:rsidRDefault="005A5F2B" w:rsidP="00CF6655">
      <w:pPr>
        <w:pStyle w:val="Funotentext"/>
      </w:pPr>
      <w:r>
        <w:rPr>
          <w:rStyle w:val="Funotenzeichen"/>
        </w:rPr>
        <w:footnoteRef/>
      </w:r>
      <w:r>
        <w:t xml:space="preserve"> </w:t>
      </w:r>
      <w:r>
        <w:tab/>
        <w:t>Stoecker 1991: 121.</w:t>
      </w:r>
    </w:p>
  </w:footnote>
  <w:footnote w:id="107">
    <w:p w:rsidR="005A5F2B" w:rsidRDefault="005A5F2B" w:rsidP="00CF6655">
      <w:pPr>
        <w:pStyle w:val="Funotentext"/>
      </w:pPr>
      <w:r>
        <w:rPr>
          <w:rStyle w:val="Funotenzeichen"/>
        </w:rPr>
        <w:footnoteRef/>
      </w:r>
      <w:r>
        <w:tab/>
        <w:t>Dieselbe Haltung, die von der eigenen Glaubensüberzeugung zu abstrahieren in der Lage ist, zeigt sich auch an anderer Stelle angesichts der Bemühungen der englischen Regierung der Kapprovinz</w:t>
      </w:r>
      <w:r w:rsidR="00363C1C">
        <w:fldChar w:fldCharType="begin"/>
      </w:r>
      <w:r>
        <w:instrText xml:space="preserve"> XE "</w:instrText>
      </w:r>
      <w:r w:rsidRPr="008615D3">
        <w:instrText>Kapprovinz</w:instrText>
      </w:r>
      <w:r>
        <w:instrText xml:space="preserve">" </w:instrText>
      </w:r>
      <w:r w:rsidR="00363C1C">
        <w:fldChar w:fldCharType="end"/>
      </w:r>
      <w:r>
        <w:t xml:space="preserve"> einer klaren Funktionstrennung von Kirchengemeinde (mit dem Älte</w:t>
      </w:r>
      <w:r>
        <w:t>s</w:t>
      </w:r>
      <w:r>
        <w:t>tenrat) und weltlicher Gemeinde (mit dem Gemeinderat als Führungsgremium) in den rheinischen Missionsgemeinden, bei denen der Missionar bislang meist Vorsitzender be</w:t>
      </w:r>
      <w:r>
        <w:t>i</w:t>
      </w:r>
      <w:r>
        <w:t>der Räte ist und auch die Finanzverwaltung nicht immer klar getrennt ist: „So mag es von einem höheren Gesichtspunkt aus ganz richtig sein, wenn geistliches und weltliches hier getrennt wird. Wir kommen freilich dadurch in eine sehr mißliche Lage inbetreff des Selbstunterhaltes der hiesigen Gemeinden.“ (1898)</w:t>
      </w:r>
    </w:p>
  </w:footnote>
  <w:footnote w:id="108">
    <w:p w:rsidR="005A5F2B" w:rsidRDefault="005A5F2B" w:rsidP="00CF6655">
      <w:pPr>
        <w:pStyle w:val="Funotentext"/>
      </w:pPr>
      <w:r>
        <w:rPr>
          <w:rStyle w:val="Funotenzeichen"/>
        </w:rPr>
        <w:footnoteRef/>
      </w:r>
      <w:r>
        <w:t xml:space="preserve"> </w:t>
      </w:r>
      <w:r>
        <w:tab/>
        <w:t>Saron</w:t>
      </w:r>
      <w:r w:rsidR="00363C1C">
        <w:fldChar w:fldCharType="begin"/>
      </w:r>
      <w:r>
        <w:instrText xml:space="preserve"> XE "</w:instrText>
      </w:r>
      <w:r w:rsidRPr="000001D1">
        <w:instrText>Saron</w:instrText>
      </w:r>
      <w:r>
        <w:instrText xml:space="preserve">" </w:instrText>
      </w:r>
      <w:r w:rsidR="00363C1C">
        <w:fldChar w:fldCharType="end"/>
      </w:r>
      <w:r>
        <w:t xml:space="preserve"> liegt in der Kapkolonie; ein vergleichbarer Prozess wäre in Südwestafrika zur dam</w:t>
      </w:r>
      <w:r>
        <w:t>a</w:t>
      </w:r>
      <w:r>
        <w:t>ligen Zeit kaum möglich gewesen. In der Kapkolonie, wo die Trennung von Kirche und Staat ernst genommen wurde, war es eher möglich, sich gegen die Machtausübung der Mission zur Wehr zu setzen.</w:t>
      </w:r>
    </w:p>
  </w:footnote>
  <w:footnote w:id="109">
    <w:p w:rsidR="005A5F2B" w:rsidRDefault="005A5F2B" w:rsidP="00CF6655">
      <w:pPr>
        <w:pStyle w:val="Funotentext"/>
      </w:pPr>
      <w:r>
        <w:rPr>
          <w:rStyle w:val="Funotenzeichen"/>
        </w:rPr>
        <w:footnoteRef/>
      </w:r>
      <w:r>
        <w:t xml:space="preserve"> </w:t>
      </w:r>
      <w:r>
        <w:tab/>
        <w:t>Schouten 1676. (Zitiert in englischer Übersetzung nach: Huigen 2004: 7.)</w:t>
      </w:r>
    </w:p>
  </w:footnote>
  <w:footnote w:id="110">
    <w:p w:rsidR="005A5F2B" w:rsidRDefault="005A5F2B" w:rsidP="00CF6655">
      <w:pPr>
        <w:pStyle w:val="Funotentext"/>
      </w:pPr>
      <w:r>
        <w:rPr>
          <w:rStyle w:val="Funotenzeichen"/>
        </w:rPr>
        <w:footnoteRef/>
      </w:r>
      <w:r>
        <w:t xml:space="preserve"> </w:t>
      </w:r>
      <w:r>
        <w:tab/>
        <w:t>Lothar Engel bemerkt dazu: „Nur auf dem Hintergrund dieser Überzeugung, daß […] die Weißen, wie schlecht sie sich auch immer gegenüber den Schwarzen verhielten und wie schwach sie auch immer an ihrem christlichen Erbe festhielten, zu Pädagogen über die nichtweiße Welt bestimmt waren, konnte Mission und Politik im Selbstverständnis der Missionare erst getrennt werden. Die Missionare konnten sich politische Neutralität leisten, gerade weil sie eine eminente politische Vorentscheidung getroffen haben.“ Let</w:t>
      </w:r>
      <w:r>
        <w:t>z</w:t>
      </w:r>
      <w:r>
        <w:t>teres muss auch für Spiecker angenommen werden, trotz seiner nicht neutralen, sondern in vieler Hinsicht ‚eingeborenenfreundliche‘ Haltung; nur aus dieser „Vorentscheidung“ lässt sich erklären, warum er in keinem Moment die Missionsunternehmung als Ganze, oder selbst den Kolonialismus</w:t>
      </w:r>
      <w:r w:rsidR="00363C1C">
        <w:fldChar w:fldCharType="begin"/>
      </w:r>
      <w:r>
        <w:instrText xml:space="preserve"> XE "</w:instrText>
      </w:r>
      <w:r w:rsidRPr="00603729">
        <w:instrText>Kolonialismus</w:instrText>
      </w:r>
      <w:r>
        <w:instrText xml:space="preserve">" </w:instrText>
      </w:r>
      <w:r w:rsidR="00363C1C">
        <w:fldChar w:fldCharType="end"/>
      </w:r>
      <w:r>
        <w:t>, grundsätzlich ablehnte. Engel sieht denn auch eine „[c]hristliche Motivierung weißen Superioritätsbewußtseins“. (Engel 1976: 52f)</w:t>
      </w:r>
    </w:p>
  </w:footnote>
  <w:footnote w:id="111">
    <w:p w:rsidR="005A5F2B" w:rsidRDefault="005A5F2B" w:rsidP="00CF6655">
      <w:pPr>
        <w:pStyle w:val="Funotentext"/>
      </w:pPr>
      <w:r>
        <w:rPr>
          <w:rStyle w:val="Funotenzeichen"/>
        </w:rPr>
        <w:footnoteRef/>
      </w:r>
      <w:r>
        <w:t xml:space="preserve"> </w:t>
      </w:r>
      <w:r>
        <w:tab/>
        <w:t>Engel 1972: 123.</w:t>
      </w:r>
    </w:p>
  </w:footnote>
  <w:footnote w:id="112">
    <w:p w:rsidR="005A5F2B" w:rsidRDefault="005A5F2B" w:rsidP="00CF6655">
      <w:pPr>
        <w:pStyle w:val="Funotentext"/>
      </w:pPr>
      <w:r>
        <w:rPr>
          <w:rStyle w:val="Funotenzeichen"/>
        </w:rPr>
        <w:footnoteRef/>
      </w:r>
      <w:r>
        <w:tab/>
        <w:t>Spiecker möchte die Dichotomie von Reich und Arm dieser Bibelstelle, die ihm offenbar unlogisch erscheint, entschärfen. „Der reiche Mann kam nicht in die Hölle, weil er reich war und Lazarus nicht in den Himmel, weil er arm war. Der Schluss des Evangeliums zeigt ja deutlich, daß alles davon abhängt, daß wir Gottes Wort […] hören.“ (1007) Das wird allerdings bei Lukas so nicht gesagt; die häufig dem reichen Mann angedichtete U</w:t>
      </w:r>
      <w:r>
        <w:t>n</w:t>
      </w:r>
      <w:r>
        <w:t>barmherzigkeit, die ihn in die Hölle gebracht haben könnte, wird mit keinem Wort e</w:t>
      </w:r>
      <w:r>
        <w:t>r</w:t>
      </w:r>
      <w:r>
        <w:t>wähnt. Wir erfahren nur, dass der eine reich ist und der andere als Bettler auf seiner Tü</w:t>
      </w:r>
      <w:r>
        <w:t>r</w:t>
      </w:r>
      <w:r>
        <w:t>schwelle liegt. Ein Hindernis für Spieckers Interpretation findet sich auch wenige Verse zuvor, wo es deutlich genug heißt: „Kein Knecht kann zwei Herren dienen […]. Ihr könnt nicht Gott dienen und dem Mammon.“ (Luk 16, V 13)</w:t>
      </w:r>
    </w:p>
  </w:footnote>
  <w:footnote w:id="113">
    <w:p w:rsidR="005A5F2B" w:rsidRDefault="005A5F2B" w:rsidP="00CF6655">
      <w:pPr>
        <w:pStyle w:val="Funotentext"/>
      </w:pPr>
      <w:r>
        <w:rPr>
          <w:rStyle w:val="Funotenzeichen"/>
        </w:rPr>
        <w:footnoteRef/>
      </w:r>
      <w:r>
        <w:t xml:space="preserve"> </w:t>
      </w:r>
      <w:r>
        <w:tab/>
        <w:t>Panzergrau 1998: 73.</w:t>
      </w:r>
    </w:p>
  </w:footnote>
  <w:footnote w:id="114">
    <w:p w:rsidR="005A5F2B" w:rsidRDefault="005A5F2B" w:rsidP="00CF6655">
      <w:pPr>
        <w:pStyle w:val="Funotentext"/>
      </w:pPr>
      <w:r>
        <w:rPr>
          <w:rStyle w:val="Funotenzeichen"/>
        </w:rPr>
        <w:footnoteRef/>
      </w:r>
      <w:r>
        <w:t xml:space="preserve"> </w:t>
      </w:r>
      <w:r>
        <w:tab/>
        <w:t>ebd.: 189.</w:t>
      </w:r>
    </w:p>
  </w:footnote>
  <w:footnote w:id="115">
    <w:p w:rsidR="005A5F2B" w:rsidRDefault="005A5F2B" w:rsidP="00CF6655">
      <w:pPr>
        <w:pStyle w:val="Funotentext"/>
      </w:pPr>
      <w:r>
        <w:rPr>
          <w:rStyle w:val="Funotenzeichen"/>
        </w:rPr>
        <w:footnoteRef/>
      </w:r>
      <w:r>
        <w:t xml:space="preserve"> </w:t>
      </w:r>
      <w:r>
        <w:tab/>
        <w:t>ebd.: 190.</w:t>
      </w:r>
    </w:p>
  </w:footnote>
  <w:footnote w:id="116">
    <w:p w:rsidR="005A5F2B" w:rsidRDefault="005A5F2B" w:rsidP="00CF6655">
      <w:pPr>
        <w:pStyle w:val="Funotentext"/>
      </w:pPr>
      <w:r>
        <w:rPr>
          <w:rStyle w:val="Funotenzeichen"/>
        </w:rPr>
        <w:footnoteRef/>
      </w:r>
      <w:r>
        <w:t xml:space="preserve"> </w:t>
      </w:r>
      <w:r>
        <w:tab/>
        <w:t>ebd.: 159.</w:t>
      </w:r>
    </w:p>
  </w:footnote>
  <w:footnote w:id="117">
    <w:p w:rsidR="005A5F2B" w:rsidRDefault="005A5F2B" w:rsidP="00CF6655">
      <w:pPr>
        <w:pStyle w:val="Funotentext"/>
      </w:pPr>
      <w:r>
        <w:rPr>
          <w:rStyle w:val="Funotenzeichen"/>
        </w:rPr>
        <w:footnoteRef/>
      </w:r>
      <w:r>
        <w:t xml:space="preserve"> </w:t>
      </w:r>
      <w:r>
        <w:tab/>
        <w:t>ebd.: 162f.</w:t>
      </w:r>
    </w:p>
  </w:footnote>
  <w:footnote w:id="118">
    <w:p w:rsidR="005A5F2B" w:rsidRDefault="005A5F2B" w:rsidP="00CF6655">
      <w:pPr>
        <w:pStyle w:val="Funotentext"/>
      </w:pPr>
      <w:r>
        <w:rPr>
          <w:rStyle w:val="Funotenzeichen"/>
        </w:rPr>
        <w:footnoteRef/>
      </w:r>
      <w:r>
        <w:t xml:space="preserve"> </w:t>
      </w:r>
      <w:r>
        <w:tab/>
        <w:t>ebd.: 162.</w:t>
      </w:r>
    </w:p>
  </w:footnote>
  <w:footnote w:id="119">
    <w:p w:rsidR="005A5F2B" w:rsidRDefault="005A5F2B" w:rsidP="00C81E6F">
      <w:pPr>
        <w:pStyle w:val="Funotentext"/>
      </w:pPr>
      <w:r>
        <w:rPr>
          <w:rStyle w:val="Funotenzeichen"/>
        </w:rPr>
        <w:footnoteRef/>
      </w:r>
      <w:r>
        <w:t xml:space="preserve"> </w:t>
      </w:r>
      <w:r>
        <w:tab/>
        <w:t>Peter Heinrich Brincker</w:t>
      </w:r>
      <w:r w:rsidR="00363C1C">
        <w:fldChar w:fldCharType="begin"/>
      </w:r>
      <w:r>
        <w:instrText xml:space="preserve"> XE "</w:instrText>
      </w:r>
      <w:r w:rsidRPr="00D9070B">
        <w:instrText>Brincker, Peter Heinrich</w:instrText>
      </w:r>
      <w:r>
        <w:instrText xml:space="preserve">" </w:instrText>
      </w:r>
      <w:r w:rsidR="00363C1C">
        <w:fldChar w:fldCharType="end"/>
      </w:r>
      <w:r>
        <w:t xml:space="preserve"> unterschied zwischen drei Bantu-Dialekten</w:t>
      </w:r>
      <w:r w:rsidRPr="0034434A">
        <w:t xml:space="preserve">: </w:t>
      </w:r>
      <w:r w:rsidRPr="0034434A">
        <w:rPr>
          <w:iCs/>
        </w:rPr>
        <w:t>Otjiherero</w:t>
      </w:r>
      <w:r w:rsidR="00363C1C">
        <w:rPr>
          <w:iCs/>
        </w:rPr>
        <w:fldChar w:fldCharType="begin"/>
      </w:r>
      <w:r>
        <w:instrText xml:space="preserve"> XE "</w:instrText>
      </w:r>
      <w:r w:rsidRPr="0027475D">
        <w:rPr>
          <w:iCs/>
        </w:rPr>
        <w:instrText>Otjiherero</w:instrText>
      </w:r>
      <w:r>
        <w:rPr>
          <w:iCs/>
        </w:rPr>
        <w:instrText xml:space="preserve"> (Sprache)</w:instrText>
      </w:r>
      <w:r>
        <w:instrText xml:space="preserve">" </w:instrText>
      </w:r>
      <w:r w:rsidR="00363C1C">
        <w:rPr>
          <w:iCs/>
        </w:rPr>
        <w:fldChar w:fldCharType="end"/>
      </w:r>
      <w:r w:rsidRPr="0034434A">
        <w:rPr>
          <w:iCs/>
        </w:rPr>
        <w:t>, Oshin</w:t>
      </w:r>
      <w:r>
        <w:rPr>
          <w:iCs/>
        </w:rPr>
        <w:softHyphen/>
      </w:r>
      <w:r w:rsidRPr="0034434A">
        <w:rPr>
          <w:iCs/>
        </w:rPr>
        <w:t>donga</w:t>
      </w:r>
      <w:r w:rsidR="00363C1C">
        <w:rPr>
          <w:iCs/>
        </w:rPr>
        <w:fldChar w:fldCharType="begin"/>
      </w:r>
      <w:r>
        <w:instrText xml:space="preserve"> XE "</w:instrText>
      </w:r>
      <w:r w:rsidRPr="000D3B84">
        <w:rPr>
          <w:iCs/>
        </w:rPr>
        <w:instrText>Oshindonga</w:instrText>
      </w:r>
      <w:r>
        <w:rPr>
          <w:iCs/>
        </w:rPr>
        <w:instrText xml:space="preserve"> (Sprache)</w:instrText>
      </w:r>
      <w:r>
        <w:instrText xml:space="preserve">" </w:instrText>
      </w:r>
      <w:r w:rsidR="00363C1C">
        <w:rPr>
          <w:iCs/>
        </w:rPr>
        <w:fldChar w:fldCharType="end"/>
      </w:r>
      <w:r w:rsidRPr="0034434A">
        <w:rPr>
          <w:iCs/>
        </w:rPr>
        <w:t xml:space="preserve"> und Oshikuanjama</w:t>
      </w:r>
      <w:r w:rsidR="00363C1C">
        <w:rPr>
          <w:iCs/>
        </w:rPr>
        <w:fldChar w:fldCharType="begin"/>
      </w:r>
      <w:r>
        <w:instrText xml:space="preserve"> XE "</w:instrText>
      </w:r>
      <w:r w:rsidRPr="00D0141A">
        <w:rPr>
          <w:iCs/>
        </w:rPr>
        <w:instrText>Oshikuanjama</w:instrText>
      </w:r>
      <w:r>
        <w:rPr>
          <w:iCs/>
        </w:rPr>
        <w:instrText xml:space="preserve"> (Sprache)</w:instrText>
      </w:r>
      <w:r>
        <w:instrText xml:space="preserve">" </w:instrText>
      </w:r>
      <w:r w:rsidR="00363C1C">
        <w:rPr>
          <w:iCs/>
        </w:rPr>
        <w:fldChar w:fldCharType="end"/>
      </w:r>
      <w:r>
        <w:rPr>
          <w:iCs/>
        </w:rPr>
        <w:t>. Spiecker übernimmt die Bezeichnung „</w:t>
      </w:r>
      <w:r w:rsidRPr="0034434A">
        <w:rPr>
          <w:iCs/>
        </w:rPr>
        <w:t>Oshikuanjama</w:t>
      </w:r>
      <w:r>
        <w:rPr>
          <w:iCs/>
        </w:rPr>
        <w:t>“ ve</w:t>
      </w:r>
      <w:r>
        <w:rPr>
          <w:iCs/>
        </w:rPr>
        <w:t>r</w:t>
      </w:r>
      <w:r>
        <w:rPr>
          <w:iCs/>
        </w:rPr>
        <w:t>mutlich aus einem der von Brincker verfassten Bücher, vielleicht dem „Lehrbuch des Oshikuanjama“ (Brincker 1891); sie scheint sich nicht durchgesetzt zu haben (</w:t>
      </w:r>
      <w:r w:rsidRPr="0034434A">
        <w:rPr>
          <w:iCs/>
        </w:rPr>
        <w:t>http://de.wiki</w:t>
      </w:r>
      <w:r>
        <w:rPr>
          <w:iCs/>
        </w:rPr>
        <w:softHyphen/>
      </w:r>
      <w:r w:rsidRPr="0034434A">
        <w:rPr>
          <w:iCs/>
        </w:rPr>
        <w:t>pedia.org/wi</w:t>
      </w:r>
      <w:r>
        <w:rPr>
          <w:iCs/>
        </w:rPr>
        <w:softHyphen/>
      </w:r>
      <w:r w:rsidRPr="0034434A">
        <w:rPr>
          <w:iCs/>
        </w:rPr>
        <w:t>ki/Peter_Hein</w:t>
      </w:r>
      <w:r>
        <w:rPr>
          <w:iCs/>
        </w:rPr>
        <w:softHyphen/>
      </w:r>
      <w:r w:rsidRPr="0034434A">
        <w:rPr>
          <w:iCs/>
        </w:rPr>
        <w:t>rich_Brin</w:t>
      </w:r>
      <w:r>
        <w:rPr>
          <w:iCs/>
        </w:rPr>
        <w:softHyphen/>
      </w:r>
      <w:r w:rsidRPr="0034434A">
        <w:rPr>
          <w:iCs/>
        </w:rPr>
        <w:t>cker</w:t>
      </w:r>
      <w:r>
        <w:rPr>
          <w:iCs/>
        </w:rPr>
        <w:t>; Einsicht am 12.06.2012).</w:t>
      </w:r>
    </w:p>
  </w:footnote>
  <w:footnote w:id="120">
    <w:p w:rsidR="005A5F2B" w:rsidRDefault="005A5F2B" w:rsidP="00CF6655">
      <w:pPr>
        <w:pStyle w:val="Funotentext"/>
      </w:pPr>
      <w:r>
        <w:rPr>
          <w:rStyle w:val="Funotenzeichen"/>
        </w:rPr>
        <w:footnoteRef/>
      </w:r>
      <w:r>
        <w:t xml:space="preserve"> </w:t>
      </w:r>
      <w:r>
        <w:tab/>
        <w:t>Spiecker 1907: 128. Lothar Engel zitiert ebenfalls diese Passage und weist darauf hin, dass Spiecker als Abhilfe zunächst die Individualausbildung favorisierte, bei der jeder Missi</w:t>
      </w:r>
      <w:r>
        <w:t>o</w:t>
      </w:r>
      <w:r>
        <w:t>nar sich selbst Gehilfen heranziehen sollte. Diese Lösung war jedoch unrealistisch, weil sie die Missionare zeitlich stark belastete und sich auch nicht alle dieser Aufgabe gewac</w:t>
      </w:r>
      <w:r>
        <w:t>h</w:t>
      </w:r>
      <w:r>
        <w:t>sen fühlten; nur Kuhlmann</w:t>
      </w:r>
      <w:r w:rsidR="00363C1C">
        <w:fldChar w:fldCharType="begin"/>
      </w:r>
      <w:r>
        <w:instrText xml:space="preserve"> XE "</w:instrText>
      </w:r>
      <w:r w:rsidRPr="001E7D05">
        <w:instrText>Kuhlmann, Br.</w:instrText>
      </w:r>
      <w:r>
        <w:instrText xml:space="preserve">" </w:instrText>
      </w:r>
      <w:r w:rsidR="00363C1C">
        <w:fldChar w:fldCharType="end"/>
      </w:r>
      <w:r>
        <w:t xml:space="preserve"> und Spellmeyer</w:t>
      </w:r>
      <w:r w:rsidR="00363C1C">
        <w:fldChar w:fldCharType="begin"/>
      </w:r>
      <w:r>
        <w:instrText xml:space="preserve"> XE "</w:instrText>
      </w:r>
      <w:r w:rsidRPr="00535EB8">
        <w:instrText>Spellmeyer, Br.</w:instrText>
      </w:r>
      <w:r>
        <w:instrText xml:space="preserve">" </w:instrText>
      </w:r>
      <w:r w:rsidR="00363C1C">
        <w:fldChar w:fldCharType="end"/>
      </w:r>
      <w:r>
        <w:t xml:space="preserve"> praktizierten nachweislich diese Ausbildung</w:t>
      </w:r>
      <w:r>
        <w:t>s</w:t>
      </w:r>
      <w:r>
        <w:t>form. (Engel 1976: 103ff)</w:t>
      </w:r>
    </w:p>
  </w:footnote>
  <w:footnote w:id="121">
    <w:p w:rsidR="005A5F2B" w:rsidRDefault="005A5F2B" w:rsidP="00CF6655">
      <w:pPr>
        <w:pStyle w:val="Funotentext"/>
      </w:pPr>
      <w:r>
        <w:rPr>
          <w:rStyle w:val="Funotenzeichen"/>
        </w:rPr>
        <w:footnoteRef/>
      </w:r>
      <w:r>
        <w:t xml:space="preserve"> </w:t>
      </w:r>
      <w:r>
        <w:tab/>
        <w:t>Engel 1972: 117.</w:t>
      </w:r>
    </w:p>
  </w:footnote>
  <w:footnote w:id="122">
    <w:p w:rsidR="005A5F2B" w:rsidRDefault="005A5F2B" w:rsidP="00CF6655">
      <w:pPr>
        <w:pStyle w:val="Funotentext"/>
      </w:pPr>
      <w:r>
        <w:rPr>
          <w:rStyle w:val="Funotenzeichen"/>
        </w:rPr>
        <w:footnoteRef/>
      </w:r>
      <w:r>
        <w:t xml:space="preserve"> </w:t>
      </w:r>
      <w:r>
        <w:tab/>
        <w:t>Gründer 1982: 115.</w:t>
      </w:r>
    </w:p>
  </w:footnote>
  <w:footnote w:id="123">
    <w:p w:rsidR="005A5F2B" w:rsidRDefault="005A5F2B">
      <w:pPr>
        <w:pStyle w:val="Funotentext"/>
      </w:pPr>
      <w:r>
        <w:rPr>
          <w:rStyle w:val="Funotenzeichen"/>
        </w:rPr>
        <w:footnoteRef/>
      </w:r>
      <w:r>
        <w:t xml:space="preserve"> </w:t>
      </w:r>
      <w:r>
        <w:tab/>
        <w:t>„Vlei“ im Afrikaans bezeichnet eine Bodensenke oder Vertiefung, die sich manchmal mit Wasser füllt (</w:t>
      </w:r>
      <w:r w:rsidRPr="009058FB">
        <w:t>http://de.wikipedia.org/wiki/Deutsche_Sprache_in_Namibia</w:t>
      </w:r>
      <w:r>
        <w:t>; Einsicht am 12.06.2012).</w:t>
      </w:r>
    </w:p>
  </w:footnote>
  <w:footnote w:id="124">
    <w:p w:rsidR="005A5F2B" w:rsidRDefault="005A5F2B" w:rsidP="00CF6655">
      <w:pPr>
        <w:pStyle w:val="Funotentext"/>
      </w:pPr>
      <w:r>
        <w:rPr>
          <w:rStyle w:val="Funotenzeichen"/>
        </w:rPr>
        <w:footnoteRef/>
      </w:r>
      <w:r>
        <w:t xml:space="preserve"> </w:t>
      </w:r>
      <w:r>
        <w:tab/>
        <w:t>Panzergrau 1998: 53f.</w:t>
      </w:r>
    </w:p>
  </w:footnote>
  <w:footnote w:id="125">
    <w:p w:rsidR="005A5F2B" w:rsidRDefault="005A5F2B" w:rsidP="00CF6655">
      <w:pPr>
        <w:pStyle w:val="Funotentext"/>
      </w:pPr>
      <w:r>
        <w:rPr>
          <w:rStyle w:val="Funotenzeichen"/>
        </w:rPr>
        <w:footnoteRef/>
      </w:r>
      <w:r>
        <w:tab/>
        <w:t>Er setzt sich allerdings später beim Gouverneur doch für die Abschaffung der Sonntag</w:t>
      </w:r>
      <w:r>
        <w:t>s</w:t>
      </w:r>
      <w:r>
        <w:t>arbeit ein (1477).</w:t>
      </w:r>
    </w:p>
  </w:footnote>
  <w:footnote w:id="126">
    <w:p w:rsidR="005A5F2B" w:rsidRDefault="005A5F2B" w:rsidP="00CF6655">
      <w:pPr>
        <w:pStyle w:val="Funotentext"/>
      </w:pPr>
      <w:r>
        <w:rPr>
          <w:rStyle w:val="Funotenzeichen"/>
        </w:rPr>
        <w:footnoteRef/>
      </w:r>
      <w:r>
        <w:tab/>
        <w:t>Zur Ideologie der Arbeit und ihrer Begründung siehe: M. Siefkes 2002.</w:t>
      </w:r>
    </w:p>
  </w:footnote>
  <w:footnote w:id="127">
    <w:p w:rsidR="005A5F2B" w:rsidRDefault="005A5F2B" w:rsidP="00CF6655">
      <w:pPr>
        <w:pStyle w:val="Funotentext"/>
      </w:pPr>
      <w:r>
        <w:rPr>
          <w:rStyle w:val="Funotenzeichen"/>
        </w:rPr>
        <w:footnoteRef/>
      </w:r>
      <w:r>
        <w:tab/>
        <w:t>Spiecker nennt keine anderen Lebensmittelpreise. Er erwähnt aber, dass die kurze Schiff</w:t>
      </w:r>
      <w:r>
        <w:t>s</w:t>
      </w:r>
      <w:r>
        <w:t>fahrt von Walfishbay</w:t>
      </w:r>
      <w:r w:rsidR="00363C1C">
        <w:fldChar w:fldCharType="begin"/>
      </w:r>
      <w:r>
        <w:instrText xml:space="preserve"> XE "</w:instrText>
      </w:r>
      <w:r w:rsidRPr="00C05598">
        <w:instrText>Walfishbay</w:instrText>
      </w:r>
      <w:r>
        <w:instrText xml:space="preserve">" </w:instrText>
      </w:r>
      <w:r w:rsidR="00363C1C">
        <w:fldChar w:fldCharType="end"/>
      </w:r>
      <w:r>
        <w:t xml:space="preserve"> nach Swakopmund</w:t>
      </w:r>
      <w:r w:rsidR="00363C1C">
        <w:fldChar w:fldCharType="begin"/>
      </w:r>
      <w:r>
        <w:instrText xml:space="preserve"> XE "</w:instrText>
      </w:r>
      <w:r w:rsidRPr="00655FF6">
        <w:instrText>Swakopmund</w:instrText>
      </w:r>
      <w:r>
        <w:instrText xml:space="preserve">" </w:instrText>
      </w:r>
      <w:r w:rsidR="00363C1C">
        <w:fldChar w:fldCharType="end"/>
      </w:r>
      <w:r>
        <w:t xml:space="preserve"> (etwa 50 km) mit der Woermann-Linie pro Pe</w:t>
      </w:r>
      <w:r>
        <w:t>r</w:t>
      </w:r>
      <w:r>
        <w:t>son 25 M kostet (1346). Die Gebühren für eine Trauurkunde kosten 24 M, für eine G</w:t>
      </w:r>
      <w:r>
        <w:t>e</w:t>
      </w:r>
      <w:r>
        <w:t>burtsurkunde 6 M, ein Friseurbesuch schlägt mit 2 M zu Buche (1438). Ein Telegramm kostet 7 M 50 ch (1473).</w:t>
      </w:r>
    </w:p>
  </w:footnote>
  <w:footnote w:id="128">
    <w:p w:rsidR="005A5F2B" w:rsidRDefault="005A5F2B" w:rsidP="00CF6655">
      <w:pPr>
        <w:pStyle w:val="Funotentext"/>
      </w:pPr>
      <w:r>
        <w:rPr>
          <w:rStyle w:val="Funotenzeichen"/>
        </w:rPr>
        <w:footnoteRef/>
      </w:r>
      <w:r>
        <w:tab/>
        <w:t>Stoecker 1991: 121. In diesen Beschlüssen wurden nichtsesshafte Eingeborene praktisch für vogelfrei erklärt, und es kam zu regelrechten Treibjagden (ebd.: 123). Aber auch schon 1905 begegnet Spiecker auf seiner Reise einem Militärkonvoi, der einige ihm pe</w:t>
      </w:r>
      <w:r>
        <w:t>r</w:t>
      </w:r>
      <w:r>
        <w:t>sönlich bekannte Familien aus der Gemeinde in Hoachanas</w:t>
      </w:r>
      <w:r w:rsidR="00363C1C">
        <w:fldChar w:fldCharType="begin"/>
      </w:r>
      <w:r>
        <w:instrText xml:space="preserve"> XE "</w:instrText>
      </w:r>
      <w:r w:rsidRPr="0023707C">
        <w:instrText>Hoachanas</w:instrText>
      </w:r>
      <w:r>
        <w:instrText xml:space="preserve">" </w:instrText>
      </w:r>
      <w:r w:rsidR="00363C1C">
        <w:fldChar w:fldCharType="end"/>
      </w:r>
      <w:r>
        <w:t xml:space="preserve"> mitführt, die dort keine A</w:t>
      </w:r>
      <w:r>
        <w:t>r</w:t>
      </w:r>
      <w:r>
        <w:t>beit haben und deshalb auf Befehl des Gouverneurs nach Windhuk</w:t>
      </w:r>
      <w:r w:rsidR="00363C1C">
        <w:fldChar w:fldCharType="begin"/>
      </w:r>
      <w:r>
        <w:instrText xml:space="preserve"> XE "</w:instrText>
      </w:r>
      <w:r w:rsidRPr="001870D2">
        <w:instrText>Windhuk</w:instrText>
      </w:r>
      <w:r>
        <w:instrText xml:space="preserve">" </w:instrText>
      </w:r>
      <w:r w:rsidR="00363C1C">
        <w:fldChar w:fldCharType="end"/>
      </w:r>
      <w:r>
        <w:t xml:space="preserve"> deportiert werden. (1535)</w:t>
      </w:r>
    </w:p>
  </w:footnote>
  <w:footnote w:id="129">
    <w:p w:rsidR="005A5F2B" w:rsidRDefault="005A5F2B" w:rsidP="00CF6655">
      <w:pPr>
        <w:pStyle w:val="Funotentext"/>
      </w:pPr>
      <w:r>
        <w:rPr>
          <w:rStyle w:val="Funotenzeichen"/>
        </w:rPr>
        <w:footnoteRef/>
      </w:r>
      <w:r>
        <w:t xml:space="preserve"> </w:t>
      </w:r>
      <w:r>
        <w:tab/>
        <w:t>Kaiser 1995: 12. Dass die MHAG auch ein ideologisches Instrument zur „Verwestl</w:t>
      </w:r>
      <w:r>
        <w:t>i</w:t>
      </w:r>
      <w:r>
        <w:t>chung“ der Afrikaner und zur Einführung des Kapitalismus</w:t>
      </w:r>
      <w:r w:rsidR="00363C1C">
        <w:fldChar w:fldCharType="begin"/>
      </w:r>
      <w:r>
        <w:instrText xml:space="preserve"> XE "</w:instrText>
      </w:r>
      <w:r w:rsidRPr="00A369DF">
        <w:instrText>Kapitalismus</w:instrText>
      </w:r>
      <w:r>
        <w:instrText xml:space="preserve">" </w:instrText>
      </w:r>
      <w:r w:rsidR="00363C1C">
        <w:fldChar w:fldCharType="end"/>
      </w:r>
      <w:r>
        <w:t xml:space="preserve"> war, ist nicht immer gesehen worden. Im diesem Zusammenhang ist beachtenswert, dass Friedrich Fabri</w:t>
      </w:r>
      <w:r w:rsidR="00363C1C">
        <w:fldChar w:fldCharType="begin"/>
      </w:r>
      <w:r>
        <w:instrText xml:space="preserve"> XE "</w:instrText>
      </w:r>
      <w:r w:rsidRPr="00397DB6">
        <w:instrText>Fabri, Friedrich</w:instrText>
      </w:r>
      <w:r>
        <w:instrText xml:space="preserve">" </w:instrText>
      </w:r>
      <w:r w:rsidR="00363C1C">
        <w:fldChar w:fldCharType="end"/>
      </w:r>
      <w:r>
        <w:t xml:space="preserve">, der große Kolonialpropagandist und Missionsinspektor der Rheinischen Mission (vgl. Abschnitt </w:t>
      </w:r>
      <w:r w:rsidR="00363C1C">
        <w:fldChar w:fldCharType="begin"/>
      </w:r>
      <w:r>
        <w:instrText xml:space="preserve"> REF _Ref325357089 \r \h </w:instrText>
      </w:r>
      <w:r w:rsidR="00363C1C">
        <w:fldChar w:fldCharType="separate"/>
      </w:r>
      <w:r w:rsidR="00216538">
        <w:t>2.4.1.2</w:t>
      </w:r>
      <w:r w:rsidR="00363C1C">
        <w:fldChar w:fldCharType="end"/>
      </w:r>
      <w:r>
        <w:t>), im Jahr 1861 den Vorschlag für das erste „Handelsgeschäft“ machte (Braun 1992: 36f).</w:t>
      </w:r>
    </w:p>
  </w:footnote>
  <w:footnote w:id="130">
    <w:p w:rsidR="005A5F2B" w:rsidRDefault="005A5F2B" w:rsidP="00CF6655">
      <w:pPr>
        <w:pStyle w:val="Funotentext"/>
      </w:pPr>
      <w:r>
        <w:rPr>
          <w:rStyle w:val="Funotenzeichen"/>
        </w:rPr>
        <w:footnoteRef/>
      </w:r>
      <w:r>
        <w:t xml:space="preserve"> </w:t>
      </w:r>
      <w:r>
        <w:tab/>
        <w:t>Hemme 2000: 130.</w:t>
      </w:r>
    </w:p>
  </w:footnote>
  <w:footnote w:id="131">
    <w:p w:rsidR="005A5F2B" w:rsidRDefault="005A5F2B">
      <w:pPr>
        <w:pStyle w:val="Funotentext"/>
      </w:pPr>
      <w:r>
        <w:rPr>
          <w:rStyle w:val="Funotenzeichen"/>
        </w:rPr>
        <w:footnoteRef/>
      </w:r>
      <w:r>
        <w:t xml:space="preserve"> </w:t>
      </w:r>
      <w:r>
        <w:tab/>
        <w:t xml:space="preserve">siehe Fußnote </w:t>
      </w:r>
      <w:r w:rsidR="00363C1C">
        <w:fldChar w:fldCharType="begin"/>
      </w:r>
      <w:r>
        <w:instrText xml:space="preserve"> NOTEREF _Ref327287751 \h </w:instrText>
      </w:r>
      <w:r w:rsidR="00363C1C">
        <w:fldChar w:fldCharType="separate"/>
      </w:r>
      <w:r w:rsidR="00216538">
        <w:t>15</w:t>
      </w:r>
      <w:r w:rsidR="00363C1C">
        <w:fldChar w:fldCharType="end"/>
      </w:r>
    </w:p>
  </w:footnote>
  <w:footnote w:id="132">
    <w:p w:rsidR="005A5F2B" w:rsidRDefault="005A5F2B" w:rsidP="00CF6655">
      <w:pPr>
        <w:pStyle w:val="Funotentext"/>
      </w:pPr>
      <w:r>
        <w:rPr>
          <w:rStyle w:val="Funotenzeichen"/>
        </w:rPr>
        <w:footnoteRef/>
      </w:r>
      <w:r>
        <w:t xml:space="preserve"> </w:t>
      </w:r>
      <w:r>
        <w:tab/>
        <w:t>Weber 1979: 97. Die Liste ist jedoch nicht vollständig (ebd.). Zumindest fehlt der Fall des Leutnants Prinz von Arenberg</w:t>
      </w:r>
      <w:r w:rsidR="00363C1C">
        <w:fldChar w:fldCharType="begin"/>
      </w:r>
      <w:r>
        <w:instrText xml:space="preserve"> XE "</w:instrText>
      </w:r>
      <w:r w:rsidRPr="00A23668">
        <w:instrText>Arenberg, Leutnant Prinz von</w:instrText>
      </w:r>
      <w:r>
        <w:instrText xml:space="preserve">" </w:instrText>
      </w:r>
      <w:r w:rsidR="00363C1C">
        <w:fldChar w:fldCharType="end"/>
      </w:r>
      <w:r>
        <w:t>, der einen Herero</w:t>
      </w:r>
      <w:r w:rsidR="00363C1C">
        <w:fldChar w:fldCharType="begin"/>
      </w:r>
      <w:r>
        <w:instrText xml:space="preserve"> XE "</w:instrText>
      </w:r>
      <w:r w:rsidRPr="00D91537">
        <w:instrText>Herero</w:instrText>
      </w:r>
      <w:r>
        <w:instrText xml:space="preserve">" </w:instrText>
      </w:r>
      <w:r w:rsidR="00363C1C">
        <w:fldChar w:fldCharType="end"/>
      </w:r>
      <w:r>
        <w:t xml:space="preserve"> verhaften ließ; im Verlauf des Verhörs wurde dieser erschossen. Der Prinz wurde in erster Instanz in Windhuk</w:t>
      </w:r>
      <w:r w:rsidR="00363C1C">
        <w:fldChar w:fldCharType="begin"/>
      </w:r>
      <w:r>
        <w:instrText xml:space="preserve"> XE "Windhu</w:instrText>
      </w:r>
      <w:r w:rsidRPr="00EB5F1C">
        <w:instrText>k</w:instrText>
      </w:r>
      <w:r>
        <w:instrText xml:space="preserve">" </w:instrText>
      </w:r>
      <w:r w:rsidR="00363C1C">
        <w:fldChar w:fldCharType="end"/>
      </w:r>
      <w:r>
        <w:t xml:space="preserve"> von einem Kriegsgericht zu 10 Monaten Haft verurteilt. Das Urteil wurde jedoch aufgehoben, nac</w:t>
      </w:r>
      <w:r>
        <w:t>h</w:t>
      </w:r>
      <w:r>
        <w:t>dem linksgerichtete Zeitungen in Deutschland laut protestiert hatten, und der Prinz in Deutschland zum Tode verurteilt. Das Urteil wurde jedoch nach Beginn des Aufstands wiederum aufgehoben und durch einen Freispruch ersetzt, der mit einer zur Tatzeit a</w:t>
      </w:r>
      <w:r>
        <w:t>n</w:t>
      </w:r>
      <w:r>
        <w:t>geblich bestehenden Geisteskrankheit begründet wurde. (Weber 1979: 115)</w:t>
      </w:r>
    </w:p>
  </w:footnote>
  <w:footnote w:id="133">
    <w:p w:rsidR="005A5F2B" w:rsidRDefault="005A5F2B" w:rsidP="00CF6655">
      <w:pPr>
        <w:pStyle w:val="Funotentext"/>
      </w:pPr>
      <w:r>
        <w:rPr>
          <w:rStyle w:val="Funotenzeichen"/>
        </w:rPr>
        <w:footnoteRef/>
      </w:r>
      <w:r>
        <w:t xml:space="preserve"> </w:t>
      </w:r>
      <w:r>
        <w:tab/>
        <w:t>Weber 1979: 97f.</w:t>
      </w:r>
    </w:p>
  </w:footnote>
  <w:footnote w:id="134">
    <w:p w:rsidR="005A5F2B" w:rsidRDefault="005A5F2B" w:rsidP="00CF6655">
      <w:pPr>
        <w:pStyle w:val="Funotentext"/>
      </w:pPr>
      <w:r>
        <w:rPr>
          <w:rStyle w:val="Funotenzeichen"/>
        </w:rPr>
        <w:footnoteRef/>
      </w:r>
      <w:r>
        <w:t xml:space="preserve"> </w:t>
      </w:r>
      <w:r>
        <w:tab/>
        <w:t>ebd.: 96.</w:t>
      </w:r>
    </w:p>
  </w:footnote>
  <w:footnote w:id="135">
    <w:p w:rsidR="005A5F2B" w:rsidRDefault="005A5F2B" w:rsidP="00CF6655">
      <w:pPr>
        <w:pStyle w:val="Funotentext"/>
      </w:pPr>
      <w:r>
        <w:rPr>
          <w:rStyle w:val="Funotenzeichen"/>
        </w:rPr>
        <w:footnoteRef/>
      </w:r>
      <w:r>
        <w:t xml:space="preserve"> </w:t>
      </w:r>
      <w:r>
        <w:tab/>
        <w:t>ebd.: 97.</w:t>
      </w:r>
    </w:p>
  </w:footnote>
  <w:footnote w:id="136">
    <w:p w:rsidR="005A5F2B" w:rsidRDefault="005A5F2B" w:rsidP="00CF6655">
      <w:pPr>
        <w:pStyle w:val="Funotentext"/>
      </w:pPr>
      <w:r>
        <w:rPr>
          <w:rStyle w:val="Funotenzeichen"/>
        </w:rPr>
        <w:footnoteRef/>
      </w:r>
      <w:r>
        <w:t xml:space="preserve"> </w:t>
      </w:r>
      <w:r>
        <w:tab/>
        <w:t>ebd.: 97.</w:t>
      </w:r>
    </w:p>
  </w:footnote>
  <w:footnote w:id="137">
    <w:p w:rsidR="005A5F2B" w:rsidRDefault="005A5F2B" w:rsidP="00CF6655">
      <w:pPr>
        <w:pStyle w:val="Funotentext"/>
      </w:pPr>
      <w:r>
        <w:rPr>
          <w:rStyle w:val="Funotenzeichen"/>
        </w:rPr>
        <w:footnoteRef/>
      </w:r>
      <w:r>
        <w:t xml:space="preserve"> </w:t>
      </w:r>
      <w:r>
        <w:tab/>
        <w:t>ebd.: 114.</w:t>
      </w:r>
    </w:p>
  </w:footnote>
  <w:footnote w:id="138">
    <w:p w:rsidR="005A5F2B" w:rsidRDefault="005A5F2B" w:rsidP="00D069F9">
      <w:pPr>
        <w:pStyle w:val="Funotentext"/>
      </w:pPr>
      <w:r>
        <w:rPr>
          <w:rStyle w:val="Funotenzeichen"/>
        </w:rPr>
        <w:footnoteRef/>
      </w:r>
      <w:r>
        <w:t xml:space="preserve"> </w:t>
      </w:r>
      <w:r>
        <w:tab/>
        <w:t>Timm 1981: 9.</w:t>
      </w:r>
    </w:p>
  </w:footnote>
  <w:footnote w:id="139">
    <w:p w:rsidR="005A5F2B" w:rsidRDefault="005A5F2B" w:rsidP="00CF6655">
      <w:pPr>
        <w:pStyle w:val="Funotentext"/>
      </w:pPr>
      <w:r>
        <w:rPr>
          <w:rStyle w:val="Funotenzeichen"/>
        </w:rPr>
        <w:footnoteRef/>
      </w:r>
      <w:r>
        <w:tab/>
        <w:t>Vgl. auch Gründer 1982: 118.</w:t>
      </w:r>
    </w:p>
  </w:footnote>
  <w:footnote w:id="140">
    <w:p w:rsidR="005A5F2B" w:rsidRDefault="005A5F2B" w:rsidP="00D4534C">
      <w:pPr>
        <w:pStyle w:val="Funotentext"/>
      </w:pPr>
      <w:r>
        <w:rPr>
          <w:rStyle w:val="Funotenzeichen"/>
        </w:rPr>
        <w:footnoteRef/>
      </w:r>
      <w:r>
        <w:t xml:space="preserve"> </w:t>
      </w:r>
      <w:r>
        <w:tab/>
        <w:t>In der Literatur finden sich die Schreibweisen „Frederiks“ und „Fredericks“.</w:t>
      </w:r>
    </w:p>
  </w:footnote>
  <w:footnote w:id="141">
    <w:p w:rsidR="005A5F2B" w:rsidRDefault="005A5F2B" w:rsidP="00CF6655">
      <w:pPr>
        <w:pStyle w:val="Funotentext"/>
      </w:pPr>
      <w:r>
        <w:rPr>
          <w:rStyle w:val="Funotenzeichen"/>
        </w:rPr>
        <w:footnoteRef/>
      </w:r>
      <w:r>
        <w:t xml:space="preserve"> </w:t>
      </w:r>
      <w:r>
        <w:tab/>
        <w:t xml:space="preserve">Auch die Verschärfung der Ungleichheit zwischen Mann und Frau, die die Missionare in mancher Hinsicht vornahmen, lässt sich als Reflex dieser Hierarchie zwischen ‚gleich‘ und ‚anders‘ erklären (vgl. Abschnitt </w:t>
      </w:r>
      <w:r w:rsidR="00363C1C">
        <w:fldChar w:fldCharType="begin"/>
      </w:r>
      <w:r>
        <w:instrText xml:space="preserve"> REF _Ref325357152 \r \h </w:instrText>
      </w:r>
      <w:r w:rsidR="00363C1C">
        <w:fldChar w:fldCharType="separate"/>
      </w:r>
      <w:r w:rsidR="00216538">
        <w:t>2.5</w:t>
      </w:r>
      <w:r w:rsidR="00363C1C">
        <w:fldChar w:fldCharType="end"/>
      </w:r>
      <w:r>
        <w:t>).</w:t>
      </w:r>
    </w:p>
  </w:footnote>
  <w:footnote w:id="142">
    <w:p w:rsidR="005A5F2B" w:rsidRDefault="005A5F2B" w:rsidP="00CF6655">
      <w:pPr>
        <w:pStyle w:val="Funotentext"/>
      </w:pPr>
      <w:r>
        <w:rPr>
          <w:rStyle w:val="Funotenzeichen"/>
        </w:rPr>
        <w:footnoteRef/>
      </w:r>
      <w:r>
        <w:t xml:space="preserve"> </w:t>
      </w:r>
      <w:r>
        <w:tab/>
        <w:t>Engel 1976: 62f. Tatsächlich betrachteten viele der Deutschen die Missionare nicht als vollwertige Seelsorger – diese waren ja auch keine studierten Pfarrer, sondern nur Abso</w:t>
      </w:r>
      <w:r>
        <w:t>l</w:t>
      </w:r>
      <w:r>
        <w:t>venten eines Seminars. Vor allem aber gründete sich ihre Ablehnung auf die Tatsache, dass sie sich als „nebenher versorgt“ und auf die gleiche Stufe wie die Schwarzen gestellt fühlten. Doch auch für die Missionare wird mit der zunehmenden Vermischung der Stämme die Belastung durch die mehrfachen Gottesdienste (z.B. für Nama</w:t>
      </w:r>
      <w:r w:rsidR="00363C1C">
        <w:fldChar w:fldCharType="begin"/>
      </w:r>
      <w:r>
        <w:instrText xml:space="preserve"> XE "</w:instrText>
      </w:r>
      <w:r w:rsidRPr="001F563C">
        <w:instrText>Nama</w:instrText>
      </w:r>
      <w:r>
        <w:instrText xml:space="preserve">" </w:instrText>
      </w:r>
      <w:r w:rsidR="00363C1C">
        <w:fldChar w:fldCharType="end"/>
      </w:r>
      <w:r>
        <w:t>, Herero</w:t>
      </w:r>
      <w:r w:rsidR="00363C1C">
        <w:fldChar w:fldCharType="begin"/>
      </w:r>
      <w:r>
        <w:instrText xml:space="preserve"> XE "</w:instrText>
      </w:r>
      <w:r w:rsidRPr="00D91537">
        <w:instrText>Herero</w:instrText>
      </w:r>
      <w:r>
        <w:instrText xml:space="preserve">" </w:instrText>
      </w:r>
      <w:r w:rsidR="00363C1C">
        <w:fldChar w:fldCharType="end"/>
      </w:r>
      <w:r>
        <w:t xml:space="preserve"> und Deutsche; vgl. Abschnitt </w:t>
      </w:r>
      <w:r w:rsidR="00363C1C">
        <w:fldChar w:fldCharType="begin"/>
      </w:r>
      <w:r>
        <w:instrText xml:space="preserve"> REF _Ref325357186 \r \h </w:instrText>
      </w:r>
      <w:r w:rsidR="00363C1C">
        <w:fldChar w:fldCharType="separate"/>
      </w:r>
      <w:r w:rsidR="00216538">
        <w:t>2.1.2</w:t>
      </w:r>
      <w:r w:rsidR="00363C1C">
        <w:fldChar w:fldCharType="end"/>
      </w:r>
      <w:r>
        <w:t>) zu groß.</w:t>
      </w:r>
    </w:p>
  </w:footnote>
  <w:footnote w:id="143">
    <w:p w:rsidR="005A5F2B" w:rsidRDefault="005A5F2B" w:rsidP="00CF6655">
      <w:pPr>
        <w:pStyle w:val="Funotentext"/>
      </w:pPr>
      <w:r>
        <w:rPr>
          <w:rStyle w:val="Funotenzeichen"/>
        </w:rPr>
        <w:footnoteRef/>
      </w:r>
      <w:r>
        <w:t xml:space="preserve"> </w:t>
      </w:r>
      <w:r>
        <w:tab/>
        <w:t>Ashcroft u.a. 2000: 171f. Bereits Albert Memmi</w:t>
      </w:r>
      <w:r w:rsidR="00363C1C">
        <w:fldChar w:fldCharType="begin"/>
      </w:r>
      <w:r>
        <w:instrText xml:space="preserve"> XE "</w:instrText>
      </w:r>
      <w:r w:rsidRPr="00AF0B05">
        <w:instrText>Memmi, Albert</w:instrText>
      </w:r>
      <w:r>
        <w:instrText xml:space="preserve">" </w:instrText>
      </w:r>
      <w:r w:rsidR="00363C1C">
        <w:fldChar w:fldCharType="end"/>
      </w:r>
      <w:r>
        <w:t xml:space="preserve"> hat darauf verwiesen, wie entscheidend die Vergrößerung und „Absolutsetzung“ der Unterschiede für die Kolonisation ist: „Weit davon entfernt, das aufzusuchen, was sein Gefühl des Fremdseins abschwächen, ihn dem Kolonisierten näher bringen und zur Begründung einer gemeinsamen Bürgerschaft be</w:t>
      </w:r>
      <w:r>
        <w:t>i</w:t>
      </w:r>
      <w:r>
        <w:t>tragen könnte, stützt sich der Kolonialist im Gegenteil auf alles, was beide voneinander trennt. Und in diesen Unterschieden […] findet er die Rechtfertigung für seine Able</w:t>
      </w:r>
      <w:r>
        <w:t>h</w:t>
      </w:r>
      <w:r>
        <w:t>nung. […] Der Kolonialist löst die einzelne Tatsache aus der Geschichte, aus der Zeit und damit aus einer möglichen Evolution heraus. Die soziologische Tatsache wird zur biolog</w:t>
      </w:r>
      <w:r>
        <w:t>i</w:t>
      </w:r>
      <w:r>
        <w:t xml:space="preserve">schen oder besser noch zur metaphysischen erklärt, zum Bestandteil des </w:t>
      </w:r>
      <w:r>
        <w:rPr>
          <w:i/>
          <w:iCs/>
        </w:rPr>
        <w:t xml:space="preserve">Wesens </w:t>
      </w:r>
      <w:r>
        <w:t>des K</w:t>
      </w:r>
      <w:r>
        <w:t>o</w:t>
      </w:r>
      <w:r>
        <w:t xml:space="preserve">lonisierten. Damit wird das Kolonialverhältnis zwischen Kolonisator und Kolonisiertem, das auf der fundamentalen Seinsweise der beiden Protagonisten beruht, zu einer </w:t>
      </w:r>
      <w:r>
        <w:rPr>
          <w:i/>
          <w:iCs/>
        </w:rPr>
        <w:t>letzten Kategorie</w:t>
      </w:r>
      <w:r>
        <w:t>.“ (Memmi</w:t>
      </w:r>
      <w:r w:rsidR="00363C1C">
        <w:fldChar w:fldCharType="begin"/>
      </w:r>
      <w:r>
        <w:instrText xml:space="preserve"> XE "</w:instrText>
      </w:r>
      <w:r w:rsidRPr="00AF0B05">
        <w:instrText>Memmi, Albert</w:instrText>
      </w:r>
      <w:r>
        <w:instrText xml:space="preserve">" </w:instrText>
      </w:r>
      <w:r w:rsidR="00363C1C">
        <w:fldChar w:fldCharType="end"/>
      </w:r>
      <w:r>
        <w:t xml:space="preserve"> 1994: 73.)</w:t>
      </w:r>
    </w:p>
  </w:footnote>
  <w:footnote w:id="144">
    <w:p w:rsidR="005A5F2B" w:rsidRDefault="005A5F2B" w:rsidP="00CF6655">
      <w:pPr>
        <w:pStyle w:val="Funotentext"/>
      </w:pPr>
      <w:r>
        <w:rPr>
          <w:rStyle w:val="Funotenzeichen"/>
        </w:rPr>
        <w:footnoteRef/>
      </w:r>
      <w:r>
        <w:t xml:space="preserve"> </w:t>
      </w:r>
      <w:r>
        <w:tab/>
        <w:t>Islam 1996: 80.</w:t>
      </w:r>
    </w:p>
  </w:footnote>
  <w:footnote w:id="145">
    <w:p w:rsidR="005A5F2B" w:rsidRDefault="005A5F2B" w:rsidP="00CF6655">
      <w:pPr>
        <w:pStyle w:val="Funotentext"/>
      </w:pPr>
      <w:r>
        <w:rPr>
          <w:rStyle w:val="Funotenzeichen"/>
        </w:rPr>
        <w:footnoteRef/>
      </w:r>
      <w:r>
        <w:t xml:space="preserve"> </w:t>
      </w:r>
      <w:r>
        <w:tab/>
        <w:t>Vgl. dazu Engel 1976: 55-62.</w:t>
      </w:r>
    </w:p>
  </w:footnote>
  <w:footnote w:id="146">
    <w:p w:rsidR="005A5F2B" w:rsidRDefault="005A5F2B" w:rsidP="00CF6655">
      <w:pPr>
        <w:pStyle w:val="Funotentext"/>
      </w:pPr>
      <w:r>
        <w:rPr>
          <w:rStyle w:val="Funotenzeichen"/>
        </w:rPr>
        <w:footnoteRef/>
      </w:r>
      <w:r>
        <w:t xml:space="preserve"> </w:t>
      </w:r>
      <w:r>
        <w:tab/>
        <w:t>Im offiziellen Visitationsbericht äußert sich Spiecker wesentlich vorsichtiger und sachl</w:t>
      </w:r>
      <w:r>
        <w:t>i</w:t>
      </w:r>
      <w:r>
        <w:t>cher über die katholische Mission. (Spiecker 1907: 133-136.)</w:t>
      </w:r>
    </w:p>
  </w:footnote>
  <w:footnote w:id="147">
    <w:p w:rsidR="005A5F2B" w:rsidRDefault="005A5F2B">
      <w:pPr>
        <w:pStyle w:val="Funotentext"/>
      </w:pPr>
      <w:r>
        <w:rPr>
          <w:rStyle w:val="Funotenzeichen"/>
        </w:rPr>
        <w:footnoteRef/>
      </w:r>
      <w:r>
        <w:t xml:space="preserve"> </w:t>
      </w:r>
      <w:r>
        <w:tab/>
        <w:t>Auch aus den Erinnerungen seiner jüngsten Tochter</w:t>
      </w:r>
      <w:r w:rsidR="00363C1C">
        <w:fldChar w:fldCharType="begin"/>
      </w:r>
      <w:r>
        <w:instrText xml:space="preserve"> XE "</w:instrText>
      </w:r>
      <w:r w:rsidRPr="00374D9C">
        <w:instrText>Siefkes, Elisabeth</w:instrText>
      </w:r>
      <w:r>
        <w:instrText xml:space="preserve"> geb. Spiecker" </w:instrText>
      </w:r>
      <w:r w:rsidR="00363C1C">
        <w:fldChar w:fldCharType="end"/>
      </w:r>
      <w:r>
        <w:t xml:space="preserve"> geht hervor, dass Spiecker sich selbst nicht als Antisemiten</w:t>
      </w:r>
      <w:r w:rsidR="00363C1C">
        <w:fldChar w:fldCharType="begin"/>
      </w:r>
      <w:r>
        <w:instrText xml:space="preserve"> XE "</w:instrText>
      </w:r>
      <w:r w:rsidRPr="00F837AA">
        <w:instrText>Antisemitismus</w:instrText>
      </w:r>
      <w:r>
        <w:instrText xml:space="preserve">" </w:instrText>
      </w:r>
      <w:r w:rsidR="00363C1C">
        <w:fldChar w:fldCharType="end"/>
      </w:r>
      <w:r>
        <w:t xml:space="preserve"> sah, aber dennoch unreflektiert entsprechende Vorurteile reprod</w:t>
      </w:r>
      <w:r>
        <w:t>u</w:t>
      </w:r>
      <w:r>
        <w:t>zierte: „</w:t>
      </w:r>
      <w:r w:rsidRPr="0005697F">
        <w:t>Ein Warenhaus war mir also völlig unbekannt. Papa mißbilligte sie ebenso wie k</w:t>
      </w:r>
      <w:r w:rsidRPr="0005697F">
        <w:t>a</w:t>
      </w:r>
      <w:r w:rsidRPr="0005697F">
        <w:t>tholische oder gar jüdische Geschäfte. Er sagte, ich habe nichts gegen Juden</w:t>
      </w:r>
      <w:r w:rsidR="00363C1C">
        <w:fldChar w:fldCharType="begin"/>
      </w:r>
      <w:r>
        <w:instrText xml:space="preserve"> XE "</w:instrText>
      </w:r>
      <w:r w:rsidRPr="00D3165C">
        <w:instrText>Juden</w:instrText>
      </w:r>
      <w:r>
        <w:instrText xml:space="preserve">" </w:instrText>
      </w:r>
      <w:r w:rsidR="00363C1C">
        <w:fldChar w:fldCharType="end"/>
      </w:r>
      <w:r w:rsidRPr="0005697F">
        <w:t xml:space="preserve">, habe als Student einen jüdischen Freund gehabt, aber sie sind uns im Kaufmännischen über und </w:t>
      </w:r>
      <w:proofErr w:type="gramStart"/>
      <w:r w:rsidRPr="0005697F">
        <w:t>legen</w:t>
      </w:r>
      <w:proofErr w:type="gramEnd"/>
      <w:r w:rsidRPr="0005697F">
        <w:t xml:space="preserve"> uns gar zu leicht rein. </w:t>
      </w:r>
      <w:r>
        <w:t>‚</w:t>
      </w:r>
      <w:r w:rsidRPr="0005697F">
        <w:t>Die Schuhe sind um zu verkaufen und nicht um drin heru</w:t>
      </w:r>
      <w:r w:rsidRPr="0005697F">
        <w:t>m</w:t>
      </w:r>
      <w:r w:rsidRPr="0005697F">
        <w:t>zulaufen</w:t>
      </w:r>
      <w:r>
        <w:t>‘</w:t>
      </w:r>
      <w:r w:rsidRPr="0005697F">
        <w:t xml:space="preserve"> war bei uns ein beliebter Spruch für jüdische Geschäftspraktiken.</w:t>
      </w:r>
      <w:r>
        <w:t>“ (E. Siefkes 1993: 36)</w:t>
      </w:r>
    </w:p>
  </w:footnote>
  <w:footnote w:id="148">
    <w:p w:rsidR="005A5F2B" w:rsidRDefault="005A5F2B" w:rsidP="00CF6655">
      <w:pPr>
        <w:pStyle w:val="Funotentext"/>
      </w:pPr>
      <w:r>
        <w:rPr>
          <w:rStyle w:val="Funotenzeichen"/>
        </w:rPr>
        <w:footnoteRef/>
      </w:r>
      <w:r>
        <w:t xml:space="preserve"> </w:t>
      </w:r>
      <w:r>
        <w:tab/>
        <w:t>Weitere Quellen für die Zwei-Reiche-Lehre</w:t>
      </w:r>
      <w:r w:rsidR="00363C1C">
        <w:fldChar w:fldCharType="begin"/>
      </w:r>
      <w:r>
        <w:instrText xml:space="preserve"> XE "</w:instrText>
      </w:r>
      <w:r w:rsidRPr="004C66D4">
        <w:instrText>Zwei-Reiche-Lehre</w:instrText>
      </w:r>
      <w:r>
        <w:instrText xml:space="preserve">" </w:instrText>
      </w:r>
      <w:r w:rsidR="00363C1C">
        <w:fldChar w:fldCharType="end"/>
      </w:r>
      <w:r>
        <w:t>, insbesondere für die Aussagen bei Luther</w:t>
      </w:r>
      <w:r w:rsidR="00363C1C">
        <w:fldChar w:fldCharType="begin"/>
      </w:r>
      <w:r>
        <w:instrText xml:space="preserve"> XE "</w:instrText>
      </w:r>
      <w:r w:rsidRPr="00025F10">
        <w:instrText>Luther, Martin</w:instrText>
      </w:r>
      <w:r>
        <w:instrText xml:space="preserve">" </w:instrText>
      </w:r>
      <w:r w:rsidR="00363C1C">
        <w:fldChar w:fldCharType="end"/>
      </w:r>
      <w:r>
        <w:t>, sind die Schrift „De civitate Dei“ von Augustinus</w:t>
      </w:r>
      <w:r w:rsidR="00363C1C">
        <w:fldChar w:fldCharType="begin"/>
      </w:r>
      <w:r>
        <w:instrText xml:space="preserve"> XE "</w:instrText>
      </w:r>
      <w:r w:rsidRPr="00ED3939">
        <w:instrText>Augustinus</w:instrText>
      </w:r>
      <w:r>
        <w:instrText xml:space="preserve"> von Hippo" </w:instrText>
      </w:r>
      <w:r w:rsidR="00363C1C">
        <w:fldChar w:fldCharType="end"/>
      </w:r>
      <w:r>
        <w:t xml:space="preserve"> und die „Zwei-Schwerter-Theorie</w:t>
      </w:r>
      <w:r w:rsidR="00363C1C">
        <w:fldChar w:fldCharType="begin"/>
      </w:r>
      <w:r>
        <w:instrText xml:space="preserve"> XE "</w:instrText>
      </w:r>
      <w:r w:rsidRPr="007536F9">
        <w:instrText>Zwei-Schwerter-Theorie</w:instrText>
      </w:r>
      <w:r>
        <w:instrText xml:space="preserve">" </w:instrText>
      </w:r>
      <w:r w:rsidR="00363C1C">
        <w:fldChar w:fldCharType="end"/>
      </w:r>
      <w:r>
        <w:t>“, die im Mittelalter zur Regelung des Verhältnisses von König und Kirche vorgeschlagen wu</w:t>
      </w:r>
      <w:r>
        <w:t>r</w:t>
      </w:r>
      <w:r>
        <w:t>de. (http://de.wikipedia.org/wiki/Zwei-Reiche-Lehre; Einsicht am 27.2.06.)</w:t>
      </w:r>
    </w:p>
  </w:footnote>
  <w:footnote w:id="149">
    <w:p w:rsidR="005A5F2B" w:rsidRDefault="005A5F2B" w:rsidP="00CF6655">
      <w:pPr>
        <w:pStyle w:val="Funotentext"/>
      </w:pPr>
      <w:r>
        <w:rPr>
          <w:rStyle w:val="Funotenzeichen"/>
        </w:rPr>
        <w:footnoteRef/>
      </w:r>
      <w:r>
        <w:t xml:space="preserve"> </w:t>
      </w:r>
      <w:r>
        <w:tab/>
        <w:t>Gen 1, 27: „Und Gott schuf den Menschen zu seinem Bilde“.</w:t>
      </w:r>
    </w:p>
  </w:footnote>
  <w:footnote w:id="150">
    <w:p w:rsidR="005A5F2B" w:rsidRDefault="005A5F2B" w:rsidP="00CF6655">
      <w:pPr>
        <w:pStyle w:val="Funotentext"/>
      </w:pPr>
      <w:r>
        <w:rPr>
          <w:rStyle w:val="Funotenzeichen"/>
        </w:rPr>
        <w:footnoteRef/>
      </w:r>
      <w:r>
        <w:t xml:space="preserve"> </w:t>
      </w:r>
      <w:r>
        <w:tab/>
        <w:t>Panzergrau 1998: 45.</w:t>
      </w:r>
    </w:p>
  </w:footnote>
  <w:footnote w:id="151">
    <w:p w:rsidR="005A5F2B" w:rsidRDefault="005A5F2B" w:rsidP="00CF6655">
      <w:pPr>
        <w:pStyle w:val="Funotentext"/>
      </w:pPr>
      <w:r>
        <w:rPr>
          <w:rStyle w:val="Funotenzeichen"/>
        </w:rPr>
        <w:footnoteRef/>
      </w:r>
      <w:r>
        <w:t xml:space="preserve"> </w:t>
      </w:r>
      <w:r>
        <w:tab/>
        <w:t>ebd.</w:t>
      </w:r>
    </w:p>
  </w:footnote>
  <w:footnote w:id="152">
    <w:p w:rsidR="005A5F2B" w:rsidRDefault="005A5F2B" w:rsidP="00CF6655">
      <w:pPr>
        <w:pStyle w:val="Funotentext"/>
      </w:pPr>
      <w:r>
        <w:rPr>
          <w:rStyle w:val="Funotenzeichen"/>
        </w:rPr>
        <w:footnoteRef/>
      </w:r>
      <w:r>
        <w:t xml:space="preserve"> </w:t>
      </w:r>
      <w:r>
        <w:tab/>
        <w:t>Röm 13, 1-3: „Jedermann sei untertan der Obrigkeit, die Gewalt über ihn hat. Denn es ist keine Obrigkeit außer von Gott; wo aber Obrigkeit ist, die ist von Gott angeordnet. Wer sich nun der Obrigkeit widersetzt, der widerstrebt der Anordnung Gottes; die ihr aber widerstreben, ziehen sich selbst das Urteil zu. Denn vor denen die Gewalt haben, muß man sich nicht fürchten wegen guter, sondern wegen böser Werke.“ Der letzte Satz ist besonders wichtig, da er die paternalistische</w:t>
      </w:r>
      <w:r w:rsidR="00363C1C">
        <w:fldChar w:fldCharType="begin"/>
      </w:r>
      <w:r>
        <w:instrText xml:space="preserve"> XE "</w:instrText>
      </w:r>
      <w:r w:rsidRPr="005972C3">
        <w:instrText>Paternalismus</w:instrText>
      </w:r>
      <w:r>
        <w:instrText xml:space="preserve">" </w:instrText>
      </w:r>
      <w:r w:rsidR="00363C1C">
        <w:fldChar w:fldCharType="end"/>
      </w:r>
      <w:r>
        <w:t xml:space="preserve"> Grundhaltung der Missionare präzise wi</w:t>
      </w:r>
      <w:r>
        <w:t>e</w:t>
      </w:r>
      <w:r>
        <w:t>dergibt, die davon ausgehen, dass die Schwarzen den Weißen vertrauen müssten; sie hä</w:t>
      </w:r>
      <w:r>
        <w:t>t</w:t>
      </w:r>
      <w:r>
        <w:t>ten ja – so die selbstgefällige Grundannahme – nichts von ihnen zu befürchten, solange sie sich nichts zu Schulden kommen ließen. Bei allem guten Willen kann sich auch Spi</w:t>
      </w:r>
      <w:r>
        <w:t>e</w:t>
      </w:r>
      <w:r>
        <w:t>cker diesem Denken nicht entziehen, wenn er etwa über den misstrauischen Ovambohäuptling Nechale</w:t>
      </w:r>
      <w:r w:rsidR="00363C1C">
        <w:fldChar w:fldCharType="begin"/>
      </w:r>
      <w:r>
        <w:instrText xml:space="preserve"> XE "</w:instrText>
      </w:r>
      <w:r w:rsidRPr="0093172E">
        <w:instrText>Nechale, Häuptling</w:instrText>
      </w:r>
      <w:r>
        <w:instrText xml:space="preserve">" </w:instrText>
      </w:r>
      <w:r w:rsidR="00363C1C">
        <w:fldChar w:fldCharType="end"/>
      </w:r>
      <w:r>
        <w:t xml:space="preserve"> schreibt: „Er befürchtet, die Missionsstation möchte einmal zum Stützpunkt eines feindlichen Angriffes dienen. Offenbar hat er kein gutes Gewi</w:t>
      </w:r>
      <w:r>
        <w:t>s</w:t>
      </w:r>
      <w:r>
        <w:t xml:space="preserve">sen“ (1213) (vgl. Abschnitt </w:t>
      </w:r>
      <w:r w:rsidR="00363C1C">
        <w:fldChar w:fldCharType="begin"/>
      </w:r>
      <w:r>
        <w:instrText xml:space="preserve"> REF _Ref325357221 \r \h </w:instrText>
      </w:r>
      <w:r w:rsidR="00363C1C">
        <w:fldChar w:fldCharType="separate"/>
      </w:r>
      <w:r w:rsidR="00216538">
        <w:t>2.4.4</w:t>
      </w:r>
      <w:r w:rsidR="00363C1C">
        <w:fldChar w:fldCharType="end"/>
      </w:r>
      <w:r>
        <w:t xml:space="preserve"> „Friedensvermittlung“).</w:t>
      </w:r>
    </w:p>
  </w:footnote>
  <w:footnote w:id="153">
    <w:p w:rsidR="005A5F2B" w:rsidRDefault="005A5F2B" w:rsidP="00CF6655">
      <w:pPr>
        <w:pStyle w:val="Funotentext"/>
      </w:pPr>
      <w:r>
        <w:rPr>
          <w:rStyle w:val="Funotenzeichen"/>
        </w:rPr>
        <w:footnoteRef/>
      </w:r>
      <w:r>
        <w:t xml:space="preserve"> </w:t>
      </w:r>
      <w:r>
        <w:tab/>
        <w:t>Luther 1523.</w:t>
      </w:r>
    </w:p>
  </w:footnote>
  <w:footnote w:id="154">
    <w:p w:rsidR="005A5F2B" w:rsidRDefault="005A5F2B" w:rsidP="00CF6655">
      <w:pPr>
        <w:pStyle w:val="Funotentext"/>
      </w:pPr>
      <w:r>
        <w:rPr>
          <w:rStyle w:val="Funotenzeichen"/>
        </w:rPr>
        <w:footnoteRef/>
      </w:r>
      <w:r>
        <w:t xml:space="preserve"> </w:t>
      </w:r>
      <w:r>
        <w:tab/>
        <w:t>Panzergrau 1998: 45; zum Schlüsseltext „Von weltlicher Obrigkeit“ vgl. ebd.: 47, Fußn</w:t>
      </w:r>
      <w:r>
        <w:t>o</w:t>
      </w:r>
      <w:r>
        <w:t>te 1.</w:t>
      </w:r>
    </w:p>
  </w:footnote>
  <w:footnote w:id="155">
    <w:p w:rsidR="005A5F2B" w:rsidRDefault="005A5F2B" w:rsidP="00CF6655">
      <w:pPr>
        <w:pStyle w:val="Funotentext"/>
      </w:pPr>
      <w:r>
        <w:rPr>
          <w:rStyle w:val="Funotenzeichen"/>
        </w:rPr>
        <w:footnoteRef/>
      </w:r>
      <w:r>
        <w:t xml:space="preserve"> </w:t>
      </w:r>
      <w:r>
        <w:tab/>
        <w:t>Nr. 3, 15.2.1853, S. 39. Zitiert nach Panzergrau 1998: 49.</w:t>
      </w:r>
    </w:p>
  </w:footnote>
  <w:footnote w:id="156">
    <w:p w:rsidR="005A5F2B" w:rsidRDefault="005A5F2B" w:rsidP="00CF6655">
      <w:pPr>
        <w:pStyle w:val="Funotentext"/>
      </w:pPr>
      <w:r>
        <w:rPr>
          <w:rStyle w:val="Funotenzeichen"/>
        </w:rPr>
        <w:footnoteRef/>
      </w:r>
      <w:r>
        <w:tab/>
        <w:t>Rust</w:t>
      </w:r>
      <w:r w:rsidR="00363C1C">
        <w:fldChar w:fldCharType="begin"/>
      </w:r>
      <w:r>
        <w:instrText xml:space="preserve"> XE "</w:instrText>
      </w:r>
      <w:r w:rsidRPr="0020537D">
        <w:instrText>Rust, Conrad</w:instrText>
      </w:r>
      <w:r>
        <w:instrText xml:space="preserve">" </w:instrText>
      </w:r>
      <w:r w:rsidR="00363C1C">
        <w:fldChar w:fldCharType="end"/>
      </w:r>
      <w:r>
        <w:t>, Conrad: Krieg und Frieden im Hererolande. Aufzeichnungen aus dem Kriegsjahre 1904. Leipzig 1905.</w:t>
      </w:r>
    </w:p>
  </w:footnote>
  <w:footnote w:id="157">
    <w:p w:rsidR="005A5F2B" w:rsidRDefault="005A5F2B" w:rsidP="00CF6655">
      <w:pPr>
        <w:pStyle w:val="Funotentext"/>
      </w:pPr>
      <w:r>
        <w:rPr>
          <w:rStyle w:val="Funotenzeichen"/>
        </w:rPr>
        <w:footnoteRef/>
      </w:r>
      <w:r>
        <w:t xml:space="preserve"> </w:t>
      </w:r>
      <w:r>
        <w:tab/>
        <w:t>Gründer 1982: 122f.</w:t>
      </w:r>
    </w:p>
  </w:footnote>
  <w:footnote w:id="158">
    <w:p w:rsidR="005A5F2B" w:rsidRDefault="005A5F2B" w:rsidP="00CF6655">
      <w:pPr>
        <w:pStyle w:val="Funotentext"/>
      </w:pPr>
      <w:r>
        <w:rPr>
          <w:rStyle w:val="Funotenzeichen"/>
        </w:rPr>
        <w:footnoteRef/>
      </w:r>
      <w:r>
        <w:tab/>
        <w:t>Beispielsweise in Windhuk</w:t>
      </w:r>
      <w:r w:rsidR="00363C1C">
        <w:fldChar w:fldCharType="begin"/>
      </w:r>
      <w:r>
        <w:instrText xml:space="preserve"> XE "</w:instrText>
      </w:r>
      <w:r w:rsidRPr="001870D2">
        <w:instrText>Windhuk</w:instrText>
      </w:r>
      <w:r>
        <w:instrText xml:space="preserve">" </w:instrText>
      </w:r>
      <w:r w:rsidR="00363C1C">
        <w:fldChar w:fldCharType="end"/>
      </w:r>
      <w:r>
        <w:t>: „Von der Kirche aus gingen wir zum Kraal</w:t>
      </w:r>
      <w:r w:rsidR="00363C1C">
        <w:fldChar w:fldCharType="begin"/>
      </w:r>
      <w:r>
        <w:instrText xml:space="preserve"> XE "</w:instrText>
      </w:r>
      <w:r w:rsidRPr="009D6C22">
        <w:instrText>Kraal</w:instrText>
      </w:r>
      <w:r>
        <w:instrText xml:space="preserve">" </w:instrText>
      </w:r>
      <w:r w:rsidR="00363C1C">
        <w:fldChar w:fldCharType="end"/>
      </w:r>
      <w:r>
        <w:t xml:space="preserve"> der Eingeborenen […] und besuchten vor allem den eingeborenen Gehilfen Franz, der in einem großen schönen Pontok</w:t>
      </w:r>
      <w:r w:rsidR="00363C1C">
        <w:fldChar w:fldCharType="begin"/>
      </w:r>
      <w:r>
        <w:instrText xml:space="preserve"> XE "Pontok" </w:instrText>
      </w:r>
      <w:r w:rsidR="00363C1C">
        <w:fldChar w:fldCharType="end"/>
      </w:r>
      <w:r>
        <w:t xml:space="preserve"> wohnt, in dem es ganz gemütlich war. Sogar ein Harmonium befand sich in demselben. […] Er und sehr viele andere müssen ihre Wohnung abbrechen und a</w:t>
      </w:r>
      <w:r>
        <w:t>n</w:t>
      </w:r>
      <w:r>
        <w:t>derswo wieder aufrichten, weil dieser Platz andere Verwendung findet. Nach Rechten der Eingeborenen fragt man nicht. Sie haben den Weißen zu dienen und müssen ihnen we</w:t>
      </w:r>
      <w:r>
        <w:t>i</w:t>
      </w:r>
      <w:r>
        <w:t>chen, wenn sie ihnen im Wege sind.“ (535f)</w:t>
      </w:r>
    </w:p>
  </w:footnote>
  <w:footnote w:id="159">
    <w:p w:rsidR="005A5F2B" w:rsidRDefault="005A5F2B">
      <w:pPr>
        <w:pStyle w:val="Funotentext"/>
      </w:pPr>
      <w:r>
        <w:rPr>
          <w:rStyle w:val="Funotenzeichen"/>
        </w:rPr>
        <w:footnoteRef/>
      </w:r>
      <w:r>
        <w:t xml:space="preserve"> </w:t>
      </w:r>
      <w:r>
        <w:tab/>
        <w:t>Spiecker schreibt „die Brüder scheuen ihn sehr und haben wohl Ursache, ihn für einen Gegner der Mission zu halten“ (790), wobei sich dies offenbar auf Regierungsrat Tecklenburg</w:t>
      </w:r>
      <w:r w:rsidRPr="00AC6127">
        <w:t xml:space="preserve"> </w:t>
      </w:r>
      <w:r>
        <w:t>bezieht</w:t>
      </w:r>
      <w:r w:rsidR="00363C1C">
        <w:fldChar w:fldCharType="begin"/>
      </w:r>
      <w:r>
        <w:instrText xml:space="preserve"> XE "</w:instrText>
      </w:r>
      <w:r w:rsidRPr="00B05D96">
        <w:instrText>Tecklenburg, Regierungsrat</w:instrText>
      </w:r>
      <w:r>
        <w:instrText xml:space="preserve">" </w:instrText>
      </w:r>
      <w:r w:rsidR="00363C1C">
        <w:fldChar w:fldCharType="end"/>
      </w:r>
      <w:r>
        <w:t>, den stellvertretenden Gouverneur, der auch an der Besprechung teilnimmt.</w:t>
      </w:r>
    </w:p>
  </w:footnote>
  <w:footnote w:id="160">
    <w:p w:rsidR="005A5F2B" w:rsidRDefault="005A5F2B" w:rsidP="00CF6655">
      <w:pPr>
        <w:pStyle w:val="Funotentext"/>
      </w:pPr>
      <w:r>
        <w:rPr>
          <w:rStyle w:val="Funotenzeichen"/>
        </w:rPr>
        <w:footnoteRef/>
      </w:r>
      <w:r>
        <w:tab/>
        <w:t>Seeberg 1902.</w:t>
      </w:r>
    </w:p>
  </w:footnote>
  <w:footnote w:id="161">
    <w:p w:rsidR="005A5F2B" w:rsidRDefault="005A5F2B" w:rsidP="00CF6655">
      <w:pPr>
        <w:pStyle w:val="Funotentext"/>
      </w:pPr>
      <w:r>
        <w:rPr>
          <w:rStyle w:val="Funotenzeichen"/>
        </w:rPr>
        <w:footnoteRef/>
      </w:r>
      <w:r>
        <w:t xml:space="preserve"> </w:t>
      </w:r>
      <w:r>
        <w:tab/>
        <w:t>Jura 2002: 44. Spiecker selbst gefällt die streng lutherische Form des Gottesdiensts sehr gut (1068).</w:t>
      </w:r>
    </w:p>
  </w:footnote>
  <w:footnote w:id="162">
    <w:p w:rsidR="005A5F2B" w:rsidRDefault="005A5F2B" w:rsidP="00CF6655">
      <w:pPr>
        <w:pStyle w:val="Funotentext"/>
      </w:pPr>
      <w:r>
        <w:rPr>
          <w:rStyle w:val="Funotenzeichen"/>
        </w:rPr>
        <w:footnoteRef/>
      </w:r>
      <w:r>
        <w:t xml:space="preserve"> </w:t>
      </w:r>
      <w:r>
        <w:tab/>
        <w:t xml:space="preserve">Ein Topos, der sich so oder ähnlich an zahlreichen Stellen nachweisen ließe. Das Beispiel entstammt: Achim von Arnim (1983), </w:t>
      </w:r>
      <w:r w:rsidRPr="00ED7631">
        <w:rPr>
          <w:i/>
        </w:rPr>
        <w:t>Die Kronenwächter</w:t>
      </w:r>
      <w:r>
        <w:t>. Stuttgart: Reclam: 12. Hier bezieht sich der Ausdruck auf „den Türken“, der aber als Synekdoche zugleich meist auch für den Islam</w:t>
      </w:r>
      <w:r w:rsidR="00363C1C">
        <w:fldChar w:fldCharType="begin"/>
      </w:r>
      <w:r>
        <w:instrText xml:space="preserve"> XE "</w:instrText>
      </w:r>
      <w:r w:rsidRPr="007640CA">
        <w:instrText>Islam</w:instrText>
      </w:r>
      <w:r>
        <w:instrText xml:space="preserve">" </w:instrText>
      </w:r>
      <w:r w:rsidR="00363C1C">
        <w:fldChar w:fldCharType="end"/>
      </w:r>
      <w:r>
        <w:t xml:space="preserve"> genommen wird.</w:t>
      </w:r>
    </w:p>
  </w:footnote>
  <w:footnote w:id="163">
    <w:p w:rsidR="005A5F2B" w:rsidRDefault="005A5F2B" w:rsidP="00CF6655">
      <w:pPr>
        <w:pStyle w:val="Funotentext"/>
      </w:pPr>
      <w:r>
        <w:rPr>
          <w:rStyle w:val="Funotenzeichen"/>
        </w:rPr>
        <w:footnoteRef/>
      </w:r>
      <w:r>
        <w:t xml:space="preserve"> </w:t>
      </w:r>
      <w:r>
        <w:tab/>
        <w:t>Gründer 1982: 86f.</w:t>
      </w:r>
    </w:p>
  </w:footnote>
  <w:footnote w:id="164">
    <w:p w:rsidR="005A5F2B" w:rsidRDefault="005A5F2B" w:rsidP="00CF6655">
      <w:pPr>
        <w:pStyle w:val="Funotentext"/>
      </w:pPr>
      <w:r>
        <w:rPr>
          <w:rStyle w:val="Funotenzeichen"/>
        </w:rPr>
        <w:footnoteRef/>
      </w:r>
      <w:r>
        <w:t xml:space="preserve"> </w:t>
      </w:r>
      <w:r>
        <w:tab/>
        <w:t>ebd.: 47f.</w:t>
      </w:r>
    </w:p>
  </w:footnote>
  <w:footnote w:id="165">
    <w:p w:rsidR="005A5F2B" w:rsidRDefault="005A5F2B" w:rsidP="00CF6655">
      <w:pPr>
        <w:pStyle w:val="Funotentext"/>
      </w:pPr>
      <w:r>
        <w:rPr>
          <w:rStyle w:val="Funotenzeichen"/>
        </w:rPr>
        <w:footnoteRef/>
      </w:r>
      <w:r>
        <w:t xml:space="preserve"> </w:t>
      </w:r>
      <w:r>
        <w:tab/>
        <w:t>ebd.: 51.</w:t>
      </w:r>
    </w:p>
  </w:footnote>
  <w:footnote w:id="166">
    <w:p w:rsidR="005A5F2B" w:rsidRDefault="005A5F2B" w:rsidP="00CF6655">
      <w:pPr>
        <w:pStyle w:val="Funotentext"/>
      </w:pPr>
      <w:r>
        <w:rPr>
          <w:rStyle w:val="Funotenzeichen"/>
        </w:rPr>
        <w:footnoteRef/>
      </w:r>
      <w:r>
        <w:t xml:space="preserve"> </w:t>
      </w:r>
      <w:r>
        <w:tab/>
        <w:t>ebd.: 46-60.</w:t>
      </w:r>
    </w:p>
  </w:footnote>
  <w:footnote w:id="167">
    <w:p w:rsidR="005A5F2B" w:rsidRDefault="005A5F2B" w:rsidP="00CF6655">
      <w:pPr>
        <w:pStyle w:val="Funotentext"/>
      </w:pPr>
      <w:r>
        <w:rPr>
          <w:rStyle w:val="Funotenzeichen"/>
        </w:rPr>
        <w:footnoteRef/>
      </w:r>
      <w:r>
        <w:t xml:space="preserve"> </w:t>
      </w:r>
      <w:r>
        <w:tab/>
        <w:t>ebd.: 133.</w:t>
      </w:r>
    </w:p>
  </w:footnote>
  <w:footnote w:id="168">
    <w:p w:rsidR="005A5F2B" w:rsidRDefault="005A5F2B" w:rsidP="00CF6655">
      <w:pPr>
        <w:pStyle w:val="Funotentext"/>
      </w:pPr>
      <w:r>
        <w:rPr>
          <w:rStyle w:val="Funotenzeichen"/>
        </w:rPr>
        <w:footnoteRef/>
      </w:r>
      <w:r>
        <w:t xml:space="preserve"> </w:t>
      </w:r>
      <w:r>
        <w:tab/>
        <w:t>Nachtwey trat tatsächlich in Deutschland als ‚Scharfmacher‘ gegen die RMG auf, bei e</w:t>
      </w:r>
      <w:r>
        <w:t>i</w:t>
      </w:r>
      <w:r>
        <w:t>nem seiner Vorträge kam es sogar zu Handgreiflichkeiten; vgl. Engel 1976: 56f.</w:t>
      </w:r>
    </w:p>
  </w:footnote>
  <w:footnote w:id="169">
    <w:p w:rsidR="005A5F2B" w:rsidRDefault="005A5F2B" w:rsidP="00CF6655">
      <w:pPr>
        <w:pStyle w:val="Funotentext"/>
      </w:pPr>
      <w:r>
        <w:rPr>
          <w:rStyle w:val="Funotenzeichen"/>
        </w:rPr>
        <w:footnoteRef/>
      </w:r>
      <w:r>
        <w:tab/>
        <w:t>Man beachte die sexuelle Anspielung, deren sich Spiecker nicht enthalten kann. Sicherlich hat er Ziegenfuß</w:t>
      </w:r>
      <w:r w:rsidR="00363C1C">
        <w:fldChar w:fldCharType="begin"/>
      </w:r>
      <w:r>
        <w:instrText xml:space="preserve"> XE "</w:instrText>
      </w:r>
      <w:r w:rsidRPr="00725C2D">
        <w:instrText>Ziegenfuß, Pater</w:instrText>
      </w:r>
      <w:r>
        <w:instrText xml:space="preserve">" </w:instrText>
      </w:r>
      <w:r w:rsidR="00363C1C">
        <w:fldChar w:fldCharType="end"/>
      </w:r>
      <w:r>
        <w:t xml:space="preserve"> „auf dem Bett“ vorgefunden, wie er fast beiläufig erwähnt; doch er e</w:t>
      </w:r>
      <w:r>
        <w:t>r</w:t>
      </w:r>
      <w:r>
        <w:t>gänzt die Darstellung mit dem Wort „fraternisieren“, das zwar ursprünglich auf die Ve</w:t>
      </w:r>
      <w:r>
        <w:t>r</w:t>
      </w:r>
      <w:r>
        <w:t>brüderung mit einem anderen Volk bezogen war, aber häufig spezieller für die sexuelle Annäherung zwischen den Besatzern eines Landes und der weiblichen Bevölkerung g</w:t>
      </w:r>
      <w:r>
        <w:t>e</w:t>
      </w:r>
      <w:r>
        <w:t>braucht wurde. Wenn Spiecker es hier benutzt, will er wohl weniger die konkrete Situat</w:t>
      </w:r>
      <w:r>
        <w:t>i</w:t>
      </w:r>
      <w:r>
        <w:t>on als verfänglich darstellen als allgemein auf die Zweifelhaftigkeit des katholischen Zöl</w:t>
      </w:r>
      <w:r>
        <w:t>i</w:t>
      </w:r>
      <w:r>
        <w:t>bats anspielen. Er unterstellt dem Pater nicht, etwas mit den Soldaten zu haben, aber er stellt sein Interesse für diese als anrüchig dar. Auch in sexueller Hinsicht fühlten sich die Protestanten mit ihrer „gesunden“ Einstellung überlegen, die schon Luther („Zweimal die Woche schadet weder ihm noch ihr“) für sich in Anspruch nahm. Man hielt sich für l</w:t>
      </w:r>
      <w:r>
        <w:t>e</w:t>
      </w:r>
      <w:r>
        <w:t>bensnäher, praktischer, einfach normaler, empfand die katholische Haltung des Verzichts als unehrlich und war jederzeit bereit, etwas Zweideutiges dahinter zu vermuten. Der gerne zur Schau getragene Stolz auf die Familie, der auch bei Spiecker am Anfang des T</w:t>
      </w:r>
      <w:r>
        <w:t>a</w:t>
      </w:r>
      <w:r>
        <w:t>gebuchs deutlich wird, kann in diesem Kontext interpretiert werden: So ehrlich er em</w:t>
      </w:r>
      <w:r>
        <w:t>p</w:t>
      </w:r>
      <w:r>
        <w:t>funden war, diente er doch nebenbei auch noch zur Abgrenzung gegen die ungeliebten Katholiken</w:t>
      </w:r>
      <w:r w:rsidR="00363C1C">
        <w:fldChar w:fldCharType="begin"/>
      </w:r>
      <w:r>
        <w:instrText xml:space="preserve"> XE "</w:instrText>
      </w:r>
      <w:r w:rsidRPr="00530F3A">
        <w:instrText>Katholiken</w:instrText>
      </w:r>
      <w:r>
        <w:instrText xml:space="preserve">" </w:instrText>
      </w:r>
      <w:r w:rsidR="00363C1C">
        <w:fldChar w:fldCharType="end"/>
      </w:r>
      <w:r>
        <w:t>. Gottesliebe als Surrogat für allzu irdische Bedürfnisse, das wollte man nicht; und wer acht Kinder hatte, dem konnte wohl keiner etwas nachsagen!</w:t>
      </w:r>
    </w:p>
  </w:footnote>
  <w:footnote w:id="170">
    <w:p w:rsidR="005A5F2B" w:rsidRDefault="005A5F2B" w:rsidP="00CF6655">
      <w:pPr>
        <w:pStyle w:val="Funotentext"/>
      </w:pPr>
      <w:r>
        <w:rPr>
          <w:rStyle w:val="Funotenzeichen"/>
        </w:rPr>
        <w:footnoteRef/>
      </w:r>
      <w:r>
        <w:tab/>
        <w:t>Gründer schreibt dazu: „Bereits bei dem ‚Kampf‘ um die Betreuung der inhaftierten oder gesammelten Aufständischen, bei der [sic] es zu beschämenden Streitigkeiten zwischen den Konfessionen kam, hatten die Katholiken</w:t>
      </w:r>
      <w:r w:rsidR="00363C1C">
        <w:fldChar w:fldCharType="begin"/>
      </w:r>
      <w:r>
        <w:instrText xml:space="preserve"> XE "</w:instrText>
      </w:r>
      <w:r w:rsidRPr="00530F3A">
        <w:instrText>Katholiken</w:instrText>
      </w:r>
      <w:r>
        <w:instrText xml:space="preserve">" </w:instrText>
      </w:r>
      <w:r w:rsidR="00363C1C">
        <w:fldChar w:fldCharType="end"/>
      </w:r>
      <w:r>
        <w:t xml:space="preserve"> durchgesetzt, daß ihnen die Hälfte aller Gefangenen zugeteilt wurde.“ (Gründer 1982: 133)</w:t>
      </w:r>
    </w:p>
  </w:footnote>
  <w:footnote w:id="171">
    <w:p w:rsidR="005A5F2B" w:rsidRDefault="005A5F2B" w:rsidP="00CF6655">
      <w:pPr>
        <w:pStyle w:val="Funotentext"/>
      </w:pPr>
      <w:r>
        <w:rPr>
          <w:rStyle w:val="Funotenzeichen"/>
        </w:rPr>
        <w:footnoteRef/>
      </w:r>
      <w:r>
        <w:tab/>
        <w:t>Hier steht im Typoskript „Major Moereke“. Es handelt sich jedoch nach Auskunft von Liselotte Langen</w:t>
      </w:r>
      <w:r w:rsidR="00363C1C">
        <w:fldChar w:fldCharType="begin"/>
      </w:r>
      <w:r>
        <w:instrText xml:space="preserve"> XE "</w:instrText>
      </w:r>
      <w:r w:rsidRPr="00872AFE">
        <w:instrText>Langen, Liselotte</w:instrText>
      </w:r>
      <w:r>
        <w:instrText xml:space="preserve">" </w:instrText>
      </w:r>
      <w:r w:rsidR="00363C1C">
        <w:fldChar w:fldCharType="end"/>
      </w:r>
      <w:r>
        <w:t xml:space="preserve"> um einen Lesefehler vom Manuskript, in dem „Major Maerker</w:t>
      </w:r>
      <w:r w:rsidR="00363C1C">
        <w:fldChar w:fldCharType="begin"/>
      </w:r>
      <w:r>
        <w:instrText xml:space="preserve"> XE "</w:instrText>
      </w:r>
      <w:r w:rsidRPr="00F56E20">
        <w:instrText>Märker, Major (Windhuk)</w:instrText>
      </w:r>
      <w:r>
        <w:instrText xml:space="preserve">" </w:instrText>
      </w:r>
      <w:r w:rsidR="00363C1C">
        <w:fldChar w:fldCharType="end"/>
      </w:r>
      <w:r>
        <w:t>“ steht.</w:t>
      </w:r>
    </w:p>
  </w:footnote>
  <w:footnote w:id="172">
    <w:p w:rsidR="005A5F2B" w:rsidRDefault="005A5F2B" w:rsidP="00CF6655">
      <w:pPr>
        <w:pStyle w:val="Funotentext"/>
      </w:pPr>
      <w:r>
        <w:rPr>
          <w:rStyle w:val="Funotenzeichen"/>
        </w:rPr>
        <w:footnoteRef/>
      </w:r>
      <w:r>
        <w:tab/>
        <w:t>Br. Eich</w:t>
      </w:r>
      <w:r w:rsidR="00363C1C">
        <w:fldChar w:fldCharType="begin"/>
      </w:r>
      <w:r>
        <w:instrText xml:space="preserve"> XE "</w:instrText>
      </w:r>
      <w:r w:rsidRPr="00EF1255">
        <w:instrText>Eich (Präses der RMG in der Kapprovinz)</w:instrText>
      </w:r>
      <w:r>
        <w:instrText xml:space="preserve">" </w:instrText>
      </w:r>
      <w:r w:rsidR="00363C1C">
        <w:fldChar w:fldCharType="end"/>
      </w:r>
      <w:r>
        <w:t xml:space="preserve"> vertritt später auch diese Ansicht, kann Spiecker aber nicht vollständig überze</w:t>
      </w:r>
      <w:r>
        <w:t>u</w:t>
      </w:r>
      <w:r>
        <w:t>gen (1362).</w:t>
      </w:r>
    </w:p>
  </w:footnote>
  <w:footnote w:id="173">
    <w:p w:rsidR="005A5F2B" w:rsidRDefault="005A5F2B" w:rsidP="00CF6655">
      <w:pPr>
        <w:pStyle w:val="Funotentext"/>
      </w:pPr>
      <w:r>
        <w:rPr>
          <w:rStyle w:val="Funotenzeichen"/>
        </w:rPr>
        <w:footnoteRef/>
      </w:r>
      <w:r>
        <w:t xml:space="preserve"> </w:t>
      </w:r>
      <w:r>
        <w:tab/>
        <w:t>Hintergrund dieser Haltung dürften auch Konflikte in anderen deutschen Schutzgebieten gewesen sein. So war man mit Sicherheit über die Vorgänge in Kamerun</w:t>
      </w:r>
      <w:r w:rsidR="00363C1C">
        <w:fldChar w:fldCharType="begin"/>
      </w:r>
      <w:r>
        <w:instrText xml:space="preserve"> XE "</w:instrText>
      </w:r>
      <w:r w:rsidRPr="005026A8">
        <w:instrText>Kamerun</w:instrText>
      </w:r>
      <w:r>
        <w:instrText xml:space="preserve">" </w:instrText>
      </w:r>
      <w:r w:rsidR="00363C1C">
        <w:fldChar w:fldCharType="end"/>
      </w:r>
      <w:r>
        <w:t xml:space="preserve"> im Bilde, wo die Basler Mission</w:t>
      </w:r>
      <w:r w:rsidR="00363C1C">
        <w:fldChar w:fldCharType="begin"/>
      </w:r>
      <w:r>
        <w:instrText xml:space="preserve"> XE "</w:instrText>
      </w:r>
      <w:r w:rsidRPr="005D3AA8">
        <w:instrText>Basler Mission</w:instrText>
      </w:r>
      <w:r>
        <w:instrText xml:space="preserve">" </w:instrText>
      </w:r>
      <w:r w:rsidR="00363C1C">
        <w:fldChar w:fldCharType="end"/>
      </w:r>
      <w:r>
        <w:t xml:space="preserve"> zusammen mit den Eingeborenen gegen das rücksichtslose „System Put</w:t>
      </w:r>
      <w:r>
        <w:t>t</w:t>
      </w:r>
      <w:r>
        <w:t>kamer</w:t>
      </w:r>
      <w:r w:rsidR="00363C1C">
        <w:fldChar w:fldCharType="begin"/>
      </w:r>
      <w:r>
        <w:instrText xml:space="preserve"> XE "</w:instrText>
      </w:r>
      <w:r w:rsidRPr="008127F3">
        <w:instrText>System Puttkamer</w:instrText>
      </w:r>
      <w:r>
        <w:instrText xml:space="preserve"> (Kamerun)" </w:instrText>
      </w:r>
      <w:r w:rsidR="00363C1C">
        <w:fldChar w:fldCharType="end"/>
      </w:r>
      <w:r>
        <w:t>“ gekämpft hatte, das nur die Interessen der Großgrundbesitzer verfolgte und d</w:t>
      </w:r>
      <w:r>
        <w:t>e</w:t>
      </w:r>
      <w:r>
        <w:t>ren Plantagen durch Zwangsumsiedlungen vergrößerte, wobei den Eingeborenen oft u</w:t>
      </w:r>
      <w:r>
        <w:t>n</w:t>
      </w:r>
      <w:r>
        <w:t>brauchbares Land zugewiesen wurde. Horst Gründer urteilt: „Tatsächlich fällt gegenüber der engagierten Parteinahme der Basler Mission für die rechtlosen Schwarzen am Kam</w:t>
      </w:r>
      <w:r>
        <w:t>e</w:t>
      </w:r>
      <w:r>
        <w:t>runberg die Enthaltung jeder Stellungnahme zu dieser Auseinandersetzung von kathol</w:t>
      </w:r>
      <w:r>
        <w:t>i</w:t>
      </w:r>
      <w:r>
        <w:t>scher Seite auf. Man hat den Pallottinern</w:t>
      </w:r>
      <w:r w:rsidR="00363C1C">
        <w:fldChar w:fldCharType="begin"/>
      </w:r>
      <w:r>
        <w:instrText xml:space="preserve"> XE "</w:instrText>
      </w:r>
      <w:r w:rsidRPr="00387816">
        <w:instrText>Pallottiner (Kamerun)</w:instrText>
      </w:r>
      <w:r>
        <w:instrText xml:space="preserve">" </w:instrText>
      </w:r>
      <w:r w:rsidR="00363C1C">
        <w:fldChar w:fldCharType="end"/>
      </w:r>
      <w:r>
        <w:t xml:space="preserve"> deshalb entweder ein unreflektiert-angepaßtes Verhältnis zur deutschen Kolonialverwaltung vorgeworfen (R. Kaeselitz) oder dahinter eine vom Eigeninteresse diktierte taktische Anpassung gesehen (K. Hausen). Beide Vo</w:t>
      </w:r>
      <w:r>
        <w:t>r</w:t>
      </w:r>
      <w:r>
        <w:t>würfe sind nicht ohne weiteres von der Hand zu weisen“ (Gründer 1982: 153; vgl. auch Gründer 1986). Spiecker, der vor Kritik auch gegenüber hochgestellten Kolonialbeamten nicht zurückschreckt (vgl. 6.1.1 und 6.1.2) und dabei oft als Anwalt der Eingeborenen auftritt, war diese Haltung sicher unverständlich.</w:t>
      </w:r>
    </w:p>
    <w:p w:rsidR="005A5F2B" w:rsidRDefault="005A5F2B" w:rsidP="00CF6655">
      <w:pPr>
        <w:pStyle w:val="Funotentext"/>
      </w:pPr>
      <w:r>
        <w:tab/>
        <w:t>Ein anderes Beispiel liefert der Skandal um den Kanzler Leist, der außerordentlich brutal gegen eine Gruppe von Dahomey vorgegangen war, die vom eigenen König als Sklaven an die Kameruner Regierung verkauft worden waren und von dieser faktisch auch als solche behandelt wurden, indem man ihnen jeden Lohn vorenthielt. Dieser Skandal löste selbst in der deutschen Öffentlichkeit Empörung aus, die Pallottiner</w:t>
      </w:r>
      <w:r w:rsidR="00363C1C">
        <w:fldChar w:fldCharType="begin"/>
      </w:r>
      <w:r>
        <w:instrText xml:space="preserve"> XE "</w:instrText>
      </w:r>
      <w:r w:rsidRPr="00B84F32">
        <w:instrText>Pallottiner (Kamerun)</w:instrText>
      </w:r>
      <w:r>
        <w:instrText xml:space="preserve">" </w:instrText>
      </w:r>
      <w:r w:rsidR="00363C1C">
        <w:fldChar w:fldCharType="end"/>
      </w:r>
      <w:r>
        <w:t xml:space="preserve"> stellten sich dagegen auf die Seite von Leist, der sie zuvor in Interessenskonflikten mit der protestantischen Miss</w:t>
      </w:r>
      <w:r>
        <w:t>i</w:t>
      </w:r>
      <w:r>
        <w:t>on unterstützt hatte (Gründer 1982: 155). Hier kommt zu der aus protestantischer Sicht „feigen“ (weil realpolitischen statt nur dem eigenen Gewissen vor Gott verpflichteten) Haltung noch der direkte Konfessionskonflikt hinzu.</w:t>
      </w:r>
    </w:p>
  </w:footnote>
  <w:footnote w:id="174">
    <w:p w:rsidR="005A5F2B" w:rsidRDefault="005A5F2B" w:rsidP="00CF6655">
      <w:pPr>
        <w:pStyle w:val="Funotentext"/>
      </w:pPr>
      <w:r>
        <w:rPr>
          <w:rStyle w:val="Funotenzeichen"/>
        </w:rPr>
        <w:footnoteRef/>
      </w:r>
      <w:r>
        <w:t xml:space="preserve"> </w:t>
      </w:r>
      <w:r>
        <w:tab/>
        <w:t>Eine fundierte Untersuchung zum Verhältnis zwischen Mission und Kolonialstaat in Südwestafrika während der deutschen Kolonialherrschaft bietet Oermann 1999. Aktuelle Arbeiten zum Thema Mission und politische Macht finden sich beispielsweise in van der Heyden 2005. Aufsätze zum Thema Mission und Kolonialismus</w:t>
      </w:r>
      <w:r w:rsidR="00363C1C">
        <w:fldChar w:fldCharType="begin"/>
      </w:r>
      <w:r>
        <w:instrText xml:space="preserve"> XE "</w:instrText>
      </w:r>
      <w:r w:rsidRPr="00603729">
        <w:instrText>Kolonialismus</w:instrText>
      </w:r>
      <w:r>
        <w:instrText xml:space="preserve">" </w:instrText>
      </w:r>
      <w:r w:rsidR="00363C1C">
        <w:fldChar w:fldCharType="end"/>
      </w:r>
      <w:r>
        <w:t xml:space="preserve"> von Horst Gründer ve</w:t>
      </w:r>
      <w:r>
        <w:t>r</w:t>
      </w:r>
      <w:r>
        <w:t>eint Gründer 2004.</w:t>
      </w:r>
    </w:p>
  </w:footnote>
  <w:footnote w:id="175">
    <w:p w:rsidR="005A5F2B" w:rsidRDefault="005A5F2B" w:rsidP="00CF6655">
      <w:pPr>
        <w:pStyle w:val="Funotentext"/>
      </w:pPr>
      <w:r>
        <w:rPr>
          <w:rStyle w:val="Funotenzeichen"/>
        </w:rPr>
        <w:footnoteRef/>
      </w:r>
      <w:r>
        <w:t xml:space="preserve"> </w:t>
      </w:r>
      <w:r>
        <w:tab/>
        <w:t>Gründer 1982: 114.</w:t>
      </w:r>
    </w:p>
  </w:footnote>
  <w:footnote w:id="176">
    <w:p w:rsidR="005A5F2B" w:rsidRDefault="005A5F2B" w:rsidP="00CF6655">
      <w:pPr>
        <w:pStyle w:val="Funotentext"/>
      </w:pPr>
      <w:r>
        <w:rPr>
          <w:rStyle w:val="Funotenzeichen"/>
        </w:rPr>
        <w:footnoteRef/>
      </w:r>
      <w:r>
        <w:t xml:space="preserve"> </w:t>
      </w:r>
      <w:r>
        <w:tab/>
        <w:t>ebd.: 117.</w:t>
      </w:r>
    </w:p>
  </w:footnote>
  <w:footnote w:id="177">
    <w:p w:rsidR="005A5F2B" w:rsidRDefault="005A5F2B" w:rsidP="00CF6655">
      <w:pPr>
        <w:pStyle w:val="Funotentext"/>
      </w:pPr>
      <w:r>
        <w:rPr>
          <w:rStyle w:val="Funotenzeichen"/>
        </w:rPr>
        <w:footnoteRef/>
      </w:r>
      <w:r>
        <w:t xml:space="preserve"> </w:t>
      </w:r>
      <w:r>
        <w:tab/>
        <w:t>ebd.: 116.</w:t>
      </w:r>
    </w:p>
  </w:footnote>
  <w:footnote w:id="178">
    <w:p w:rsidR="005A5F2B" w:rsidRDefault="005A5F2B" w:rsidP="00CF6655">
      <w:pPr>
        <w:pStyle w:val="Funotentext"/>
      </w:pPr>
      <w:r>
        <w:rPr>
          <w:rStyle w:val="Funotenzeichen"/>
        </w:rPr>
        <w:footnoteRef/>
      </w:r>
      <w:r>
        <w:t xml:space="preserve"> </w:t>
      </w:r>
      <w:r>
        <w:tab/>
        <w:t>ebd.: 120.</w:t>
      </w:r>
    </w:p>
  </w:footnote>
  <w:footnote w:id="179">
    <w:p w:rsidR="005A5F2B" w:rsidRDefault="005A5F2B" w:rsidP="00CF6655">
      <w:pPr>
        <w:pStyle w:val="Funotentext"/>
      </w:pPr>
      <w:r>
        <w:rPr>
          <w:rStyle w:val="Funotenzeichen"/>
        </w:rPr>
        <w:footnoteRef/>
      </w:r>
      <w:r>
        <w:t xml:space="preserve"> </w:t>
      </w:r>
      <w:r>
        <w:tab/>
        <w:t>Gründer 1984: 15.</w:t>
      </w:r>
    </w:p>
  </w:footnote>
  <w:footnote w:id="180">
    <w:p w:rsidR="005A5F2B" w:rsidRDefault="005A5F2B" w:rsidP="00CF6655">
      <w:pPr>
        <w:pStyle w:val="Funotentext"/>
      </w:pPr>
      <w:r>
        <w:rPr>
          <w:rStyle w:val="Funotenzeichen"/>
        </w:rPr>
        <w:footnoteRef/>
      </w:r>
      <w:r>
        <w:t xml:space="preserve"> </w:t>
      </w:r>
      <w:r>
        <w:tab/>
        <w:t>Gründer 2004: 209.</w:t>
      </w:r>
    </w:p>
  </w:footnote>
  <w:footnote w:id="181">
    <w:p w:rsidR="005A5F2B" w:rsidRDefault="005A5F2B" w:rsidP="00CF6655">
      <w:pPr>
        <w:pStyle w:val="Funotentext"/>
      </w:pPr>
      <w:r>
        <w:rPr>
          <w:rStyle w:val="Funotenzeichen"/>
        </w:rPr>
        <w:footnoteRef/>
      </w:r>
      <w:r>
        <w:t xml:space="preserve"> </w:t>
      </w:r>
      <w:r>
        <w:tab/>
        <w:t>ebd.: 212.</w:t>
      </w:r>
    </w:p>
  </w:footnote>
  <w:footnote w:id="182">
    <w:p w:rsidR="005A5F2B" w:rsidRDefault="005A5F2B" w:rsidP="00312C9C">
      <w:pPr>
        <w:pStyle w:val="Funotentext"/>
      </w:pPr>
      <w:r>
        <w:rPr>
          <w:rStyle w:val="Funotenzeichen"/>
        </w:rPr>
        <w:footnoteRef/>
      </w:r>
      <w:r>
        <w:t xml:space="preserve"> </w:t>
      </w:r>
      <w:r>
        <w:tab/>
        <w:t>ebd.: 217.</w:t>
      </w:r>
    </w:p>
  </w:footnote>
  <w:footnote w:id="183">
    <w:p w:rsidR="005A5F2B" w:rsidRDefault="005A5F2B" w:rsidP="00CF6655">
      <w:pPr>
        <w:pStyle w:val="Funotentext"/>
      </w:pPr>
      <w:r>
        <w:rPr>
          <w:rStyle w:val="Funotenzeichen"/>
        </w:rPr>
        <w:footnoteRef/>
      </w:r>
      <w:r>
        <w:t xml:space="preserve"> </w:t>
      </w:r>
      <w:r>
        <w:tab/>
        <w:t>ebd.: 217.</w:t>
      </w:r>
    </w:p>
  </w:footnote>
  <w:footnote w:id="184">
    <w:p w:rsidR="005A5F2B" w:rsidRDefault="005A5F2B" w:rsidP="00CF6655">
      <w:pPr>
        <w:pStyle w:val="Funotentext"/>
      </w:pPr>
      <w:r>
        <w:rPr>
          <w:rStyle w:val="Funotenzeichen"/>
        </w:rPr>
        <w:footnoteRef/>
      </w:r>
      <w:r>
        <w:t xml:space="preserve"> </w:t>
      </w:r>
      <w:r>
        <w:tab/>
        <w:t>Engel 1972: 38f.</w:t>
      </w:r>
    </w:p>
  </w:footnote>
  <w:footnote w:id="185">
    <w:p w:rsidR="005A5F2B" w:rsidRDefault="005A5F2B" w:rsidP="00CF6655">
      <w:pPr>
        <w:pStyle w:val="Funotentext"/>
      </w:pPr>
      <w:r>
        <w:rPr>
          <w:rStyle w:val="Funotenzeichen"/>
        </w:rPr>
        <w:footnoteRef/>
      </w:r>
      <w:r>
        <w:t xml:space="preserve"> </w:t>
      </w:r>
      <w:r>
        <w:tab/>
        <w:t>ebd.: 40.</w:t>
      </w:r>
    </w:p>
  </w:footnote>
  <w:footnote w:id="186">
    <w:p w:rsidR="005A5F2B" w:rsidRDefault="005A5F2B" w:rsidP="00CF6655">
      <w:pPr>
        <w:pStyle w:val="Funotentext"/>
      </w:pPr>
      <w:r>
        <w:rPr>
          <w:rStyle w:val="Funotenzeichen"/>
        </w:rPr>
        <w:footnoteRef/>
      </w:r>
      <w:r>
        <w:t xml:space="preserve"> </w:t>
      </w:r>
      <w:r>
        <w:tab/>
        <w:t>ebd. Tatsächlich wollte Hugo Hahn</w:t>
      </w:r>
      <w:r w:rsidR="00363C1C">
        <w:fldChar w:fldCharType="begin"/>
      </w:r>
      <w:r>
        <w:instrText xml:space="preserve"> XE "</w:instrText>
      </w:r>
      <w:r w:rsidRPr="0074295E">
        <w:instrText>Hahn, Hugo</w:instrText>
      </w:r>
      <w:r>
        <w:instrText xml:space="preserve">" </w:instrText>
      </w:r>
      <w:r w:rsidR="00363C1C">
        <w:fldChar w:fldCharType="end"/>
      </w:r>
      <w:r>
        <w:t xml:space="preserve"> bereits 1847 zu den Ovambo vordringen (Engel 1972: 41).</w:t>
      </w:r>
    </w:p>
  </w:footnote>
  <w:footnote w:id="187">
    <w:p w:rsidR="005A5F2B" w:rsidRDefault="005A5F2B" w:rsidP="00CF6655">
      <w:pPr>
        <w:pStyle w:val="Funotentext"/>
      </w:pPr>
      <w:r>
        <w:rPr>
          <w:rStyle w:val="Funotenzeichen"/>
        </w:rPr>
        <w:footnoteRef/>
      </w:r>
      <w:r>
        <w:t xml:space="preserve"> </w:t>
      </w:r>
      <w:r>
        <w:tab/>
        <w:t>Protokoll der Nama</w:t>
      </w:r>
      <w:r w:rsidR="00363C1C">
        <w:fldChar w:fldCharType="begin"/>
      </w:r>
      <w:r>
        <w:instrText xml:space="preserve"> XE "</w:instrText>
      </w:r>
      <w:r w:rsidRPr="001F563C">
        <w:instrText>Nama</w:instrText>
      </w:r>
      <w:r>
        <w:instrText xml:space="preserve">" </w:instrText>
      </w:r>
      <w:r w:rsidR="00363C1C">
        <w:fldChar w:fldCharType="end"/>
      </w:r>
      <w:r>
        <w:t>-Herero</w:t>
      </w:r>
      <w:r w:rsidR="00363C1C">
        <w:fldChar w:fldCharType="begin"/>
      </w:r>
      <w:r>
        <w:instrText xml:space="preserve"> XE "</w:instrText>
      </w:r>
      <w:r w:rsidRPr="00D91537">
        <w:instrText>Herero</w:instrText>
      </w:r>
      <w:r>
        <w:instrText xml:space="preserve">" </w:instrText>
      </w:r>
      <w:r w:rsidR="00363C1C">
        <w:fldChar w:fldCharType="end"/>
      </w:r>
      <w:r>
        <w:t>-Konferenz vom Mai 1859, § 9. Archiv der Rheinischen Mi</w:t>
      </w:r>
      <w:r>
        <w:t>s</w:t>
      </w:r>
      <w:r>
        <w:t>sionsgesellschaft: Konferenzen/Hereroland 1847–1877. Zitiert nach Engel 1972: 44.</w:t>
      </w:r>
    </w:p>
  </w:footnote>
  <w:footnote w:id="188">
    <w:p w:rsidR="005A5F2B" w:rsidRDefault="005A5F2B" w:rsidP="00CF6655">
      <w:pPr>
        <w:pStyle w:val="Funotentext"/>
      </w:pPr>
      <w:r>
        <w:rPr>
          <w:rStyle w:val="Funotenzeichen"/>
        </w:rPr>
        <w:footnoteRef/>
      </w:r>
      <w:r>
        <w:t xml:space="preserve"> </w:t>
      </w:r>
      <w:r>
        <w:tab/>
        <w:t>Antwort auf die Nama</w:t>
      </w:r>
      <w:r w:rsidR="00363C1C">
        <w:fldChar w:fldCharType="begin"/>
      </w:r>
      <w:r>
        <w:instrText xml:space="preserve"> XE "</w:instrText>
      </w:r>
      <w:r w:rsidRPr="001F563C">
        <w:instrText>Nama</w:instrText>
      </w:r>
      <w:r>
        <w:instrText xml:space="preserve">" </w:instrText>
      </w:r>
      <w:r w:rsidR="00363C1C">
        <w:fldChar w:fldCharType="end"/>
      </w:r>
      <w:r>
        <w:t>-Konferenz vom August 1886, zu § 12. (Archiv der Rheinischen Missionsgesellschaft. Copierbuch 1881–1887.) Zitiert nach Engel 1972: 164f. Man g</w:t>
      </w:r>
      <w:r>
        <w:t>e</w:t>
      </w:r>
      <w:r>
        <w:t>winnt fast das Gefühl, die Mission habe den Nama die irdische Freiheit missgönnt, die sie so stolz machte, dass sie das Christentum</w:t>
      </w:r>
      <w:r w:rsidR="00363C1C">
        <w:fldChar w:fldCharType="begin"/>
      </w:r>
      <w:r>
        <w:instrText xml:space="preserve"> XE "</w:instrText>
      </w:r>
      <w:r w:rsidRPr="00BF407F">
        <w:instrText>Christentum</w:instrText>
      </w:r>
      <w:r>
        <w:instrText xml:space="preserve">" </w:instrText>
      </w:r>
      <w:r w:rsidR="00363C1C">
        <w:fldChar w:fldCharType="end"/>
      </w:r>
      <w:r>
        <w:t xml:space="preserve"> und seine „wahre Freiheit der Kinder Gottes“ nicht ausreichend zu schätzen wussten. Dafür spricht auch, dass sie davon ausging, dass die Nama es unter den Buren</w:t>
      </w:r>
      <w:r w:rsidR="00363C1C">
        <w:fldChar w:fldCharType="begin"/>
      </w:r>
      <w:r>
        <w:instrText xml:space="preserve"> XE "</w:instrText>
      </w:r>
      <w:r w:rsidRPr="00282394">
        <w:instrText>Buren</w:instrText>
      </w:r>
      <w:r>
        <w:instrText xml:space="preserve">" </w:instrText>
      </w:r>
      <w:r w:rsidR="00363C1C">
        <w:fldChar w:fldCharType="end"/>
      </w:r>
      <w:r>
        <w:t xml:space="preserve"> – die für ihre Eingeborenenfeindlichkeit bekannt waren; u</w:t>
      </w:r>
      <w:r>
        <w:t>n</w:t>
      </w:r>
      <w:r>
        <w:t xml:space="preserve">ter anderem deshalb kann Spiecker sie nicht leiden (vgl. Abschnitt </w:t>
      </w:r>
      <w:r w:rsidR="00363C1C">
        <w:fldChar w:fldCharType="begin"/>
      </w:r>
      <w:r>
        <w:instrText xml:space="preserve"> REF _Ref325357243 \r \h </w:instrText>
      </w:r>
      <w:r w:rsidR="00363C1C">
        <w:fldChar w:fldCharType="separate"/>
      </w:r>
      <w:r w:rsidR="00216538">
        <w:t>3.1.4.1</w:t>
      </w:r>
      <w:r w:rsidR="00363C1C">
        <w:fldChar w:fldCharType="end"/>
      </w:r>
      <w:r>
        <w:t>) – nicht gut h</w:t>
      </w:r>
      <w:r>
        <w:t>a</w:t>
      </w:r>
      <w:r>
        <w:t>ben würden, „aber das ist vielleicht nötig, um sie von dem unerträglichen Hochmut zu kurieren“ (ebd.) Solche Passagen zeigen, dass die Vorwürfe an das Christentum, zur Fö</w:t>
      </w:r>
      <w:r>
        <w:t>r</w:t>
      </w:r>
      <w:r>
        <w:t>derung der geistlichen Errettung geradezu das irdische Elend herbeizuwünschen (und d</w:t>
      </w:r>
      <w:r>
        <w:t>a</w:t>
      </w:r>
      <w:r>
        <w:t>bei notfalls, wie hier durch die Billigung der Buren-Einwanderung, sogar nachzuhelfen), in manchen Fällen ganz berechtigt sind.</w:t>
      </w:r>
    </w:p>
  </w:footnote>
  <w:footnote w:id="189">
    <w:p w:rsidR="005A5F2B" w:rsidRDefault="005A5F2B" w:rsidP="00CF6655">
      <w:pPr>
        <w:pStyle w:val="Funotentext"/>
      </w:pPr>
      <w:r>
        <w:rPr>
          <w:rStyle w:val="Funotenzeichen"/>
        </w:rPr>
        <w:footnoteRef/>
      </w:r>
      <w:r>
        <w:t xml:space="preserve"> </w:t>
      </w:r>
      <w:r>
        <w:tab/>
        <w:t>Spiecker schreibt über ihn im Visitationsbericht: „An diesem Mann, wie an so vielen a</w:t>
      </w:r>
      <w:r>
        <w:t>n</w:t>
      </w:r>
      <w:r>
        <w:t>deren, habe ich gesehen, was durch Gottes Wort aus so tiefstehenden Eingeborenen, wie die Bergdamra</w:t>
      </w:r>
      <w:r w:rsidR="00363C1C">
        <w:fldChar w:fldCharType="begin"/>
      </w:r>
      <w:r>
        <w:instrText xml:space="preserve"> XE "</w:instrText>
      </w:r>
      <w:r w:rsidRPr="001E01BD">
        <w:instrText>Bergdamra</w:instrText>
      </w:r>
      <w:r>
        <w:instrText xml:space="preserve">" </w:instrText>
      </w:r>
      <w:r w:rsidR="00363C1C">
        <w:fldChar w:fldCharType="end"/>
      </w:r>
      <w:r>
        <w:t xml:space="preserve"> von Haus aus sind, werden kann. […] Auch in mancher anderen Hinsicht ist sein Leben und Wandel vorbildlich. […] Ein sehr gehobenes Selbstbewusstsein, ein gewisser Trotz und wohl auch Hochmut fiel mir dann und je auf, hat mir aber die Freude an diesem trefflichen Mann nicht verdorben.“ (Spiecker 1907: 90)</w:t>
      </w:r>
    </w:p>
  </w:footnote>
  <w:footnote w:id="190">
    <w:p w:rsidR="005A5F2B" w:rsidRDefault="005A5F2B" w:rsidP="00CF6655">
      <w:pPr>
        <w:pStyle w:val="Funotentext"/>
      </w:pPr>
      <w:r>
        <w:rPr>
          <w:rStyle w:val="Funotenzeichen"/>
        </w:rPr>
        <w:footnoteRef/>
      </w:r>
      <w:r>
        <w:t xml:space="preserve"> </w:t>
      </w:r>
      <w:r>
        <w:tab/>
        <w:t>Engel 1976: 91f.</w:t>
      </w:r>
    </w:p>
  </w:footnote>
  <w:footnote w:id="191">
    <w:p w:rsidR="005A5F2B" w:rsidRDefault="005A5F2B" w:rsidP="00CF6655">
      <w:pPr>
        <w:pStyle w:val="Funotentext"/>
      </w:pPr>
      <w:r>
        <w:rPr>
          <w:rStyle w:val="Funotenzeichen"/>
        </w:rPr>
        <w:footnoteRef/>
      </w:r>
      <w:r>
        <w:t xml:space="preserve"> </w:t>
      </w:r>
      <w:r>
        <w:tab/>
        <w:t>Engel 1976: 93-98.</w:t>
      </w:r>
    </w:p>
  </w:footnote>
  <w:footnote w:id="192">
    <w:p w:rsidR="005A5F2B" w:rsidRDefault="005A5F2B" w:rsidP="00CF6655">
      <w:pPr>
        <w:pStyle w:val="Funotentext"/>
      </w:pPr>
      <w:r>
        <w:rPr>
          <w:rStyle w:val="Funotenzeichen"/>
        </w:rPr>
        <w:footnoteRef/>
      </w:r>
      <w:r>
        <w:t xml:space="preserve"> </w:t>
      </w:r>
      <w:r>
        <w:tab/>
        <w:t>Gründer 1982: 118. Beim Verkauf an Lüderitz</w:t>
      </w:r>
      <w:r w:rsidR="00363C1C">
        <w:fldChar w:fldCharType="begin"/>
      </w:r>
      <w:r>
        <w:instrText xml:space="preserve"> XE "</w:instrText>
      </w:r>
      <w:r w:rsidRPr="00CD3355">
        <w:instrText>Lüderitz, Adolf</w:instrText>
      </w:r>
      <w:r>
        <w:instrText xml:space="preserve">" </w:instrText>
      </w:r>
      <w:r w:rsidR="00363C1C">
        <w:fldChar w:fldCharType="end"/>
      </w:r>
      <w:r>
        <w:t xml:space="preserve"> fand ein massiver Betrug statt; vgl. A</w:t>
      </w:r>
      <w:r>
        <w:t>b</w:t>
      </w:r>
      <w:r>
        <w:t xml:space="preserve">schnitt </w:t>
      </w:r>
      <w:r w:rsidR="00363C1C">
        <w:fldChar w:fldCharType="begin"/>
      </w:r>
      <w:r>
        <w:instrText xml:space="preserve"> REF _Ref325357304 \r \h </w:instrText>
      </w:r>
      <w:r w:rsidR="00363C1C">
        <w:fldChar w:fldCharType="separate"/>
      </w:r>
      <w:r w:rsidR="00216538">
        <w:t>2.2.5.3</w:t>
      </w:r>
      <w:r w:rsidR="00363C1C">
        <w:fldChar w:fldCharType="end"/>
      </w:r>
      <w:r>
        <w:t>.</w:t>
      </w:r>
    </w:p>
  </w:footnote>
  <w:footnote w:id="193">
    <w:p w:rsidR="005A5F2B" w:rsidRDefault="005A5F2B" w:rsidP="00CF6655">
      <w:pPr>
        <w:pStyle w:val="Funotentext"/>
      </w:pPr>
      <w:r>
        <w:rPr>
          <w:rStyle w:val="Funotenzeichen"/>
        </w:rPr>
        <w:footnoteRef/>
      </w:r>
      <w:r>
        <w:t xml:space="preserve"> </w:t>
      </w:r>
      <w:r>
        <w:tab/>
        <w:t>ebd.</w:t>
      </w:r>
    </w:p>
  </w:footnote>
  <w:footnote w:id="194">
    <w:p w:rsidR="005A5F2B" w:rsidRDefault="005A5F2B" w:rsidP="00CF6655">
      <w:pPr>
        <w:pStyle w:val="Funotentext"/>
      </w:pPr>
      <w:r>
        <w:rPr>
          <w:rStyle w:val="Funotenzeichen"/>
        </w:rPr>
        <w:footnoteRef/>
      </w:r>
      <w:r>
        <w:t xml:space="preserve"> </w:t>
      </w:r>
      <w:r>
        <w:tab/>
        <w:t>Gründer 1982: 117.</w:t>
      </w:r>
    </w:p>
  </w:footnote>
  <w:footnote w:id="195">
    <w:p w:rsidR="005A5F2B" w:rsidRDefault="005A5F2B" w:rsidP="00CF6655">
      <w:pPr>
        <w:pStyle w:val="Funotentext"/>
      </w:pPr>
      <w:r>
        <w:rPr>
          <w:rStyle w:val="Funotenzeichen"/>
        </w:rPr>
        <w:footnoteRef/>
      </w:r>
      <w:r>
        <w:t xml:space="preserve"> </w:t>
      </w:r>
      <w:r>
        <w:tab/>
        <w:t>De jure konnten sie dies nicht sein, da sie nur eine Seminarausbildung und kein Theol</w:t>
      </w:r>
      <w:r>
        <w:t>o</w:t>
      </w:r>
      <w:r>
        <w:t>giestudium absolviert hatten.</w:t>
      </w:r>
    </w:p>
  </w:footnote>
  <w:footnote w:id="196">
    <w:p w:rsidR="005A5F2B" w:rsidRDefault="005A5F2B" w:rsidP="00CF6655">
      <w:pPr>
        <w:pStyle w:val="Funotentext"/>
      </w:pPr>
      <w:r>
        <w:rPr>
          <w:rStyle w:val="Funotenzeichen"/>
        </w:rPr>
        <w:footnoteRef/>
      </w:r>
      <w:r>
        <w:t xml:space="preserve"> </w:t>
      </w:r>
      <w:r>
        <w:tab/>
        <w:t xml:space="preserve">Trüper 2005; vgl. auch Abschnitt </w:t>
      </w:r>
      <w:r w:rsidR="00363C1C">
        <w:fldChar w:fldCharType="begin"/>
      </w:r>
      <w:r>
        <w:instrText xml:space="preserve"> REF _Ref325357330 \r \h </w:instrText>
      </w:r>
      <w:r w:rsidR="00363C1C">
        <w:fldChar w:fldCharType="separate"/>
      </w:r>
      <w:r w:rsidR="00216538">
        <w:t>2.5</w:t>
      </w:r>
      <w:r w:rsidR="00363C1C">
        <w:fldChar w:fldCharType="end"/>
      </w:r>
      <w:r>
        <w:t xml:space="preserve"> „Das importierte Patriarchat“.</w:t>
      </w:r>
    </w:p>
  </w:footnote>
  <w:footnote w:id="197">
    <w:p w:rsidR="005A5F2B" w:rsidRDefault="005A5F2B" w:rsidP="00CF6655">
      <w:pPr>
        <w:pStyle w:val="Funotentext"/>
      </w:pPr>
      <w:r>
        <w:rPr>
          <w:rStyle w:val="Funotenzeichen"/>
        </w:rPr>
        <w:footnoteRef/>
      </w:r>
      <w:r>
        <w:t xml:space="preserve"> </w:t>
      </w:r>
      <w:r>
        <w:tab/>
        <w:t xml:space="preserve">Vgl. Abschnitt </w:t>
      </w:r>
      <w:r w:rsidR="00363C1C">
        <w:fldChar w:fldCharType="begin"/>
      </w:r>
      <w:r>
        <w:instrText xml:space="preserve"> REF _Ref325357347 \r \h </w:instrText>
      </w:r>
      <w:r w:rsidR="00363C1C">
        <w:fldChar w:fldCharType="separate"/>
      </w:r>
      <w:r w:rsidR="00216538">
        <w:t>2.4.5</w:t>
      </w:r>
      <w:r w:rsidR="00363C1C">
        <w:fldChar w:fldCharType="end"/>
      </w:r>
      <w:r>
        <w:t xml:space="preserve"> „Die Pazifizierung der Herero</w:t>
      </w:r>
      <w:r w:rsidR="00363C1C">
        <w:fldChar w:fldCharType="begin"/>
      </w:r>
      <w:r>
        <w:instrText xml:space="preserve"> XE "</w:instrText>
      </w:r>
      <w:r w:rsidRPr="00D91537">
        <w:instrText>Herero</w:instrText>
      </w:r>
      <w:r>
        <w:instrText xml:space="preserve">" </w:instrText>
      </w:r>
      <w:r w:rsidR="00363C1C">
        <w:fldChar w:fldCharType="end"/>
      </w:r>
      <w:r>
        <w:t xml:space="preserve"> durch die Mission“.</w:t>
      </w:r>
    </w:p>
  </w:footnote>
  <w:footnote w:id="198">
    <w:p w:rsidR="005A5F2B" w:rsidRDefault="005A5F2B" w:rsidP="00CF6655">
      <w:pPr>
        <w:pStyle w:val="Funotentext"/>
      </w:pPr>
      <w:r>
        <w:rPr>
          <w:rStyle w:val="Funotenzeichen"/>
        </w:rPr>
        <w:footnoteRef/>
      </w:r>
      <w:r>
        <w:t xml:space="preserve"> </w:t>
      </w:r>
      <w:r>
        <w:tab/>
        <w:t xml:space="preserve">Vgl. beispielsweise die Abschnitte </w:t>
      </w:r>
      <w:r w:rsidR="00363C1C">
        <w:fldChar w:fldCharType="begin"/>
      </w:r>
      <w:r>
        <w:instrText xml:space="preserve"> REF _Ref325357364 \r \h </w:instrText>
      </w:r>
      <w:r w:rsidR="00363C1C">
        <w:fldChar w:fldCharType="separate"/>
      </w:r>
      <w:r w:rsidR="00216538">
        <w:t>2.4.3</w:t>
      </w:r>
      <w:r w:rsidR="00363C1C">
        <w:fldChar w:fldCharType="end"/>
      </w:r>
      <w:r>
        <w:t xml:space="preserve"> und </w:t>
      </w:r>
      <w:r w:rsidR="00363C1C">
        <w:fldChar w:fldCharType="begin"/>
      </w:r>
      <w:r>
        <w:instrText xml:space="preserve"> REF _Ref325357384 \r \h </w:instrText>
      </w:r>
      <w:r w:rsidR="00363C1C">
        <w:fldChar w:fldCharType="separate"/>
      </w:r>
      <w:r w:rsidR="00216538">
        <w:t>3.4.1</w:t>
      </w:r>
      <w:r w:rsidR="00363C1C">
        <w:fldChar w:fldCharType="end"/>
      </w:r>
      <w:r>
        <w:t>.</w:t>
      </w:r>
    </w:p>
  </w:footnote>
  <w:footnote w:id="199">
    <w:p w:rsidR="005A5F2B" w:rsidRDefault="005A5F2B" w:rsidP="00CF6655">
      <w:pPr>
        <w:pStyle w:val="Funotentext"/>
      </w:pPr>
      <w:r>
        <w:rPr>
          <w:rStyle w:val="Funotenzeichen"/>
        </w:rPr>
        <w:footnoteRef/>
      </w:r>
      <w:r>
        <w:tab/>
        <w:t>Hauptstreitpunkte zwischen Mission und Kolonialregierung</w:t>
      </w:r>
      <w:r w:rsidR="00363C1C">
        <w:fldChar w:fldCharType="begin"/>
      </w:r>
      <w:r>
        <w:instrText xml:space="preserve"> XE "</w:instrText>
      </w:r>
      <w:r w:rsidRPr="00087CF3">
        <w:instrText>Kolonialregierung</w:instrText>
      </w:r>
      <w:r>
        <w:instrText xml:space="preserve">" </w:instrText>
      </w:r>
      <w:r w:rsidR="00363C1C">
        <w:fldChar w:fldCharType="end"/>
      </w:r>
      <w:r>
        <w:t xml:space="preserve"> sind vor allem Landfragen und finanzielle Fragen, etwa Schadenersatz für Kriegsschäden wie in Hoachanas</w:t>
      </w:r>
      <w:r w:rsidR="00363C1C">
        <w:fldChar w:fldCharType="begin"/>
      </w:r>
      <w:r>
        <w:instrText xml:space="preserve"> XE "</w:instrText>
      </w:r>
      <w:r w:rsidRPr="0023707C">
        <w:instrText>Hoachanas</w:instrText>
      </w:r>
      <w:r>
        <w:instrText xml:space="preserve">" </w:instrText>
      </w:r>
      <w:r w:rsidR="00363C1C">
        <w:fldChar w:fldCharType="end"/>
      </w:r>
      <w:r>
        <w:t>, wo Schäden an der Kirche und der Mauer des Missionsgartens durch das Militär wiederherg</w:t>
      </w:r>
      <w:r>
        <w:t>e</w:t>
      </w:r>
      <w:r>
        <w:t>stellt werden sollen. (821)</w:t>
      </w:r>
    </w:p>
  </w:footnote>
  <w:footnote w:id="200">
    <w:p w:rsidR="005A5F2B" w:rsidRDefault="005A5F2B" w:rsidP="00CF6655">
      <w:pPr>
        <w:pStyle w:val="Funotentext"/>
      </w:pPr>
      <w:r>
        <w:rPr>
          <w:rStyle w:val="Funotenzeichen"/>
        </w:rPr>
        <w:footnoteRef/>
      </w:r>
      <w:r>
        <w:tab/>
        <w:t>Helmuth Stoecker spricht von einer „Ausrottungspolitik“ gegenüber den Herero</w:t>
      </w:r>
      <w:r w:rsidR="00363C1C">
        <w:fldChar w:fldCharType="begin"/>
      </w:r>
      <w:r>
        <w:instrText xml:space="preserve"> XE "</w:instrText>
      </w:r>
      <w:r w:rsidRPr="00D91537">
        <w:instrText>Herero</w:instrText>
      </w:r>
      <w:r>
        <w:instrText xml:space="preserve">" </w:instrText>
      </w:r>
      <w:r w:rsidR="00363C1C">
        <w:fldChar w:fldCharType="end"/>
      </w:r>
      <w:r>
        <w:t xml:space="preserve"> (Sto</w:t>
      </w:r>
      <w:r>
        <w:t>e</w:t>
      </w:r>
      <w:r>
        <w:t>cker 1991: 122). Timm schreibt: „Die Antwort der Kolonisatoren […] auf den bewaffn</w:t>
      </w:r>
      <w:r>
        <w:t>e</w:t>
      </w:r>
      <w:r>
        <w:t>ten Aufstand</w:t>
      </w:r>
      <w:r w:rsidR="00363C1C">
        <w:fldChar w:fldCharType="begin"/>
      </w:r>
      <w:r>
        <w:instrText xml:space="preserve"> XE "</w:instrText>
      </w:r>
      <w:r w:rsidRPr="00AA3184">
        <w:instrText>Aufstand</w:instrText>
      </w:r>
      <w:r>
        <w:instrText xml:space="preserve">" </w:instrText>
      </w:r>
      <w:r w:rsidR="00363C1C">
        <w:fldChar w:fldCharType="end"/>
      </w:r>
      <w:r>
        <w:t xml:space="preserve"> [war] Erschießen, Erhängen und versuchter Völkermord</w:t>
      </w:r>
      <w:r w:rsidR="00363C1C">
        <w:fldChar w:fldCharType="begin"/>
      </w:r>
      <w:r>
        <w:instrText xml:space="preserve"> XE "</w:instrText>
      </w:r>
      <w:r w:rsidRPr="00010D1A">
        <w:instrText>Völkermord</w:instrText>
      </w:r>
      <w:r>
        <w:instrText xml:space="preserve">" </w:instrText>
      </w:r>
      <w:r w:rsidR="00363C1C">
        <w:fldChar w:fldCharType="end"/>
      </w:r>
      <w:r>
        <w:t>. Nach der Schlacht am Waterberg 1904 wurden die überlebenden Hereros in die Wüste Omaheke</w:t>
      </w:r>
      <w:r w:rsidR="00363C1C">
        <w:fldChar w:fldCharType="begin"/>
      </w:r>
      <w:r>
        <w:instrText xml:space="preserve"> XE "</w:instrText>
      </w:r>
      <w:r w:rsidRPr="0047174D">
        <w:instrText>Omaheke (Wüste)</w:instrText>
      </w:r>
      <w:r>
        <w:instrText xml:space="preserve">" </w:instrText>
      </w:r>
      <w:r w:rsidR="00363C1C">
        <w:fldChar w:fldCharType="end"/>
      </w:r>
      <w:r>
        <w:t xml:space="preserve"> getrieben, und der Kommandeur der deutschen Schutztruppe, General v. Trotha</w:t>
      </w:r>
      <w:r w:rsidR="00363C1C">
        <w:fldChar w:fldCharType="begin"/>
      </w:r>
      <w:r>
        <w:instrText xml:space="preserve"> XE "</w:instrText>
      </w:r>
      <w:r w:rsidRPr="00877269">
        <w:instrText>Trotha, Lothar von</w:instrText>
      </w:r>
      <w:r>
        <w:instrText xml:space="preserve">" </w:instrText>
      </w:r>
      <w:r w:rsidR="00363C1C">
        <w:fldChar w:fldCharType="end"/>
      </w:r>
      <w:r>
        <w:t xml:space="preserve"> erließ folgende Proklamation: ‚Innerhalb der deutschen Grenzen wird jeder Herero mit oder ohne G</w:t>
      </w:r>
      <w:r>
        <w:t>e</w:t>
      </w:r>
      <w:r>
        <w:t>wehr, mit oder ohne Vieh erschossen. Ich nehme keine Weiber und Kinder mehr auf, treibe sie zu ihrem Volk zurück oder lasse auf sie schießen</w:t>
      </w:r>
      <w:proofErr w:type="gramStart"/>
      <w:r>
        <w:t>.‘</w:t>
      </w:r>
      <w:proofErr w:type="gramEnd"/>
      <w:r>
        <w:t>“ (Timm 1981: 11) Kein Wunder, dass die Mission bei ihrer Sammelarbeit in Omburo</w:t>
      </w:r>
      <w:r w:rsidR="00363C1C">
        <w:fldChar w:fldCharType="begin"/>
      </w:r>
      <w:r>
        <w:instrText xml:space="preserve"> XE "</w:instrText>
      </w:r>
      <w:r w:rsidRPr="00144CFD">
        <w:instrText>Omburo</w:instrText>
      </w:r>
      <w:r>
        <w:instrText xml:space="preserve">" </w:instrText>
      </w:r>
      <w:r w:rsidR="00363C1C">
        <w:fldChar w:fldCharType="end"/>
      </w:r>
      <w:r>
        <w:t xml:space="preserve"> und Otjihaënena</w:t>
      </w:r>
      <w:r w:rsidR="00363C1C">
        <w:fldChar w:fldCharType="begin"/>
      </w:r>
      <w:r>
        <w:instrText xml:space="preserve"> XE "</w:instrText>
      </w:r>
      <w:r w:rsidRPr="007C2688">
        <w:instrText>Otjihaënena</w:instrText>
      </w:r>
      <w:r>
        <w:instrText xml:space="preserve">" </w:instrText>
      </w:r>
      <w:r w:rsidR="00363C1C">
        <w:fldChar w:fldCharType="end"/>
      </w:r>
      <w:r>
        <w:t xml:space="preserve"> diese Pr</w:t>
      </w:r>
      <w:r>
        <w:t>o</w:t>
      </w:r>
      <w:r>
        <w:t>klamationen nicht benutzt: „Man meint dort [in Windhuk</w:t>
      </w:r>
      <w:r w:rsidR="00363C1C">
        <w:fldChar w:fldCharType="begin"/>
      </w:r>
      <w:r>
        <w:instrText xml:space="preserve"> XE "</w:instrText>
      </w:r>
      <w:r w:rsidRPr="001870D2">
        <w:instrText>Windhuk</w:instrText>
      </w:r>
      <w:r>
        <w:instrText xml:space="preserve">" </w:instrText>
      </w:r>
      <w:r w:rsidR="00363C1C">
        <w:fldChar w:fldCharType="end"/>
      </w:r>
      <w:r>
        <w:t>], die Leute kämen auf die Pr</w:t>
      </w:r>
      <w:r>
        <w:t>o</w:t>
      </w:r>
      <w:r>
        <w:t>klamation des Gouverneurs hin und der Gouverneur will bald eine 2te Proklamation e</w:t>
      </w:r>
      <w:r>
        <w:t>r</w:t>
      </w:r>
      <w:r>
        <w:t>lassen. Die gedruckten Proklamationen liegen aber alle noch hier und können keine Ve</w:t>
      </w:r>
      <w:r>
        <w:t>r</w:t>
      </w:r>
      <w:r>
        <w:t>wendung finden. Die Leute kommen mit Kuhlmanns Boten, die der sehr geschickt au</w:t>
      </w:r>
      <w:r>
        <w:t>s</w:t>
      </w:r>
      <w:r>
        <w:t>gewählt hat u. die ihm unbedingt vertrauen. Kuhlmann</w:t>
      </w:r>
      <w:r w:rsidR="00363C1C">
        <w:fldChar w:fldCharType="begin"/>
      </w:r>
      <w:r>
        <w:instrText xml:space="preserve"> XE "</w:instrText>
      </w:r>
      <w:r w:rsidRPr="001E7D05">
        <w:instrText>Kuhlmann, Br.</w:instrText>
      </w:r>
      <w:r>
        <w:instrText xml:space="preserve">" </w:instrText>
      </w:r>
      <w:r w:rsidR="00363C1C">
        <w:fldChar w:fldCharType="end"/>
      </w:r>
      <w:r>
        <w:t xml:space="preserve"> ist aber das Herz schwer im G</w:t>
      </w:r>
      <w:r>
        <w:t>e</w:t>
      </w:r>
      <w:r>
        <w:t>danken an die Zukunft der Leute“ (Spiecker: 612f). Das Zitat macht auch deutlich, wie die Mission – sicherlich mit den besten Absichten – das durch ihre langjährige Arbeit u</w:t>
      </w:r>
      <w:r>
        <w:t>n</w:t>
      </w:r>
      <w:r>
        <w:t>ter den Herero und Nama</w:t>
      </w:r>
      <w:r w:rsidR="00363C1C">
        <w:fldChar w:fldCharType="begin"/>
      </w:r>
      <w:r>
        <w:instrText xml:space="preserve"> XE "</w:instrText>
      </w:r>
      <w:r w:rsidRPr="001F563C">
        <w:instrText>Nama</w:instrText>
      </w:r>
      <w:r>
        <w:instrText xml:space="preserve">" </w:instrText>
      </w:r>
      <w:r w:rsidR="00363C1C">
        <w:fldChar w:fldCharType="end"/>
      </w:r>
      <w:r>
        <w:t xml:space="preserve"> angesammelte Vertrauen für die Pazifizierungsarbeit verwe</w:t>
      </w:r>
      <w:r>
        <w:t>n</w:t>
      </w:r>
      <w:r>
        <w:t>dete, obwohl man, im Gegensatz zu den herbeigelockten Menschen, über die hohe Ster</w:t>
      </w:r>
      <w:r>
        <w:t>b</w:t>
      </w:r>
      <w:r>
        <w:t>lichkeit in den Lagern Bescheid wusste.</w:t>
      </w:r>
    </w:p>
  </w:footnote>
  <w:footnote w:id="201">
    <w:p w:rsidR="005A5F2B" w:rsidRDefault="005A5F2B" w:rsidP="00CF6655">
      <w:pPr>
        <w:pStyle w:val="Funotentext"/>
      </w:pPr>
      <w:r>
        <w:rPr>
          <w:rStyle w:val="Funotenzeichen"/>
        </w:rPr>
        <w:footnoteRef/>
      </w:r>
      <w:r>
        <w:tab/>
        <w:t>Von geschätzten 60. – 80.000 Herero</w:t>
      </w:r>
      <w:r w:rsidR="00363C1C">
        <w:fldChar w:fldCharType="begin"/>
      </w:r>
      <w:r>
        <w:instrText xml:space="preserve"> XE "</w:instrText>
      </w:r>
      <w:r w:rsidRPr="00D91537">
        <w:instrText>Herero</w:instrText>
      </w:r>
      <w:r>
        <w:instrText xml:space="preserve">" </w:instrText>
      </w:r>
      <w:r w:rsidR="00363C1C">
        <w:fldChar w:fldCharType="end"/>
      </w:r>
      <w:r>
        <w:t xml:space="preserve"> (Gesamtbevölkerung einschließlich Frauen und Kinder) lebten nach der Niederschlagung des Aufstands noch 16.000 (Spiecker-Salazar 1994: 427). Staatssekretär Dernburg</w:t>
      </w:r>
      <w:r w:rsidR="00363C1C">
        <w:fldChar w:fldCharType="begin"/>
      </w:r>
      <w:r>
        <w:instrText xml:space="preserve"> XE "</w:instrText>
      </w:r>
      <w:r w:rsidRPr="009219CF">
        <w:instrText>Dernburg, Bernhard (Staatssekretär)</w:instrText>
      </w:r>
      <w:r>
        <w:instrText xml:space="preserve">" </w:instrText>
      </w:r>
      <w:r w:rsidR="00363C1C">
        <w:fldChar w:fldCharType="end"/>
      </w:r>
      <w:r>
        <w:t>, der Südwestafrika 1908 besuchte, geht davon aus, daß die Hereros „fast ganz aufgerieben“ sind (Stoecker 1991: 122).</w:t>
      </w:r>
    </w:p>
  </w:footnote>
  <w:footnote w:id="202">
    <w:p w:rsidR="005A5F2B" w:rsidRDefault="005A5F2B" w:rsidP="00CF6655">
      <w:pPr>
        <w:pStyle w:val="Funotentext"/>
      </w:pPr>
      <w:r>
        <w:rPr>
          <w:rStyle w:val="Funotenzeichen"/>
        </w:rPr>
        <w:footnoteRef/>
      </w:r>
      <w:r>
        <w:t xml:space="preserve"> </w:t>
      </w:r>
      <w:r>
        <w:tab/>
        <w:t>Zitiert nach Timm 1981: 76.</w:t>
      </w:r>
    </w:p>
  </w:footnote>
  <w:footnote w:id="203">
    <w:p w:rsidR="005A5F2B" w:rsidRDefault="005A5F2B" w:rsidP="00CF6655">
      <w:pPr>
        <w:pStyle w:val="Funotentext"/>
      </w:pPr>
      <w:r>
        <w:rPr>
          <w:rStyle w:val="Funotenzeichen"/>
        </w:rPr>
        <w:footnoteRef/>
      </w:r>
      <w:r>
        <w:t xml:space="preserve"> </w:t>
      </w:r>
      <w:r>
        <w:tab/>
        <w:t>Stoecker 1991: 121.</w:t>
      </w:r>
    </w:p>
  </w:footnote>
  <w:footnote w:id="204">
    <w:p w:rsidR="005A5F2B" w:rsidRDefault="005A5F2B" w:rsidP="00CF6655">
      <w:pPr>
        <w:pStyle w:val="Funotentext"/>
      </w:pPr>
      <w:r>
        <w:rPr>
          <w:rStyle w:val="Funotenzeichen"/>
        </w:rPr>
        <w:footnoteRef/>
      </w:r>
      <w:r>
        <w:tab/>
        <w:t>Gründer schreibt zum später abgelehnten Antrag der katholischen Mission von 1896 auf Erlaubnis einer Ovambomission</w:t>
      </w:r>
      <w:r w:rsidR="00363C1C">
        <w:fldChar w:fldCharType="begin"/>
      </w:r>
      <w:r>
        <w:instrText xml:space="preserve"> XE "</w:instrText>
      </w:r>
      <w:r w:rsidRPr="00396C06">
        <w:instrText>Ovambomission</w:instrText>
      </w:r>
      <w:r>
        <w:instrText xml:space="preserve">" </w:instrText>
      </w:r>
      <w:r w:rsidR="00363C1C">
        <w:fldChar w:fldCharType="end"/>
      </w:r>
      <w:r>
        <w:t>, der zunächst Leutweins Zustimmung fand: „Dem La</w:t>
      </w:r>
      <w:r>
        <w:t>n</w:t>
      </w:r>
      <w:r>
        <w:t>deshauptmann war es ziemlich gleichgültig, welche Konfession in dem noch unbefrie</w:t>
      </w:r>
      <w:r>
        <w:softHyphen/>
        <w:t>deten Gebiet arbeitete – Hauptsache, sie brach das Mißtrauen der Ovambo</w:t>
      </w:r>
      <w:r>
        <w:softHyphen/>
        <w:t>häupt</w:t>
      </w:r>
      <w:r>
        <w:softHyphen/>
        <w:t>linge und arbeitete dem deutschen Einfluß vor.“ (Gründer 1982: 131)</w:t>
      </w:r>
    </w:p>
  </w:footnote>
  <w:footnote w:id="205">
    <w:p w:rsidR="005A5F2B" w:rsidRDefault="005A5F2B" w:rsidP="00CF6655">
      <w:pPr>
        <w:pStyle w:val="Funotentext"/>
      </w:pPr>
      <w:r>
        <w:rPr>
          <w:rStyle w:val="Funotenzeichen"/>
        </w:rPr>
        <w:footnoteRef/>
      </w:r>
      <w:r>
        <w:tab/>
        <w:t>in Onajena</w:t>
      </w:r>
      <w:r w:rsidR="00363C1C">
        <w:fldChar w:fldCharType="begin"/>
      </w:r>
      <w:r>
        <w:instrText xml:space="preserve"> XE "</w:instrText>
      </w:r>
      <w:r w:rsidRPr="00E905ED">
        <w:instrText>Onajena</w:instrText>
      </w:r>
      <w:r>
        <w:instrText xml:space="preserve">" </w:instrText>
      </w:r>
      <w:r w:rsidR="00363C1C">
        <w:fldChar w:fldCharType="end"/>
      </w:r>
      <w:r>
        <w:t>; sie liegt nahe bei Nechales Werft</w:t>
      </w:r>
      <w:r w:rsidR="00363C1C">
        <w:fldChar w:fldCharType="begin"/>
      </w:r>
      <w:r>
        <w:instrText xml:space="preserve"> XE "</w:instrText>
      </w:r>
      <w:r w:rsidRPr="00D743D3">
        <w:instrText>Werft</w:instrText>
      </w:r>
      <w:r>
        <w:instrText xml:space="preserve">" </w:instrText>
      </w:r>
      <w:r w:rsidR="00363C1C">
        <w:fldChar w:fldCharType="end"/>
      </w:r>
    </w:p>
  </w:footnote>
  <w:footnote w:id="206">
    <w:p w:rsidR="005A5F2B" w:rsidRDefault="005A5F2B" w:rsidP="00CF6655">
      <w:pPr>
        <w:pStyle w:val="Funotentext"/>
      </w:pPr>
      <w:r>
        <w:rPr>
          <w:rStyle w:val="Funotenzeichen"/>
        </w:rPr>
        <w:footnoteRef/>
      </w:r>
      <w:r>
        <w:tab/>
        <w:t>Anderswo erwähnt er Zahlen für die südlich von Keetmanshoop</w:t>
      </w:r>
      <w:r w:rsidR="00363C1C">
        <w:fldChar w:fldCharType="begin"/>
      </w:r>
      <w:r>
        <w:instrText xml:space="preserve"> XE "</w:instrText>
      </w:r>
      <w:r w:rsidRPr="001F21DF">
        <w:instrText>Keetmanshoop</w:instrText>
      </w:r>
      <w:r>
        <w:instrText xml:space="preserve">" </w:instrText>
      </w:r>
      <w:r w:rsidR="00363C1C">
        <w:fldChar w:fldCharType="end"/>
      </w:r>
      <w:r>
        <w:t xml:space="preserve"> gelegenen Karasberge</w:t>
      </w:r>
      <w:r w:rsidR="00363C1C">
        <w:fldChar w:fldCharType="begin"/>
      </w:r>
      <w:r>
        <w:instrText xml:space="preserve"> XE "</w:instrText>
      </w:r>
      <w:r w:rsidRPr="0015265F">
        <w:instrText>Karasberge</w:instrText>
      </w:r>
      <w:r>
        <w:instrText xml:space="preserve">" </w:instrText>
      </w:r>
      <w:r w:rsidR="00363C1C">
        <w:fldChar w:fldCharType="end"/>
      </w:r>
      <w:r>
        <w:t xml:space="preserve">: „6000 Soldaten stehen etwa 300 Rebellen gegenüber und können nichts machen.“ (1647) In einer Form des Krieges, die für die zweite Hälfte des 20. Jahrhunderts typisch werden sollte, kämpften hier militärisch überlegene Besatzungsarmeen gegen Guerillatruppen mit guten Landeskenntnissen und Unterstützung der Bevölkerung. Bei solchen Kriegen ist der Feind oft unsichtbar und die Gefahr des ‚friendly fire‘ steigt: „Mit Interesse besahen wir uns die </w:t>
      </w:r>
      <w:r w:rsidR="00F43595">
        <w:t>‚</w:t>
      </w:r>
      <w:r>
        <w:t>schwarze Klippe</w:t>
      </w:r>
      <w:r w:rsidR="00F43595">
        <w:t>‘</w:t>
      </w:r>
      <w:r>
        <w:t>, eine Wasserstelle, wo nach Herrn Rusts Bericht die sog</w:t>
      </w:r>
      <w:r>
        <w:t>e</w:t>
      </w:r>
      <w:r>
        <w:t xml:space="preserve">nannte </w:t>
      </w:r>
      <w:r w:rsidR="00F43595">
        <w:t>‚</w:t>
      </w:r>
      <w:r>
        <w:t>Selbstmörderkompagnie</w:t>
      </w:r>
      <w:r w:rsidR="00F43595">
        <w:t>‘</w:t>
      </w:r>
      <w:r>
        <w:t xml:space="preserve"> sich gegenseitig aus Versehen beschossen und einige der eigenen Reiter getötet hatte.“ (922)</w:t>
      </w:r>
    </w:p>
  </w:footnote>
  <w:footnote w:id="207">
    <w:p w:rsidR="005A5F2B" w:rsidRDefault="005A5F2B" w:rsidP="00CF6655">
      <w:pPr>
        <w:pStyle w:val="Funotentext"/>
      </w:pPr>
      <w:r>
        <w:rPr>
          <w:rStyle w:val="Funotenzeichen"/>
        </w:rPr>
        <w:footnoteRef/>
      </w:r>
      <w:r>
        <w:tab/>
        <w:t>„In Epukiro</w:t>
      </w:r>
      <w:r w:rsidR="00363C1C">
        <w:fldChar w:fldCharType="begin"/>
      </w:r>
      <w:r>
        <w:instrText xml:space="preserve"> XE "</w:instrText>
      </w:r>
      <w:r w:rsidRPr="00EF5304">
        <w:instrText>Epukiro</w:instrText>
      </w:r>
      <w:r>
        <w:instrText xml:space="preserve">" </w:instrText>
      </w:r>
      <w:r w:rsidR="00363C1C">
        <w:fldChar w:fldCharType="end"/>
      </w:r>
      <w:r>
        <w:t xml:space="preserve"> waren in der Tat reichlich Ketten als Fesseln für die Gefangenen, dagegen fehlte es an den nötigsten Lebensmitteln für die Gefangenen.“ (542f) Die Gefangenen in Epukiro werden dann allerdings auf Befehl aus Berlin doch nicht in Ketten gelegt (543).</w:t>
      </w:r>
    </w:p>
  </w:footnote>
  <w:footnote w:id="208">
    <w:p w:rsidR="005A5F2B" w:rsidRDefault="005A5F2B" w:rsidP="00CF6655">
      <w:pPr>
        <w:pStyle w:val="Funotentext"/>
      </w:pPr>
      <w:r>
        <w:rPr>
          <w:rStyle w:val="Funotenzeichen"/>
        </w:rPr>
        <w:footnoteRef/>
      </w:r>
      <w:r>
        <w:tab/>
        <w:t>Er reflektiert darüber manchmal mit Trauer, manchmal mit christlichem Fatalismus: „Meine Freude hatte ich an so manchen schönen Gestalten unter diesen Herero</w:t>
      </w:r>
      <w:r w:rsidR="00363C1C">
        <w:fldChar w:fldCharType="begin"/>
      </w:r>
      <w:r>
        <w:instrText xml:space="preserve"> XE "</w:instrText>
      </w:r>
      <w:r w:rsidRPr="00D91537">
        <w:instrText>Herero</w:instrText>
      </w:r>
      <w:r>
        <w:instrText xml:space="preserve">" </w:instrText>
      </w:r>
      <w:r w:rsidR="00363C1C">
        <w:fldChar w:fldCharType="end"/>
      </w:r>
      <w:r>
        <w:t>. Immer wieder ist mir aber das Herz schwer, wenn ich an die Zukunft dieser Leute denke. […] Wenn man freilich die munteren, schönen christlichen Gesänge aus den Pontoks</w:t>
      </w:r>
      <w:r w:rsidR="00363C1C">
        <w:fldChar w:fldCharType="begin"/>
      </w:r>
      <w:r>
        <w:instrText xml:space="preserve"> XE "Pontok" </w:instrText>
      </w:r>
      <w:r w:rsidR="00363C1C">
        <w:fldChar w:fldCharType="end"/>
      </w:r>
      <w:r>
        <w:t xml:space="preserve"> dieser Leute hört, wie ich jetzt während ich schreibe, dann sollte man denken: Das Volk genieße ein beneidenswertes Glück“ (916f). „</w:t>
      </w:r>
      <w:r w:rsidR="00C6002B">
        <w:t>‚</w:t>
      </w:r>
      <w:r>
        <w:t>Auf Wiedersehen im Himmel</w:t>
      </w:r>
      <w:r w:rsidR="00C6002B">
        <w:t>‘</w:t>
      </w:r>
      <w:r>
        <w:t xml:space="preserve"> war denn auch der Schlußakkord meiner Abschiedsansprache“ (920).</w:t>
      </w:r>
    </w:p>
  </w:footnote>
  <w:footnote w:id="209">
    <w:p w:rsidR="005A5F2B" w:rsidRDefault="005A5F2B" w:rsidP="00CF6655">
      <w:pPr>
        <w:pStyle w:val="Funotentext"/>
      </w:pPr>
      <w:r>
        <w:rPr>
          <w:rStyle w:val="Funotenzeichen"/>
        </w:rPr>
        <w:footnoteRef/>
      </w:r>
      <w:r>
        <w:t xml:space="preserve"> </w:t>
      </w:r>
      <w:r>
        <w:tab/>
        <w:t>Ling 2002: 104.</w:t>
      </w:r>
    </w:p>
  </w:footnote>
  <w:footnote w:id="210">
    <w:p w:rsidR="005A5F2B" w:rsidRPr="009E4305" w:rsidRDefault="005A5F2B" w:rsidP="00CF6655">
      <w:pPr>
        <w:pStyle w:val="Funotentext"/>
        <w:rPr>
          <w:lang w:val="en-US"/>
        </w:rPr>
      </w:pPr>
      <w:r>
        <w:rPr>
          <w:rStyle w:val="Funotenzeichen"/>
        </w:rPr>
        <w:footnoteRef/>
      </w:r>
      <w:r>
        <w:t xml:space="preserve"> </w:t>
      </w:r>
      <w:r>
        <w:tab/>
        <w:t>Leela Gandhi weist auf die Problematik der Kategorie der ‚3.-Welt-Frau‘ hin, die als ‚do</w:t>
      </w:r>
      <w:r>
        <w:t>p</w:t>
      </w:r>
      <w:r>
        <w:t xml:space="preserve">peltes Opfer‘ sowohl kolonialer als auch männlicher Gewalt symbolisch idealisiert und dabei doch nur um ihre Individualität gebracht wird: „The most significant collision and collusion of postcolonial and feminist theory occurs around the contentious figure of the ‘third-world woman’. </w:t>
      </w:r>
      <w:r>
        <w:rPr>
          <w:lang w:val="en-GB"/>
        </w:rPr>
        <w:t>Some feminist postcolonial theorists have cogently argued that a blinkered focus on racial politics inevitably elides the ‘double colonisation’ of women u</w:t>
      </w:r>
      <w:r>
        <w:rPr>
          <w:lang w:val="en-GB"/>
        </w:rPr>
        <w:t>n</w:t>
      </w:r>
      <w:r>
        <w:rPr>
          <w:lang w:val="en-GB"/>
        </w:rPr>
        <w:t xml:space="preserve">der imperial conditions. Such theory postulates the ‘third-world woman’ as victim </w:t>
      </w:r>
      <w:r>
        <w:rPr>
          <w:i/>
          <w:iCs/>
          <w:lang w:val="en-GB"/>
        </w:rPr>
        <w:t>par e</w:t>
      </w:r>
      <w:r>
        <w:rPr>
          <w:i/>
          <w:iCs/>
          <w:lang w:val="en-GB"/>
        </w:rPr>
        <w:t>x</w:t>
      </w:r>
      <w:r>
        <w:rPr>
          <w:i/>
          <w:iCs/>
          <w:lang w:val="en-GB"/>
        </w:rPr>
        <w:t xml:space="preserve">cellence </w:t>
      </w:r>
      <w:r>
        <w:rPr>
          <w:lang w:val="en-GB"/>
        </w:rPr>
        <w:t>– the forgotten casualty of both imperial ideology, and native and foreign patria</w:t>
      </w:r>
      <w:r>
        <w:rPr>
          <w:lang w:val="en-GB"/>
        </w:rPr>
        <w:t>r</w:t>
      </w:r>
      <w:r>
        <w:rPr>
          <w:lang w:val="en-GB"/>
        </w:rPr>
        <w:t>chies</w:t>
      </w:r>
      <w:proofErr w:type="gramStart"/>
      <w:r>
        <w:rPr>
          <w:lang w:val="en-GB"/>
        </w:rPr>
        <w:t>.“</w:t>
      </w:r>
      <w:proofErr w:type="gramEnd"/>
      <w:r>
        <w:rPr>
          <w:lang w:val="en-GB"/>
        </w:rPr>
        <w:t xml:space="preserve"> </w:t>
      </w:r>
      <w:r>
        <w:t>(Gandhi 1998: 83) Daher sehen Theoretikerinnen wie Talpade Mohanty eine u</w:t>
      </w:r>
      <w:r>
        <w:t>n</w:t>
      </w:r>
      <w:r>
        <w:t>schöne Komplizität zwischen dem von Said kritisierten Orientalismus</w:t>
      </w:r>
      <w:r w:rsidR="00363C1C">
        <w:fldChar w:fldCharType="begin"/>
      </w:r>
      <w:r>
        <w:instrText xml:space="preserve"> XE "</w:instrText>
      </w:r>
      <w:r w:rsidRPr="003A449B">
        <w:instrText>Orientalismus</w:instrText>
      </w:r>
      <w:r>
        <w:instrText xml:space="preserve">" </w:instrText>
      </w:r>
      <w:r w:rsidR="00363C1C">
        <w:fldChar w:fldCharType="end"/>
      </w:r>
      <w:r>
        <w:t xml:space="preserve"> und dem mode</w:t>
      </w:r>
      <w:r>
        <w:t>r</w:t>
      </w:r>
      <w:r>
        <w:t>nen, westlich geprägten Feminismus, sofern er sich naiv auf den Postkolonialismus</w:t>
      </w:r>
      <w:r w:rsidR="00363C1C">
        <w:fldChar w:fldCharType="begin"/>
      </w:r>
      <w:r>
        <w:instrText xml:space="preserve"> XE "</w:instrText>
      </w:r>
      <w:r w:rsidRPr="005A75D0">
        <w:instrText>Postkolonialismus</w:instrText>
      </w:r>
      <w:r>
        <w:instrText xml:space="preserve">" </w:instrText>
      </w:r>
      <w:r w:rsidR="00363C1C">
        <w:fldChar w:fldCharType="end"/>
      </w:r>
      <w:r>
        <w:t xml:space="preserve"> ei</w:t>
      </w:r>
      <w:r>
        <w:t>n</w:t>
      </w:r>
      <w:r>
        <w:t xml:space="preserve">lässt und nur die zusätzliche Täter-Opfer-Dichotomie Männer-Frauen einführt: „[Both] seem to speak the third world through a shared vocabulary which insists: they cannot represent themselves; they must be represented. </w:t>
      </w:r>
      <w:r>
        <w:rPr>
          <w:lang w:val="en-GB"/>
        </w:rPr>
        <w:t>The ‘third-world woman’ can thus be seen as yet another object of Western knowledges</w:t>
      </w:r>
      <w:proofErr w:type="gramStart"/>
      <w:r>
        <w:rPr>
          <w:lang w:val="en-GB"/>
        </w:rPr>
        <w:t xml:space="preserve">“ </w:t>
      </w:r>
      <w:r w:rsidRPr="009E4305">
        <w:rPr>
          <w:lang w:val="en-US"/>
        </w:rPr>
        <w:t>(</w:t>
      </w:r>
      <w:proofErr w:type="gramEnd"/>
      <w:r w:rsidRPr="009E4305">
        <w:rPr>
          <w:lang w:val="en-US"/>
        </w:rPr>
        <w:t>Gandhi 1998: 86).</w:t>
      </w:r>
    </w:p>
  </w:footnote>
  <w:footnote w:id="211">
    <w:p w:rsidR="005A5F2B" w:rsidRDefault="005A5F2B" w:rsidP="00CF6655">
      <w:pPr>
        <w:pStyle w:val="Funotentext"/>
      </w:pPr>
      <w:r>
        <w:rPr>
          <w:rStyle w:val="Funotenzeichen"/>
        </w:rPr>
        <w:footnoteRef/>
      </w:r>
      <w:r>
        <w:t xml:space="preserve"> </w:t>
      </w:r>
      <w:r>
        <w:tab/>
        <w:t>Engel 1972: 124f.</w:t>
      </w:r>
    </w:p>
  </w:footnote>
  <w:footnote w:id="212">
    <w:p w:rsidR="005A5F2B" w:rsidRDefault="005A5F2B" w:rsidP="00CF6655">
      <w:pPr>
        <w:pStyle w:val="Funotentext"/>
      </w:pPr>
      <w:r>
        <w:rPr>
          <w:rStyle w:val="Funotenzeichen"/>
        </w:rPr>
        <w:footnoteRef/>
      </w:r>
      <w:r>
        <w:t xml:space="preserve"> </w:t>
      </w:r>
      <w:r>
        <w:tab/>
        <w:t>ebd.: 288f.</w:t>
      </w:r>
    </w:p>
  </w:footnote>
  <w:footnote w:id="213">
    <w:p w:rsidR="005A5F2B" w:rsidRDefault="005A5F2B" w:rsidP="00CF6655">
      <w:pPr>
        <w:pStyle w:val="Funotentext"/>
      </w:pPr>
      <w:r>
        <w:rPr>
          <w:rStyle w:val="Funotenzeichen"/>
        </w:rPr>
        <w:footnoteRef/>
      </w:r>
      <w:r>
        <w:t xml:space="preserve"> </w:t>
      </w:r>
      <w:r>
        <w:tab/>
        <w:t>ebd.: 289.</w:t>
      </w:r>
    </w:p>
  </w:footnote>
  <w:footnote w:id="214">
    <w:p w:rsidR="005A5F2B" w:rsidRDefault="005A5F2B" w:rsidP="00CF6655">
      <w:pPr>
        <w:pStyle w:val="Funotentext"/>
      </w:pPr>
      <w:r>
        <w:rPr>
          <w:rStyle w:val="Funotenzeichen"/>
        </w:rPr>
        <w:footnoteRef/>
      </w:r>
      <w:r>
        <w:t xml:space="preserve"> </w:t>
      </w:r>
      <w:r>
        <w:tab/>
        <w:t>ebd.</w:t>
      </w:r>
    </w:p>
  </w:footnote>
  <w:footnote w:id="215">
    <w:p w:rsidR="005A5F2B" w:rsidRDefault="005A5F2B" w:rsidP="00CF6655">
      <w:pPr>
        <w:pStyle w:val="Funotentext"/>
      </w:pPr>
      <w:r>
        <w:rPr>
          <w:rStyle w:val="Funotenzeichen"/>
        </w:rPr>
        <w:footnoteRef/>
      </w:r>
      <w:r>
        <w:t xml:space="preserve"> </w:t>
      </w:r>
      <w:r>
        <w:tab/>
        <w:t>Trüper 2005: 444. Im Gegensatz zur ersten wird die zweite zitierte Passage, die den Fra</w:t>
      </w:r>
      <w:r>
        <w:t>u</w:t>
      </w:r>
      <w:r>
        <w:t>en das Schweigen in der Gemeinde befiehlt, als Gottes Wort gerechtfertigt; sie gehören zu der Abteilung des Ryksboek</w:t>
      </w:r>
      <w:r w:rsidR="00363C1C">
        <w:fldChar w:fldCharType="begin"/>
      </w:r>
      <w:r>
        <w:instrText xml:space="preserve"> XE "</w:instrText>
      </w:r>
      <w:r w:rsidRPr="00FD1566">
        <w:instrText>Ryksboek (Bethanien)</w:instrText>
      </w:r>
      <w:r>
        <w:instrText xml:space="preserve">" </w:instrText>
      </w:r>
      <w:r w:rsidR="00363C1C">
        <w:fldChar w:fldCharType="end"/>
      </w:r>
      <w:r>
        <w:t>, die „Wetten alleen uit Gods Woord“ (‚Gesetze allein aus Gottes Wort‘) überschrieben ist (ebd.).</w:t>
      </w:r>
    </w:p>
  </w:footnote>
  <w:footnote w:id="216">
    <w:p w:rsidR="005A5F2B" w:rsidRDefault="005A5F2B" w:rsidP="00CF6655">
      <w:pPr>
        <w:pStyle w:val="Funotentext"/>
      </w:pPr>
      <w:r>
        <w:rPr>
          <w:rStyle w:val="Funotenzeichen"/>
        </w:rPr>
        <w:footnoteRef/>
      </w:r>
      <w:r>
        <w:t xml:space="preserve"> </w:t>
      </w:r>
      <w:r>
        <w:tab/>
        <w:t>ebd.</w:t>
      </w:r>
    </w:p>
  </w:footnote>
  <w:footnote w:id="217">
    <w:p w:rsidR="005A5F2B" w:rsidRDefault="005A5F2B" w:rsidP="00004A81">
      <w:pPr>
        <w:pStyle w:val="Funotentext"/>
      </w:pPr>
      <w:r>
        <w:rPr>
          <w:rStyle w:val="Funotenzeichen"/>
        </w:rPr>
        <w:footnoteRef/>
      </w:r>
      <w:r>
        <w:t xml:space="preserve"> </w:t>
      </w:r>
      <w:r>
        <w:tab/>
        <w:t xml:space="preserve">Die Khoikhoi bilden eine Gruppe sprachlich und kulturell eng verwandter </w:t>
      </w:r>
      <w:r w:rsidRPr="0077605F">
        <w:t>V</w:t>
      </w:r>
      <w:r>
        <w:t>ölker, zu d</w:t>
      </w:r>
      <w:r>
        <w:t>e</w:t>
      </w:r>
      <w:r>
        <w:t>nen auch Nama und Orlam gehören (</w:t>
      </w:r>
      <w:r w:rsidRPr="00004A81">
        <w:t>http://de.wikipedia.org/wiki/Khoi_Khoi</w:t>
      </w:r>
      <w:r>
        <w:t>; Einsicht am 12.06.2012).</w:t>
      </w:r>
    </w:p>
  </w:footnote>
  <w:footnote w:id="218">
    <w:p w:rsidR="005A5F2B" w:rsidRDefault="005A5F2B" w:rsidP="00CF6655">
      <w:pPr>
        <w:pStyle w:val="Funotentext"/>
      </w:pPr>
      <w:r>
        <w:rPr>
          <w:rStyle w:val="Funotenzeichen"/>
        </w:rPr>
        <w:footnoteRef/>
      </w:r>
      <w:r>
        <w:t xml:space="preserve"> </w:t>
      </w:r>
      <w:r>
        <w:tab/>
        <w:t>Trüper 2005: 445f.</w:t>
      </w:r>
    </w:p>
  </w:footnote>
  <w:footnote w:id="219">
    <w:p w:rsidR="005A5F2B" w:rsidRDefault="005A5F2B" w:rsidP="00CF6655">
      <w:pPr>
        <w:pStyle w:val="Funotentext"/>
      </w:pPr>
      <w:r>
        <w:rPr>
          <w:rStyle w:val="Funotenzeichen"/>
        </w:rPr>
        <w:footnoteRef/>
      </w:r>
      <w:r>
        <w:t xml:space="preserve"> </w:t>
      </w:r>
      <w:r>
        <w:tab/>
        <w:t>Gründer 1985: 115.</w:t>
      </w:r>
    </w:p>
  </w:footnote>
  <w:footnote w:id="220">
    <w:p w:rsidR="005A5F2B" w:rsidRDefault="005A5F2B" w:rsidP="00CF6655">
      <w:pPr>
        <w:pStyle w:val="Funotentext"/>
      </w:pPr>
      <w:r>
        <w:rPr>
          <w:rStyle w:val="Funotenzeichen"/>
        </w:rPr>
        <w:footnoteRef/>
      </w:r>
      <w:r>
        <w:t xml:space="preserve"> </w:t>
      </w:r>
      <w:r>
        <w:tab/>
        <w:t>Gründer 1985: 115.</w:t>
      </w:r>
    </w:p>
  </w:footnote>
  <w:footnote w:id="221">
    <w:p w:rsidR="005A5F2B" w:rsidRDefault="005A5F2B">
      <w:pPr>
        <w:pStyle w:val="Funotentext"/>
      </w:pPr>
      <w:r>
        <w:rPr>
          <w:rStyle w:val="Funotenzeichen"/>
        </w:rPr>
        <w:footnoteRef/>
      </w:r>
      <w:r>
        <w:t xml:space="preserve"> </w:t>
      </w:r>
      <w:r>
        <w:tab/>
      </w:r>
      <w:r w:rsidRPr="00581EB2">
        <w:t>http://de.wikipedia.org/wiki/Kenilworth_Castle_</w:t>
      </w:r>
      <w:r>
        <w:t>(</w:t>
      </w:r>
      <w:r w:rsidRPr="00581EB2">
        <w:t>1904</w:t>
      </w:r>
      <w:r>
        <w:t>); Einsicht am 13.06.2012.</w:t>
      </w:r>
    </w:p>
  </w:footnote>
  <w:footnote w:id="222">
    <w:p w:rsidR="005A5F2B" w:rsidRDefault="005A5F2B" w:rsidP="00CF6655">
      <w:pPr>
        <w:pStyle w:val="Funotentext"/>
      </w:pPr>
      <w:r>
        <w:rPr>
          <w:rStyle w:val="Funotenzeichen"/>
        </w:rPr>
        <w:footnoteRef/>
      </w:r>
      <w:r>
        <w:tab/>
        <w:t>Spiecker vertraut grundsätzlich auf Autoritäten und Machtstrukturen, obwohl er vor i</w:t>
      </w:r>
      <w:r>
        <w:t>h</w:t>
      </w:r>
      <w:r>
        <w:t>rem Missbrauch (im Gegensatz zu den meisten der Brüder, die gänzlich konservativ de</w:t>
      </w:r>
      <w:r>
        <w:t>n</w:t>
      </w:r>
      <w:r>
        <w:t>ken) nicht die Augen verschließt. Wenn er weiterhin an eine andere Eingeborenenpolitik durch den Gouverneur glaubt, hat dies auch eine psychologische Dimension: Als gewi</w:t>
      </w:r>
      <w:r>
        <w:t>s</w:t>
      </w:r>
      <w:r>
        <w:t>senhafter Mensch mit einem entwickelten Rechtsgefühl müsste er sich sonst mit der Fr</w:t>
      </w:r>
      <w:r>
        <w:t>a</w:t>
      </w:r>
      <w:r>
        <w:t>ge auseinandersetzen, wie er sich zum Aufstand</w:t>
      </w:r>
      <w:r w:rsidR="00363C1C">
        <w:fldChar w:fldCharType="begin"/>
      </w:r>
      <w:r>
        <w:instrText xml:space="preserve"> XE "</w:instrText>
      </w:r>
      <w:r w:rsidRPr="00AA3184">
        <w:instrText>Aufstand</w:instrText>
      </w:r>
      <w:r>
        <w:instrText xml:space="preserve">" </w:instrText>
      </w:r>
      <w:r w:rsidR="00363C1C">
        <w:fldChar w:fldCharType="end"/>
      </w:r>
      <w:r>
        <w:t xml:space="preserve"> stellen soll und ob dieser nicht doch als berechtigter Widerstand anzusehen ist. Die Auseinandersetzung mit Br. Blecher</w:t>
      </w:r>
      <w:r w:rsidR="00363C1C">
        <w:fldChar w:fldCharType="begin"/>
      </w:r>
      <w:r>
        <w:instrText xml:space="preserve"> XE "</w:instrText>
      </w:r>
      <w:r w:rsidRPr="00654614">
        <w:instrText>Blecher, Geschw.</w:instrText>
      </w:r>
      <w:r>
        <w:instrText xml:space="preserve">" </w:instrText>
      </w:r>
      <w:r w:rsidR="00363C1C">
        <w:fldChar w:fldCharType="end"/>
      </w:r>
      <w:r>
        <w:t xml:space="preserve"> (861f; vgl. Abschnitt </w:t>
      </w:r>
      <w:r w:rsidR="00363C1C">
        <w:fldChar w:fldCharType="begin"/>
      </w:r>
      <w:r>
        <w:instrText xml:space="preserve"> REF _Ref325357419 \r \h </w:instrText>
      </w:r>
      <w:r w:rsidR="00363C1C">
        <w:fldChar w:fldCharType="separate"/>
      </w:r>
      <w:r w:rsidR="00216538">
        <w:t>2.4.3</w:t>
      </w:r>
      <w:r w:rsidR="00363C1C">
        <w:fldChar w:fldCharType="end"/>
      </w:r>
      <w:r>
        <w:t>), wobei es auch um die Frage der Schuld der Aufständischen geht, zeigt, dass ihn dieser Punkt beschäftigt. Sie gehört zu den ganz wenigen Situationen, in denen Spiecker anderen nicht völlig beherrscht gegenüber tritt; die Tagebuchpassage drückt Irritation aus, dass ihm eine Auseinandersetzung entglitten ist.</w:t>
      </w:r>
    </w:p>
  </w:footnote>
  <w:footnote w:id="223">
    <w:p w:rsidR="005A5F2B" w:rsidRDefault="005A5F2B" w:rsidP="00CF6655">
      <w:pPr>
        <w:pStyle w:val="Funotentext"/>
      </w:pPr>
      <w:r>
        <w:rPr>
          <w:rStyle w:val="Funotenzeichen"/>
        </w:rPr>
        <w:footnoteRef/>
      </w:r>
      <w:r>
        <w:tab/>
        <w:t>Karl Peters</w:t>
      </w:r>
      <w:r w:rsidR="00363C1C">
        <w:fldChar w:fldCharType="begin"/>
      </w:r>
      <w:r>
        <w:instrText xml:space="preserve"> XE "</w:instrText>
      </w:r>
      <w:r w:rsidRPr="00F40AAC">
        <w:instrText>Peters, Karl</w:instrText>
      </w:r>
      <w:r>
        <w:instrText xml:space="preserve">" </w:instrText>
      </w:r>
      <w:r w:rsidR="00363C1C">
        <w:fldChar w:fldCharType="end"/>
      </w:r>
      <w:r>
        <w:t xml:space="preserve"> setzte sich für einen allgemeinen Arbeitszwang ein, um den Deutschen au</w:t>
      </w:r>
      <w:r>
        <w:t>s</w:t>
      </w:r>
      <w:r>
        <w:t xml:space="preserve">reichend Plantagenarbeiter zu sichern (Timm, S. 10). Vgl. auch </w:t>
      </w:r>
      <w:r w:rsidRPr="005D672D">
        <w:t>http://de.wikipedia.org/wiki/Carl_Peters</w:t>
      </w:r>
      <w:r>
        <w:t>; Einsicht am 13.06.2012.</w:t>
      </w:r>
    </w:p>
  </w:footnote>
  <w:footnote w:id="224">
    <w:p w:rsidR="005A5F2B" w:rsidRDefault="005A5F2B" w:rsidP="00CF6655">
      <w:pPr>
        <w:pStyle w:val="Funotentext"/>
      </w:pPr>
      <w:r>
        <w:rPr>
          <w:rStyle w:val="Funotenzeichen"/>
        </w:rPr>
        <w:footnoteRef/>
      </w:r>
      <w:r>
        <w:tab/>
        <w:t>Paul Samassa</w:t>
      </w:r>
      <w:r w:rsidR="00363C1C">
        <w:fldChar w:fldCharType="begin"/>
      </w:r>
      <w:r>
        <w:instrText xml:space="preserve"> XE "</w:instrText>
      </w:r>
      <w:r w:rsidRPr="00206567">
        <w:instrText>Samassa, Paul</w:instrText>
      </w:r>
      <w:r>
        <w:instrText xml:space="preserve">" </w:instrText>
      </w:r>
      <w:r w:rsidR="00363C1C">
        <w:fldChar w:fldCharType="end"/>
      </w:r>
      <w:r>
        <w:t xml:space="preserve"> hatte mit dem Buch „Das neue Südafrika“ (Samassa 1905) Partei in einem Konflikt zwischen Br. Weber</w:t>
      </w:r>
      <w:r w:rsidR="00363C1C">
        <w:fldChar w:fldCharType="begin"/>
      </w:r>
      <w:r>
        <w:instrText xml:space="preserve"> XE "</w:instrText>
      </w:r>
      <w:r w:rsidRPr="002C5A3F">
        <w:instrText>Weber, Br.</w:instrText>
      </w:r>
      <w:r>
        <w:instrText xml:space="preserve">" </w:instrText>
      </w:r>
      <w:r w:rsidR="00363C1C">
        <w:fldChar w:fldCharType="end"/>
      </w:r>
      <w:r>
        <w:t xml:space="preserve"> in Stellenbosch</w:t>
      </w:r>
      <w:r w:rsidR="00363C1C">
        <w:fldChar w:fldCharType="begin"/>
      </w:r>
      <w:r>
        <w:instrText xml:space="preserve"> XE "</w:instrText>
      </w:r>
      <w:r w:rsidRPr="00322A39">
        <w:instrText>Stellenbosch</w:instrText>
      </w:r>
      <w:r>
        <w:instrText xml:space="preserve">" </w:instrText>
      </w:r>
      <w:r w:rsidR="00363C1C">
        <w:fldChar w:fldCharType="end"/>
      </w:r>
      <w:r>
        <w:t xml:space="preserve"> und Pastor Wagner</w:t>
      </w:r>
      <w:r w:rsidR="00363C1C">
        <w:fldChar w:fldCharType="begin"/>
      </w:r>
      <w:r>
        <w:instrText xml:space="preserve"> XE "</w:instrText>
      </w:r>
      <w:r w:rsidRPr="0050022E">
        <w:instrText>Wagner, Pastor (Kapstadt)</w:instrText>
      </w:r>
      <w:r>
        <w:instrText xml:space="preserve">" </w:instrText>
      </w:r>
      <w:r w:rsidR="00363C1C">
        <w:fldChar w:fldCharType="end"/>
      </w:r>
      <w:r>
        <w:t xml:space="preserve"> in Kapstadt genommen. Br. Weber</w:t>
      </w:r>
      <w:r w:rsidR="00363C1C">
        <w:fldChar w:fldCharType="begin"/>
      </w:r>
      <w:r>
        <w:instrText xml:space="preserve"> XE "</w:instrText>
      </w:r>
      <w:r w:rsidRPr="002C5A3F">
        <w:instrText>Weber, Br.</w:instrText>
      </w:r>
      <w:r>
        <w:instrText xml:space="preserve">" </w:instrText>
      </w:r>
      <w:r w:rsidR="00363C1C">
        <w:fldChar w:fldCharType="end"/>
      </w:r>
      <w:r>
        <w:t xml:space="preserve"> galt als Pro-Englisch und Eingeborenen-freundlich, Pastor Wagner</w:t>
      </w:r>
      <w:r w:rsidR="00363C1C">
        <w:fldChar w:fldCharType="begin"/>
      </w:r>
      <w:r>
        <w:instrText xml:space="preserve"> XE "</w:instrText>
      </w:r>
      <w:r w:rsidRPr="0050022E">
        <w:instrText>Wagner, Pastor (Kapstadt)</w:instrText>
      </w:r>
      <w:r>
        <w:instrText xml:space="preserve">" </w:instrText>
      </w:r>
      <w:r w:rsidR="00363C1C">
        <w:fldChar w:fldCharType="end"/>
      </w:r>
      <w:r>
        <w:t xml:space="preserve"> vertrat die Position der Boerenpartei und damit eine Unterdrückungspolitik gegen die Eingebor</w:t>
      </w:r>
      <w:r>
        <w:t>e</w:t>
      </w:r>
      <w:r>
        <w:t>nen, die den Vorstellungen der deutschen Militärs in Südwestafrika entsprach. Vermu</w:t>
      </w:r>
      <w:r>
        <w:t>t</w:t>
      </w:r>
      <w:r>
        <w:t>lich deshalb bezeichnet Gouverneur Lindequist</w:t>
      </w:r>
      <w:r w:rsidR="00363C1C">
        <w:fldChar w:fldCharType="begin"/>
      </w:r>
      <w:r>
        <w:instrText xml:space="preserve"> XE "</w:instrText>
      </w:r>
      <w:r w:rsidRPr="00F96CA9">
        <w:instrText>Lindequist, Gouverneur von</w:instrText>
      </w:r>
      <w:r>
        <w:instrText xml:space="preserve">" </w:instrText>
      </w:r>
      <w:r w:rsidR="00363C1C">
        <w:fldChar w:fldCharType="end"/>
      </w:r>
      <w:r>
        <w:t xml:space="preserve"> sie als „meine Partei“ (48). Spiecker schreibt: „Beim Lesen des Buches von Professor Samassa</w:t>
      </w:r>
      <w:r w:rsidR="00363C1C">
        <w:fldChar w:fldCharType="begin"/>
      </w:r>
      <w:r>
        <w:instrText xml:space="preserve"> XE "</w:instrText>
      </w:r>
      <w:r w:rsidRPr="00206567">
        <w:instrText>Samassa, Paul</w:instrText>
      </w:r>
      <w:r>
        <w:instrText xml:space="preserve">" </w:instrText>
      </w:r>
      <w:r w:rsidR="00363C1C">
        <w:fldChar w:fldCharType="end"/>
      </w:r>
      <w:r>
        <w:t xml:space="preserve"> werde ich in der Überzeugung befestigt, daß er seine lächerlich aburteilenden gedankenlosen Behauptungen über unsere Mission dem Pastor Wagner</w:t>
      </w:r>
      <w:r w:rsidR="00363C1C">
        <w:fldChar w:fldCharType="begin"/>
      </w:r>
      <w:r>
        <w:instrText xml:space="preserve"> XE "</w:instrText>
      </w:r>
      <w:r w:rsidRPr="0050022E">
        <w:instrText>Wagner, Pastor (Kapstadt)</w:instrText>
      </w:r>
      <w:r>
        <w:instrText xml:space="preserve">" </w:instrText>
      </w:r>
      <w:r w:rsidR="00363C1C">
        <w:fldChar w:fldCharType="end"/>
      </w:r>
      <w:r>
        <w:t xml:space="preserve"> in Kapstadt</w:t>
      </w:r>
      <w:r w:rsidR="00363C1C">
        <w:fldChar w:fldCharType="begin"/>
      </w:r>
      <w:r>
        <w:instrText xml:space="preserve"> XE "Kapstadt" </w:instrText>
      </w:r>
      <w:r w:rsidR="00363C1C">
        <w:fldChar w:fldCharType="end"/>
      </w:r>
      <w:r>
        <w:t xml:space="preserve"> und seinen Gesinnungsgenossen verdankt. […] Für diese handelt es sich nur darum, wie kann man die Farbigen in unbedingter Abhä</w:t>
      </w:r>
      <w:r>
        <w:t>n</w:t>
      </w:r>
      <w:r>
        <w:t>gigkeit von den Weißen erhalten, während wir nicht nur die sittlich-religiöse, sondern auch in Verband damit die intellektuelle und soziale Hebung der Farbigen ins Auge fa</w:t>
      </w:r>
      <w:r>
        <w:t>s</w:t>
      </w:r>
      <w:r>
        <w:t>sen müssen“ (290f). Dies entspricht der Politik der Engländer in der Kapkolonie, die de</w:t>
      </w:r>
      <w:r>
        <w:t>s</w:t>
      </w:r>
      <w:r>
        <w:t>halb auch von Spiecker uneingeschränkt gut geheißen wird: „Meiner Überzeugung nach treiben die Engländer eine nicht leichte, aber ganz vorzügliche Eingeborenenpolitik“ (274f).</w:t>
      </w:r>
    </w:p>
  </w:footnote>
  <w:footnote w:id="225">
    <w:p w:rsidR="005A5F2B" w:rsidRDefault="005A5F2B">
      <w:pPr>
        <w:pStyle w:val="Funotentext"/>
      </w:pPr>
      <w:r>
        <w:rPr>
          <w:rStyle w:val="Funotenzeichen"/>
        </w:rPr>
        <w:footnoteRef/>
      </w:r>
      <w:r>
        <w:t xml:space="preserve"> </w:t>
      </w:r>
      <w:r>
        <w:tab/>
      </w:r>
      <w:r w:rsidRPr="005D672D">
        <w:t>http://de.wikipedia.org/wiki/Hans_von_Jacobs</w:t>
      </w:r>
      <w:r>
        <w:t>; Einsicht am 13.06.2012.</w:t>
      </w:r>
    </w:p>
  </w:footnote>
  <w:footnote w:id="226">
    <w:p w:rsidR="005A5F2B" w:rsidRDefault="005A5F2B" w:rsidP="005B126D">
      <w:pPr>
        <w:pStyle w:val="Funotentext"/>
      </w:pPr>
      <w:r>
        <w:rPr>
          <w:rStyle w:val="Funotenzeichen"/>
        </w:rPr>
        <w:footnoteRef/>
      </w:r>
      <w:r>
        <w:t xml:space="preserve"> </w:t>
      </w:r>
      <w:r>
        <w:tab/>
        <w:t>Der Zweite Burenkrieg</w:t>
      </w:r>
      <w:r w:rsidR="00363C1C">
        <w:fldChar w:fldCharType="begin"/>
      </w:r>
      <w:r>
        <w:instrText xml:space="preserve"> XE "</w:instrText>
      </w:r>
      <w:r w:rsidRPr="00B30A75">
        <w:instrText>Burenkriege</w:instrText>
      </w:r>
      <w:r>
        <w:instrText xml:space="preserve">" </w:instrText>
      </w:r>
      <w:r w:rsidR="00363C1C">
        <w:fldChar w:fldCharType="end"/>
      </w:r>
      <w:r>
        <w:t xml:space="preserve"> war eine militärische Auseinandersetzung zwischen Großbrita</w:t>
      </w:r>
      <w:r>
        <w:t>n</w:t>
      </w:r>
      <w:r>
        <w:t>nien und den Burenrepubliken Oranje-Freistaat und Südafrikanische Republik (Tran</w:t>
      </w:r>
      <w:r>
        <w:t>s</w:t>
      </w:r>
      <w:r>
        <w:t>vaal), der von 1899 bis 1902 dauerte und mit der Eingliederung der Burenrepubliken in das britische Imperium endete (</w:t>
      </w:r>
      <w:r w:rsidRPr="00017A67">
        <w:t>http://de.wikipedia.org/wiki/Zweiter_Burenkrieg</w:t>
      </w:r>
      <w:r w:rsidR="00363C1C">
        <w:fldChar w:fldCharType="begin"/>
      </w:r>
      <w:r>
        <w:instrText xml:space="preserve"> XE "</w:instrText>
      </w:r>
      <w:r w:rsidRPr="00B30A75">
        <w:instrText>Burenkriege</w:instrText>
      </w:r>
      <w:r>
        <w:instrText xml:space="preserve">" </w:instrText>
      </w:r>
      <w:r w:rsidR="00363C1C">
        <w:fldChar w:fldCharType="end"/>
      </w:r>
      <w:r>
        <w:t>; Ei</w:t>
      </w:r>
      <w:r>
        <w:t>n</w:t>
      </w:r>
      <w:r>
        <w:t>sicht am 6.06.2012). Vorausgegangen war der Erste Burenkrieg</w:t>
      </w:r>
      <w:r w:rsidR="00363C1C">
        <w:fldChar w:fldCharType="begin"/>
      </w:r>
      <w:r>
        <w:instrText xml:space="preserve"> XE "</w:instrText>
      </w:r>
      <w:r w:rsidRPr="00B30A75">
        <w:instrText>Burenkriege</w:instrText>
      </w:r>
      <w:r>
        <w:instrText xml:space="preserve">" </w:instrText>
      </w:r>
      <w:r w:rsidR="00363C1C">
        <w:fldChar w:fldCharType="end"/>
      </w:r>
      <w:r>
        <w:t xml:space="preserve"> (1880 bis 1881), den die Buren</w:t>
      </w:r>
      <w:r w:rsidR="00363C1C">
        <w:fldChar w:fldCharType="begin"/>
      </w:r>
      <w:r>
        <w:instrText xml:space="preserve"> XE "</w:instrText>
      </w:r>
      <w:r w:rsidRPr="00282394">
        <w:instrText>Buren</w:instrText>
      </w:r>
      <w:r>
        <w:instrText xml:space="preserve">" </w:instrText>
      </w:r>
      <w:r w:rsidR="00363C1C">
        <w:fldChar w:fldCharType="end"/>
      </w:r>
      <w:r>
        <w:t xml:space="preserve"> für sich hatten entscheiden können und der zur Selbständigkeit der Südafrikan</w:t>
      </w:r>
      <w:r>
        <w:t>i</w:t>
      </w:r>
      <w:r>
        <w:t>schen Republik geführt hatte (</w:t>
      </w:r>
      <w:r w:rsidRPr="00017A67">
        <w:t>http://de.wikipedia.org/wiki/Erster_Burenkrieg</w:t>
      </w:r>
      <w:r w:rsidR="00363C1C">
        <w:fldChar w:fldCharType="begin"/>
      </w:r>
      <w:r>
        <w:instrText xml:space="preserve"> XE "</w:instrText>
      </w:r>
      <w:r w:rsidRPr="00B30A75">
        <w:instrText>Burenkriege</w:instrText>
      </w:r>
      <w:r>
        <w:instrText xml:space="preserve">" </w:instrText>
      </w:r>
      <w:r w:rsidR="00363C1C">
        <w:fldChar w:fldCharType="end"/>
      </w:r>
      <w:r>
        <w:t>; Einsicht am 6.06.2012).</w:t>
      </w:r>
    </w:p>
  </w:footnote>
  <w:footnote w:id="227">
    <w:p w:rsidR="005A5F2B" w:rsidRDefault="005A5F2B" w:rsidP="00CF6655">
      <w:pPr>
        <w:pStyle w:val="Funotentext"/>
      </w:pPr>
      <w:r>
        <w:rPr>
          <w:rStyle w:val="Funotenzeichen"/>
        </w:rPr>
        <w:footnoteRef/>
      </w:r>
      <w:r>
        <w:tab/>
        <w:t>Auch Spiecker spricht von der „beständigen Hetze gegen England in deutschen Zeitu</w:t>
      </w:r>
      <w:r>
        <w:t>n</w:t>
      </w:r>
      <w:r>
        <w:t>gen etc.“ (1902) Er befürchtet, dass sich dadurch die Haltung der englischen Regierung der Kapprovinz</w:t>
      </w:r>
      <w:r w:rsidR="00363C1C">
        <w:fldChar w:fldCharType="begin"/>
      </w:r>
      <w:r>
        <w:instrText xml:space="preserve"> XE "</w:instrText>
      </w:r>
      <w:r w:rsidRPr="008615D3">
        <w:instrText>Kapprovinz</w:instrText>
      </w:r>
      <w:r>
        <w:instrText xml:space="preserve">" </w:instrText>
      </w:r>
      <w:r w:rsidR="00363C1C">
        <w:fldChar w:fldCharType="end"/>
      </w:r>
      <w:r>
        <w:t xml:space="preserve"> zur Mission, die er bisher als „sehr entgegenkommend“ (ebd.) empfu</w:t>
      </w:r>
      <w:r>
        <w:t>n</w:t>
      </w:r>
      <w:r>
        <w:t>den hat, allmählich ändern könnte.</w:t>
      </w:r>
    </w:p>
  </w:footnote>
  <w:footnote w:id="228">
    <w:p w:rsidR="005A5F2B" w:rsidRDefault="005A5F2B" w:rsidP="00CF6655">
      <w:pPr>
        <w:pStyle w:val="Funotentext"/>
      </w:pPr>
      <w:r>
        <w:rPr>
          <w:rStyle w:val="Funotenzeichen"/>
        </w:rPr>
        <w:footnoteRef/>
      </w:r>
      <w:r>
        <w:tab/>
        <w:t>Doyle</w:t>
      </w:r>
      <w:r w:rsidR="00363C1C">
        <w:fldChar w:fldCharType="begin"/>
      </w:r>
      <w:r>
        <w:instrText xml:space="preserve"> XE "</w:instrText>
      </w:r>
      <w:r w:rsidRPr="006E53AD">
        <w:instrText>Doyle, Arthur Conan</w:instrText>
      </w:r>
      <w:r>
        <w:instrText xml:space="preserve">" </w:instrText>
      </w:r>
      <w:r w:rsidR="00363C1C">
        <w:fldChar w:fldCharType="end"/>
      </w:r>
      <w:r>
        <w:t xml:space="preserve"> hatte sich 1896 freiwillig zum Burenkrieg</w:t>
      </w:r>
      <w:r w:rsidR="00363C1C">
        <w:fldChar w:fldCharType="begin"/>
      </w:r>
      <w:r>
        <w:instrText xml:space="preserve"> XE "</w:instrText>
      </w:r>
      <w:r w:rsidRPr="00B30A75">
        <w:instrText>Burenkriege</w:instrText>
      </w:r>
      <w:r>
        <w:instrText xml:space="preserve">" </w:instrText>
      </w:r>
      <w:r w:rsidR="00363C1C">
        <w:fldChar w:fldCharType="end"/>
      </w:r>
      <w:r>
        <w:t xml:space="preserve"> gemeldet, wurde aber aufgrund seines Gesundheitszustands nicht seinem Wunsch entsprechend an der Front eingesetzt, so</w:t>
      </w:r>
      <w:r>
        <w:t>n</w:t>
      </w:r>
      <w:r>
        <w:t>dern arbeitete als Lazarettsarzt. 1900 erscheint „The Great Boor War“, das 1902 ins Deu</w:t>
      </w:r>
      <w:r>
        <w:t>t</w:t>
      </w:r>
      <w:r>
        <w:t>sche übersetzt wurde (Doyle</w:t>
      </w:r>
      <w:r w:rsidR="00363C1C">
        <w:fldChar w:fldCharType="begin"/>
      </w:r>
      <w:r>
        <w:instrText xml:space="preserve"> XE "</w:instrText>
      </w:r>
      <w:r w:rsidRPr="006E53AD">
        <w:instrText>Doyle, Arthur Conan</w:instrText>
      </w:r>
      <w:r>
        <w:instrText xml:space="preserve">" </w:instrText>
      </w:r>
      <w:r w:rsidR="00363C1C">
        <w:fldChar w:fldCharType="end"/>
      </w:r>
      <w:r>
        <w:t xml:space="preserve"> 1902). Schon 1902 wird Doyle</w:t>
      </w:r>
      <w:r w:rsidR="00363C1C">
        <w:fldChar w:fldCharType="begin"/>
      </w:r>
      <w:r>
        <w:instrText xml:space="preserve"> XE "</w:instrText>
      </w:r>
      <w:r w:rsidRPr="006E53AD">
        <w:instrText>Doyle, Arthur Conan</w:instrText>
      </w:r>
      <w:r>
        <w:instrText xml:space="preserve">" </w:instrText>
      </w:r>
      <w:r w:rsidR="00363C1C">
        <w:fldChar w:fldCharType="end"/>
      </w:r>
      <w:r>
        <w:t>, der zu diesem Zeitpunkt b</w:t>
      </w:r>
      <w:r>
        <w:t>e</w:t>
      </w:r>
      <w:r>
        <w:t>reits als Begründer des modernen Kriminalromans gilt und viele Nachahmer gefunden hat, für seine Verdienste im Burenkrieg</w:t>
      </w:r>
      <w:r w:rsidR="00363C1C">
        <w:fldChar w:fldCharType="begin"/>
      </w:r>
      <w:r>
        <w:instrText xml:space="preserve"> XE "</w:instrText>
      </w:r>
      <w:r w:rsidRPr="00B30A75">
        <w:instrText>Burenkriege</w:instrText>
      </w:r>
      <w:r>
        <w:instrText xml:space="preserve">" </w:instrText>
      </w:r>
      <w:r w:rsidR="00363C1C">
        <w:fldChar w:fldCharType="end"/>
      </w:r>
      <w:r>
        <w:t xml:space="preserve"> geadelt, wozu vor allem seine patriotische Verte</w:t>
      </w:r>
      <w:r>
        <w:t>i</w:t>
      </w:r>
      <w:r>
        <w:t>digung der englischen Position in „The Great Boor War“ gehörte.</w:t>
      </w:r>
    </w:p>
  </w:footnote>
  <w:footnote w:id="229">
    <w:p w:rsidR="005A5F2B" w:rsidRDefault="005A5F2B" w:rsidP="00CF6655">
      <w:pPr>
        <w:pStyle w:val="Funotentext"/>
      </w:pPr>
      <w:r>
        <w:rPr>
          <w:rStyle w:val="Funotenzeichen"/>
        </w:rPr>
        <w:footnoteRef/>
      </w:r>
      <w:r>
        <w:t xml:space="preserve"> </w:t>
      </w:r>
      <w:r>
        <w:tab/>
        <w:t>Doyle</w:t>
      </w:r>
      <w:r w:rsidR="00363C1C">
        <w:fldChar w:fldCharType="begin"/>
      </w:r>
      <w:r>
        <w:instrText xml:space="preserve"> XE "</w:instrText>
      </w:r>
      <w:r w:rsidRPr="006E53AD">
        <w:instrText>Doyle, Arthur Conan</w:instrText>
      </w:r>
      <w:r>
        <w:instrText xml:space="preserve">" </w:instrText>
      </w:r>
      <w:r w:rsidR="00363C1C">
        <w:fldChar w:fldCharType="end"/>
      </w:r>
      <w:r>
        <w:t xml:space="preserve"> 1902: Vorblatt ohne Seitenzahl.</w:t>
      </w:r>
    </w:p>
  </w:footnote>
  <w:footnote w:id="230">
    <w:p w:rsidR="005A5F2B" w:rsidRDefault="005A5F2B" w:rsidP="00CF6655">
      <w:pPr>
        <w:pStyle w:val="Funotentext"/>
      </w:pPr>
      <w:r>
        <w:rPr>
          <w:rStyle w:val="Funotenzeichen"/>
        </w:rPr>
        <w:footnoteRef/>
      </w:r>
      <w:r>
        <w:t xml:space="preserve"> </w:t>
      </w:r>
      <w:r>
        <w:tab/>
        <w:t>ebd.: 149.</w:t>
      </w:r>
    </w:p>
  </w:footnote>
  <w:footnote w:id="231">
    <w:p w:rsidR="005A5F2B" w:rsidRDefault="005A5F2B" w:rsidP="00CF6655">
      <w:pPr>
        <w:pStyle w:val="Funotentext"/>
      </w:pPr>
      <w:r>
        <w:rPr>
          <w:rStyle w:val="Funotenzeichen"/>
        </w:rPr>
        <w:footnoteRef/>
      </w:r>
      <w:r>
        <w:t xml:space="preserve"> </w:t>
      </w:r>
      <w:r>
        <w:tab/>
        <w:t>ebd.: 150.</w:t>
      </w:r>
    </w:p>
  </w:footnote>
  <w:footnote w:id="232">
    <w:p w:rsidR="005A5F2B" w:rsidRDefault="005A5F2B" w:rsidP="00CF6655">
      <w:pPr>
        <w:pStyle w:val="Funotentext"/>
      </w:pPr>
      <w:r>
        <w:rPr>
          <w:rStyle w:val="Funotenzeichen"/>
        </w:rPr>
        <w:footnoteRef/>
      </w:r>
      <w:r>
        <w:t xml:space="preserve"> </w:t>
      </w:r>
      <w:r>
        <w:tab/>
        <w:t>ebd.: 148f</w:t>
      </w:r>
    </w:p>
  </w:footnote>
  <w:footnote w:id="233">
    <w:p w:rsidR="005A5F2B" w:rsidRDefault="005A5F2B" w:rsidP="00CF6655">
      <w:pPr>
        <w:pStyle w:val="Funotentext"/>
      </w:pPr>
      <w:r>
        <w:rPr>
          <w:rStyle w:val="Funotenzeichen"/>
        </w:rPr>
        <w:footnoteRef/>
      </w:r>
      <w:r>
        <w:t xml:space="preserve"> </w:t>
      </w:r>
      <w:r>
        <w:tab/>
        <w:t>ebd.: 107.</w:t>
      </w:r>
    </w:p>
  </w:footnote>
  <w:footnote w:id="234">
    <w:p w:rsidR="005A5F2B" w:rsidRDefault="005A5F2B" w:rsidP="00CF6655">
      <w:pPr>
        <w:pStyle w:val="Funotentext"/>
      </w:pPr>
      <w:r>
        <w:rPr>
          <w:rStyle w:val="Funotenzeichen"/>
        </w:rPr>
        <w:footnoteRef/>
      </w:r>
      <w:r>
        <w:t xml:space="preserve"> </w:t>
      </w:r>
      <w:r>
        <w:tab/>
        <w:t>ebd.: 106.</w:t>
      </w:r>
    </w:p>
  </w:footnote>
  <w:footnote w:id="235">
    <w:p w:rsidR="005A5F2B" w:rsidRDefault="005A5F2B" w:rsidP="00032CED">
      <w:pPr>
        <w:pStyle w:val="Funotentext"/>
      </w:pPr>
      <w:r>
        <w:rPr>
          <w:rStyle w:val="Funotenzeichen"/>
        </w:rPr>
        <w:footnoteRef/>
      </w:r>
      <w:r>
        <w:t xml:space="preserve"> </w:t>
      </w:r>
      <w:r>
        <w:tab/>
      </w:r>
      <w:r w:rsidRPr="00373C04">
        <w:t>http://de.wikipedia.org/wiki/Hans_Merensky</w:t>
      </w:r>
      <w:r w:rsidR="00363C1C">
        <w:fldChar w:fldCharType="begin"/>
      </w:r>
      <w:r>
        <w:instrText xml:space="preserve"> XE "</w:instrText>
      </w:r>
      <w:r w:rsidRPr="00C84BB7">
        <w:instrText>Merensky, Hans</w:instrText>
      </w:r>
      <w:r>
        <w:instrText xml:space="preserve">" </w:instrText>
      </w:r>
      <w:r w:rsidR="00363C1C">
        <w:fldChar w:fldCharType="end"/>
      </w:r>
      <w:r>
        <w:t>;</w:t>
      </w:r>
      <w:r w:rsidRPr="00373C04">
        <w:t xml:space="preserve"> </w:t>
      </w:r>
      <w:r>
        <w:t>Einsicht am 7.05.2012.</w:t>
      </w:r>
    </w:p>
  </w:footnote>
  <w:footnote w:id="236">
    <w:p w:rsidR="005A5F2B" w:rsidRDefault="005A5F2B" w:rsidP="00032CED">
      <w:pPr>
        <w:pStyle w:val="Funotentext"/>
      </w:pPr>
      <w:r>
        <w:rPr>
          <w:rStyle w:val="Funotenzeichen"/>
        </w:rPr>
        <w:footnoteRef/>
      </w:r>
      <w:r>
        <w:t xml:space="preserve"> </w:t>
      </w:r>
      <w:r>
        <w:tab/>
        <w:t>„Der weiße Afrikaner“, 2004. Regie: Martin Enlen.</w:t>
      </w:r>
    </w:p>
  </w:footnote>
  <w:footnote w:id="237">
    <w:p w:rsidR="005A5F2B" w:rsidRDefault="005A5F2B">
      <w:pPr>
        <w:pStyle w:val="Funotentext"/>
      </w:pPr>
      <w:r>
        <w:rPr>
          <w:rStyle w:val="Funotenzeichen"/>
        </w:rPr>
        <w:footnoteRef/>
      </w:r>
      <w:r>
        <w:t xml:space="preserve"> </w:t>
      </w:r>
      <w:r>
        <w:tab/>
        <w:t>Falls es sich um Hans von Jacobs handelt, der Legationsrat und Generalkonsul in Kap</w:t>
      </w:r>
      <w:r>
        <w:t>s</w:t>
      </w:r>
      <w:r>
        <w:t xml:space="preserve">tadt war (siehe Abschnitt </w:t>
      </w:r>
      <w:r w:rsidR="00363C1C">
        <w:fldChar w:fldCharType="begin"/>
      </w:r>
      <w:r>
        <w:instrText xml:space="preserve"> REF _Ref327378513 \r \h </w:instrText>
      </w:r>
      <w:r w:rsidR="00363C1C">
        <w:fldChar w:fldCharType="separate"/>
      </w:r>
      <w:r w:rsidR="00216538">
        <w:t>3.1.2</w:t>
      </w:r>
      <w:r w:rsidR="00363C1C">
        <w:fldChar w:fldCharType="end"/>
      </w:r>
      <w:r>
        <w:t>), scheint dieser Anfang April 1906 eine Reise nach Win</w:t>
      </w:r>
      <w:r>
        <w:t>d</w:t>
      </w:r>
      <w:r>
        <w:t>huk unternommen zu haben.</w:t>
      </w:r>
    </w:p>
  </w:footnote>
  <w:footnote w:id="238">
    <w:p w:rsidR="005A5F2B" w:rsidRDefault="005A5F2B" w:rsidP="00CF6655">
      <w:pPr>
        <w:pStyle w:val="Funotentext"/>
      </w:pPr>
      <w:r>
        <w:rPr>
          <w:rStyle w:val="Funotenzeichen"/>
        </w:rPr>
        <w:footnoteRef/>
      </w:r>
      <w:r>
        <w:t xml:space="preserve"> </w:t>
      </w:r>
      <w:r>
        <w:tab/>
        <w:t>Heinrich Vedder</w:t>
      </w:r>
      <w:r w:rsidR="00363C1C">
        <w:fldChar w:fldCharType="begin"/>
      </w:r>
      <w:r>
        <w:instrText xml:space="preserve"> XE "</w:instrText>
      </w:r>
      <w:r w:rsidRPr="001901EA">
        <w:instrText>Vedder, Br.</w:instrText>
      </w:r>
      <w:r>
        <w:instrText xml:space="preserve">" </w:instrText>
      </w:r>
      <w:r w:rsidR="00363C1C">
        <w:fldChar w:fldCharType="end"/>
      </w:r>
      <w:r>
        <w:t>, der erst im Januar 1905 die Missionsarbeit in Swakopmund</w:t>
      </w:r>
      <w:r w:rsidR="00363C1C">
        <w:fldChar w:fldCharType="begin"/>
      </w:r>
      <w:r>
        <w:instrText xml:space="preserve"> XE "</w:instrText>
      </w:r>
      <w:r w:rsidRPr="00655FF6">
        <w:instrText>Swakopmund</w:instrText>
      </w:r>
      <w:r>
        <w:instrText xml:space="preserve">" </w:instrText>
      </w:r>
      <w:r w:rsidR="00363C1C">
        <w:fldChar w:fldCharType="end"/>
      </w:r>
      <w:r>
        <w:t xml:space="preserve"> überno</w:t>
      </w:r>
      <w:r>
        <w:t>m</w:t>
      </w:r>
      <w:r>
        <w:t>men hatte, wurde in den folgenden Jahrzehnten zu einer wichtigen Gestalt der Mission in Südwestafrika (vgl. zu seiner Tätigkeit Baumann</w:t>
      </w:r>
      <w:r w:rsidR="00363C1C">
        <w:fldChar w:fldCharType="begin"/>
      </w:r>
      <w:r>
        <w:instrText xml:space="preserve"> XE "</w:instrText>
      </w:r>
      <w:r w:rsidRPr="004572FE">
        <w:instrText>Baumann, Br.</w:instrText>
      </w:r>
      <w:r>
        <w:instrText xml:space="preserve">" </w:instrText>
      </w:r>
      <w:r w:rsidR="00363C1C">
        <w:fldChar w:fldCharType="end"/>
      </w:r>
      <w:r>
        <w:t xml:space="preserve"> 1965, dessen Wertungen allerdings aus kirchlich-subjektiver Sicht erfolgen). Vedder</w:t>
      </w:r>
      <w:r w:rsidR="00363C1C">
        <w:fldChar w:fldCharType="begin"/>
      </w:r>
      <w:r>
        <w:instrText xml:space="preserve"> XE "</w:instrText>
      </w:r>
      <w:r w:rsidRPr="001901EA">
        <w:instrText>Vedder, Br.</w:instrText>
      </w:r>
      <w:r>
        <w:instrText xml:space="preserve">" </w:instrText>
      </w:r>
      <w:r w:rsidR="00363C1C">
        <w:fldChar w:fldCharType="end"/>
      </w:r>
      <w:r>
        <w:t xml:space="preserve"> verfasste ein für die deutsche Forschung über Südwestafrika zur Kolonialzeit wichtiges Werk, das heute noch vor allem wegen der dort eingenommenen Perspektive auf die Ereignisse interessant ist (Vedder</w:t>
      </w:r>
      <w:r w:rsidR="00363C1C">
        <w:fldChar w:fldCharType="begin"/>
      </w:r>
      <w:r>
        <w:instrText xml:space="preserve"> XE "</w:instrText>
      </w:r>
      <w:r w:rsidRPr="001901EA">
        <w:instrText>Vedder, Br.</w:instrText>
      </w:r>
      <w:r>
        <w:instrText xml:space="preserve">" </w:instrText>
      </w:r>
      <w:r w:rsidR="00363C1C">
        <w:fldChar w:fldCharType="end"/>
      </w:r>
      <w:r>
        <w:t xml:space="preserve"> 1981). Ve</w:t>
      </w:r>
      <w:r>
        <w:t>d</w:t>
      </w:r>
      <w:r>
        <w:t>der</w:t>
      </w:r>
      <w:r w:rsidR="00363C1C">
        <w:fldChar w:fldCharType="begin"/>
      </w:r>
      <w:r>
        <w:instrText xml:space="preserve"> XE "</w:instrText>
      </w:r>
      <w:r w:rsidRPr="001901EA">
        <w:instrText>Vedder, Br.</w:instrText>
      </w:r>
      <w:r>
        <w:instrText xml:space="preserve">" </w:instrText>
      </w:r>
      <w:r w:rsidR="00363C1C">
        <w:fldChar w:fldCharType="end"/>
      </w:r>
      <w:r>
        <w:t xml:space="preserve"> schrieb auch ein einflussreiches Schulbuch, in dem er den Schießbefehl Trothas</w:t>
      </w:r>
      <w:r w:rsidR="00363C1C">
        <w:fldChar w:fldCharType="begin"/>
      </w:r>
      <w:r>
        <w:instrText xml:space="preserve"> XE "</w:instrText>
      </w:r>
      <w:r w:rsidRPr="00877269">
        <w:instrText>Trotha, Lothar von</w:instrText>
      </w:r>
      <w:r>
        <w:instrText xml:space="preserve">" </w:instrText>
      </w:r>
      <w:r w:rsidR="00363C1C">
        <w:fldChar w:fldCharType="end"/>
      </w:r>
      <w:r>
        <w:t xml:space="preserve"> ign</w:t>
      </w:r>
      <w:r>
        <w:t>o</w:t>
      </w:r>
      <w:r>
        <w:t>riert und das militärische Vorgehen der Deutschen rechtfertigt (Rüdiger 1993: 26f). Ve</w:t>
      </w:r>
      <w:r>
        <w:t>d</w:t>
      </w:r>
      <w:r>
        <w:t>der</w:t>
      </w:r>
      <w:r w:rsidR="00363C1C">
        <w:fldChar w:fldCharType="begin"/>
      </w:r>
      <w:r>
        <w:instrText xml:space="preserve"> XE "</w:instrText>
      </w:r>
      <w:r w:rsidRPr="001901EA">
        <w:instrText>Vedder, Br.</w:instrText>
      </w:r>
      <w:r>
        <w:instrText xml:space="preserve">" </w:instrText>
      </w:r>
      <w:r w:rsidR="00363C1C">
        <w:fldChar w:fldCharType="end"/>
      </w:r>
      <w:r>
        <w:t xml:space="preserve"> betrieb Sprachstudien; er beherrschte die Sprachen der Nama</w:t>
      </w:r>
      <w:r w:rsidR="00363C1C">
        <w:fldChar w:fldCharType="begin"/>
      </w:r>
      <w:r>
        <w:instrText xml:space="preserve"> XE "</w:instrText>
      </w:r>
      <w:r w:rsidRPr="001F563C">
        <w:instrText>Nama</w:instrText>
      </w:r>
      <w:r>
        <w:instrText xml:space="preserve">" </w:instrText>
      </w:r>
      <w:r w:rsidR="00363C1C">
        <w:fldChar w:fldCharType="end"/>
      </w:r>
      <w:r>
        <w:t xml:space="preserve"> und der Herero</w:t>
      </w:r>
      <w:r w:rsidR="00363C1C">
        <w:fldChar w:fldCharType="begin"/>
      </w:r>
      <w:r>
        <w:instrText xml:space="preserve"> XE "</w:instrText>
      </w:r>
      <w:r w:rsidRPr="00D91537">
        <w:instrText>Herero</w:instrText>
      </w:r>
      <w:r>
        <w:instrText xml:space="preserve">" </w:instrText>
      </w:r>
      <w:r w:rsidR="00363C1C">
        <w:fldChar w:fldCharType="end"/>
      </w:r>
      <w:r>
        <w:t xml:space="preserve"> (Ba</w:t>
      </w:r>
      <w:r>
        <w:t>u</w:t>
      </w:r>
      <w:r>
        <w:t>mann</w:t>
      </w:r>
      <w:r w:rsidR="00363C1C">
        <w:fldChar w:fldCharType="begin"/>
      </w:r>
      <w:r>
        <w:instrText xml:space="preserve"> XE "</w:instrText>
      </w:r>
      <w:r w:rsidRPr="004572FE">
        <w:instrText>Baumann, Br.</w:instrText>
      </w:r>
      <w:r>
        <w:instrText xml:space="preserve">" </w:instrText>
      </w:r>
      <w:r w:rsidR="00363C1C">
        <w:fldChar w:fldCharType="end"/>
      </w:r>
      <w:r>
        <w:t xml:space="preserve"> 1965: IX), wie Spiecker es für wünschenswert hielt (943). Spiecker ist bei der Ka</w:t>
      </w:r>
      <w:r>
        <w:t>s</w:t>
      </w:r>
      <w:r>
        <w:t>senrevision in Swakopmund von Vedders genauer Übersicht über die Kosten der noch im Bau befindlichen Station begeistert: „Da könnte jede Synodalrechnungskommission pr</w:t>
      </w:r>
      <w:r>
        <w:t>ü</w:t>
      </w:r>
      <w:r>
        <w:t>fen und würde nur Anerkennung für diese Präcision und Ordnung haben.“ (1350)</w:t>
      </w:r>
    </w:p>
    <w:p w:rsidR="005A5F2B" w:rsidRDefault="005A5F2B" w:rsidP="00CF6655">
      <w:pPr>
        <w:pStyle w:val="Funotentext"/>
      </w:pPr>
      <w:r>
        <w:tab/>
        <w:t>1950 wurde Vedder</w:t>
      </w:r>
      <w:r w:rsidR="00363C1C">
        <w:fldChar w:fldCharType="begin"/>
      </w:r>
      <w:r>
        <w:instrText xml:space="preserve"> XE "</w:instrText>
      </w:r>
      <w:r w:rsidRPr="001901EA">
        <w:instrText>Vedder, Br.</w:instrText>
      </w:r>
      <w:r>
        <w:instrText xml:space="preserve">" </w:instrText>
      </w:r>
      <w:r w:rsidR="00363C1C">
        <w:fldChar w:fldCharType="end"/>
      </w:r>
      <w:r>
        <w:t xml:space="preserve"> Senator der Südafrikanischen Union; laut Baumann</w:t>
      </w:r>
      <w:r w:rsidR="00363C1C">
        <w:fldChar w:fldCharType="begin"/>
      </w:r>
      <w:r>
        <w:instrText xml:space="preserve"> XE "</w:instrText>
      </w:r>
      <w:r w:rsidRPr="004572FE">
        <w:instrText>Baumann, Br.</w:instrText>
      </w:r>
      <w:r>
        <w:instrText xml:space="preserve">" </w:instrText>
      </w:r>
      <w:r w:rsidR="00363C1C">
        <w:fldChar w:fldCharType="end"/>
      </w:r>
      <w:r>
        <w:t xml:space="preserve"> setzte er sich im Senat in Kapstadt</w:t>
      </w:r>
      <w:r w:rsidR="00363C1C">
        <w:fldChar w:fldCharType="begin"/>
      </w:r>
      <w:r>
        <w:instrText xml:space="preserve"> XE "</w:instrText>
      </w:r>
      <w:r w:rsidRPr="00C74AA5">
        <w:instrText>Kapstadt</w:instrText>
      </w:r>
      <w:r>
        <w:instrText xml:space="preserve">" </w:instrText>
      </w:r>
      <w:r w:rsidR="00363C1C">
        <w:fldChar w:fldCharType="end"/>
      </w:r>
      <w:r>
        <w:t xml:space="preserve"> energischer als jeder andere gegen die damals propagierte Apartheidp</w:t>
      </w:r>
      <w:r>
        <w:t>o</w:t>
      </w:r>
      <w:r>
        <w:t>litik ein. Bei einer von Baumann</w:t>
      </w:r>
      <w:r w:rsidR="00363C1C">
        <w:fldChar w:fldCharType="begin"/>
      </w:r>
      <w:r>
        <w:instrText xml:space="preserve"> XE "</w:instrText>
      </w:r>
      <w:r w:rsidRPr="004572FE">
        <w:instrText>Baumann, Br.</w:instrText>
      </w:r>
      <w:r>
        <w:instrText xml:space="preserve">" </w:instrText>
      </w:r>
      <w:r w:rsidR="00363C1C">
        <w:fldChar w:fldCharType="end"/>
      </w:r>
      <w:r>
        <w:t xml:space="preserve"> (1965: 138ff) zitierten Rede am 16.6.1955, in der Vedder</w:t>
      </w:r>
      <w:r w:rsidR="00363C1C">
        <w:fldChar w:fldCharType="begin"/>
      </w:r>
      <w:r>
        <w:instrText xml:space="preserve"> XE "</w:instrText>
      </w:r>
      <w:r w:rsidRPr="001901EA">
        <w:instrText>Vedder, Br.</w:instrText>
      </w:r>
      <w:r>
        <w:instrText xml:space="preserve">" </w:instrText>
      </w:r>
      <w:r w:rsidR="00363C1C">
        <w:fldChar w:fldCharType="end"/>
      </w:r>
      <w:r>
        <w:t xml:space="preserve"> die Apartheid aus religiösen Gründen ablehnte, ließ man ihn schließlich nicht mehr weitersprechen. Dennoch wurde Vedder</w:t>
      </w:r>
      <w:r w:rsidR="00363C1C">
        <w:fldChar w:fldCharType="begin"/>
      </w:r>
      <w:r>
        <w:instrText xml:space="preserve"> XE "</w:instrText>
      </w:r>
      <w:r w:rsidRPr="001901EA">
        <w:instrText>Vedder, Br.</w:instrText>
      </w:r>
      <w:r>
        <w:instrText xml:space="preserve">" </w:instrText>
      </w:r>
      <w:r w:rsidR="00363C1C">
        <w:fldChar w:fldCharType="end"/>
      </w:r>
      <w:r>
        <w:t>, möglicherweise bedingt durch die bekannte u</w:t>
      </w:r>
      <w:r>
        <w:t>n</w:t>
      </w:r>
      <w:r>
        <w:t xml:space="preserve">kritische Haltung des Protestantismus zur Obrigkeit (vgl. Abschnitt </w:t>
      </w:r>
      <w:r w:rsidR="00363C1C">
        <w:fldChar w:fldCharType="begin"/>
      </w:r>
      <w:r>
        <w:instrText xml:space="preserve"> REF _Ref325357529 \r \h </w:instrText>
      </w:r>
      <w:r w:rsidR="00363C1C">
        <w:fldChar w:fldCharType="separate"/>
      </w:r>
      <w:r w:rsidR="00216538">
        <w:t>2.3.2</w:t>
      </w:r>
      <w:r w:rsidR="00363C1C">
        <w:fldChar w:fldCharType="end"/>
      </w:r>
      <w:r>
        <w:t xml:space="preserve"> „Zwei Re</w:t>
      </w:r>
      <w:r>
        <w:t>i</w:t>
      </w:r>
      <w:r>
        <w:t>che“), daran gehindert, seine Einwände konsequent zu formulieren; auch er glaubte, die gegebenen gesellschaftlichen Verhältnisse müsse man im Prinzip anerkennen. Er dista</w:t>
      </w:r>
      <w:r>
        <w:t>n</w:t>
      </w:r>
      <w:r>
        <w:t>zierte sich daher von „Gleichmacherei zwischen reich und arm, gebildet und ungebildet, weiß und schwarz und all' die Unterschiede, die zur Schöpfungsordnung Gottes gehören“ (zitiert nach Baumann</w:t>
      </w:r>
      <w:r w:rsidR="00363C1C">
        <w:fldChar w:fldCharType="begin"/>
      </w:r>
      <w:r>
        <w:instrText xml:space="preserve"> XE "</w:instrText>
      </w:r>
      <w:r w:rsidRPr="004572FE">
        <w:instrText>Baumann, Br.</w:instrText>
      </w:r>
      <w:r>
        <w:instrText xml:space="preserve">" </w:instrText>
      </w:r>
      <w:r w:rsidR="00363C1C">
        <w:fldChar w:fldCharType="end"/>
      </w:r>
      <w:r>
        <w:t xml:space="preserve"> 1965: 141). Interessant ist der Parallelismus der aufgezählten G</w:t>
      </w:r>
      <w:r>
        <w:t>e</w:t>
      </w:r>
      <w:r>
        <w:t>gensatzpaare, der implizit eine Gleichsetzung von „arm“, „schwarz“ und „ungebildet“ vornimmt, kombiniert mit der altbekannten Rechtfertigung sozialer Unterschiede, die hier nicht nur als von Gott gewollt, sondern als Teil der „Schöpfungsordnung“, also sein direktes Werk, dargestellt werden. Wie eine solche Behauptung theologisch zu rechtfert</w:t>
      </w:r>
      <w:r>
        <w:t>i</w:t>
      </w:r>
      <w:r>
        <w:t>gen wäre, bleibt offen.</w:t>
      </w:r>
    </w:p>
  </w:footnote>
  <w:footnote w:id="239">
    <w:p w:rsidR="005A5F2B" w:rsidRDefault="005A5F2B" w:rsidP="00CF6655">
      <w:pPr>
        <w:pStyle w:val="Funotentext"/>
      </w:pPr>
      <w:r>
        <w:rPr>
          <w:rStyle w:val="Funotenzeichen"/>
        </w:rPr>
        <w:footnoteRef/>
      </w:r>
      <w:r>
        <w:tab/>
        <w:t>Kurden können in der Türkei Karriere machen und bis in hohe Staatsämter aufsteigen, solange sie ihre kurdische Identität nicht zur Schau tragen. Kurdische Kinder werden von der ersten Klasse an auf Türkisch unterrichtet, und als eine kurdische Abgeordnete bei i</w:t>
      </w:r>
      <w:r>
        <w:t>h</w:t>
      </w:r>
      <w:r>
        <w:t>rem Amtseid im türkischen Parlament einige Worte in ihrer Muttersprache sagte, wurde ihre Immunität aufgehoben und sie wurde zu einer langjährigen Freiheitsstrafe verurteilt. Seit einiger Zeit ist Unterricht auf Kurdisch nicht mehr offiziell verboten; allerdings wu</w:t>
      </w:r>
      <w:r>
        <w:t>r</w:t>
      </w:r>
      <w:r>
        <w:t>de Kurden, die Sprachschulen gründen wollten, die Eröffnung unter Vorwänden verwe</w:t>
      </w:r>
      <w:r>
        <w:t>i</w:t>
      </w:r>
      <w:r>
        <w:t>gert. Aber auch in Deutschland werden kurdische Kulturvereine von der Polizei durc</w:t>
      </w:r>
      <w:r>
        <w:t>h</w:t>
      </w:r>
      <w:r>
        <w:t>sucht, weil sie im Verdacht stehen, mit der seit einigen Jahren verbotenen PKK zu tun zu haben. Das Verbot wurde ausgesprochen, nachdem die Kurden mit der Blockade von A</w:t>
      </w:r>
      <w:r>
        <w:t>u</w:t>
      </w:r>
      <w:r>
        <w:t>tobahnen Aufsehen erregt hatten; man fürchtete das Ausbrechen von Konflikten zw</w:t>
      </w:r>
      <w:r>
        <w:t>i</w:t>
      </w:r>
      <w:r>
        <w:t>schen Kurden und Türken in Deutschland. Dabei drückte sich die deutsche Politik um die Frage, inwieweit der Widerstand der Kurden als gerechtfertigt angesehen werden muss, nachdem in den letzten Jahrzehnten Hunderte von kurdischen Dörfern durch die türkische Armee zerstört worden sind.</w:t>
      </w:r>
    </w:p>
  </w:footnote>
  <w:footnote w:id="240">
    <w:p w:rsidR="005A5F2B" w:rsidRDefault="005A5F2B">
      <w:pPr>
        <w:pStyle w:val="Funotentext"/>
      </w:pPr>
      <w:r>
        <w:rPr>
          <w:rStyle w:val="Funotenzeichen"/>
        </w:rPr>
        <w:footnoteRef/>
      </w:r>
      <w:r>
        <w:t xml:space="preserve"> </w:t>
      </w:r>
      <w:r>
        <w:tab/>
        <w:t xml:space="preserve">Zur Herkunft und negativen Bewertung des Kapholländischen siehe Fußnote </w:t>
      </w:r>
      <w:r w:rsidR="00363C1C">
        <w:fldChar w:fldCharType="begin"/>
      </w:r>
      <w:r>
        <w:instrText xml:space="preserve"> NOTEREF _Ref327287751 \h </w:instrText>
      </w:r>
      <w:r w:rsidR="00363C1C">
        <w:fldChar w:fldCharType="separate"/>
      </w:r>
      <w:r w:rsidR="00216538">
        <w:t>15</w:t>
      </w:r>
      <w:r w:rsidR="00363C1C">
        <w:fldChar w:fldCharType="end"/>
      </w:r>
      <w:r>
        <w:t xml:space="preserve">. </w:t>
      </w:r>
    </w:p>
  </w:footnote>
  <w:footnote w:id="241">
    <w:p w:rsidR="005A5F2B" w:rsidRDefault="005A5F2B" w:rsidP="00CF6655">
      <w:pPr>
        <w:pStyle w:val="Funotentext"/>
      </w:pPr>
      <w:r>
        <w:rPr>
          <w:rStyle w:val="Funotenzeichen"/>
        </w:rPr>
        <w:footnoteRef/>
      </w:r>
      <w:r>
        <w:tab/>
        <w:t>Horst Gründer stellt Spieckers Position in den Kontext der missionsinternen Meinungen: „Zur Kontroverse über die deutsche Regierungspolitik in Südwestafrika vgl. die Ause</w:t>
      </w:r>
      <w:r>
        <w:t>i</w:t>
      </w:r>
      <w:r>
        <w:t>nandersetzung zwischen Haußleiter</w:t>
      </w:r>
      <w:r w:rsidR="00363C1C">
        <w:fldChar w:fldCharType="begin"/>
      </w:r>
      <w:r>
        <w:instrText xml:space="preserve"> XE "</w:instrText>
      </w:r>
      <w:r w:rsidRPr="00780F99">
        <w:instrText>Haussleiter, Missionsdirektor</w:instrText>
      </w:r>
      <w:r>
        <w:instrText xml:space="preserve">" </w:instrText>
      </w:r>
      <w:r w:rsidR="00363C1C">
        <w:fldChar w:fldCharType="end"/>
      </w:r>
      <w:r>
        <w:t xml:space="preserve"> und Hennig auf der einen (beschwichtigend) und Olpp</w:t>
      </w:r>
      <w:r w:rsidR="00363C1C">
        <w:fldChar w:fldCharType="begin"/>
      </w:r>
      <w:r>
        <w:instrText xml:space="preserve"> XE "</w:instrText>
      </w:r>
      <w:r w:rsidRPr="00FD439D">
        <w:instrText>Olpp, Br.</w:instrText>
      </w:r>
      <w:r>
        <w:instrText xml:space="preserve">" </w:instrText>
      </w:r>
      <w:r w:rsidR="00363C1C">
        <w:fldChar w:fldCharType="end"/>
      </w:r>
      <w:r>
        <w:t xml:space="preserve"> und Spiecker auf der anderen Seite. Spiecker verglich das Verhalten der Deutschen mit der Praxis der Engländer und Holländer in ihren Kolonien und kam zu dem Ergebnis, daß Deutschland hierbei wesentlich schlechter abschnitt“ (Gründer 1982: 131).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war von 1903–1908 Direktor der RMG. Es finden sich beide Namen</w:t>
      </w:r>
      <w:r>
        <w:t>s</w:t>
      </w:r>
      <w:r>
        <w:t>schreibweisen; Haussleiter</w:t>
      </w:r>
      <w:r w:rsidR="00363C1C">
        <w:fldChar w:fldCharType="begin"/>
      </w:r>
      <w:r>
        <w:instrText xml:space="preserve"> XE "</w:instrText>
      </w:r>
      <w:r w:rsidRPr="00DF16EB">
        <w:instrText>Haussleiter, Missionsdirektor</w:instrText>
      </w:r>
      <w:r>
        <w:instrText xml:space="preserve">" </w:instrText>
      </w:r>
      <w:r w:rsidR="00363C1C">
        <w:fldChar w:fldCharType="end"/>
      </w:r>
      <w:r>
        <w:t xml:space="preserve"> selbst unterzeichnete mit „ss“ und wird so auch in Drucken der RMG geschrieben. Zur damaligen Zeit wurde oft „ss“ in Antiqua für „ß“ in Fraktur gesetzt (Auskunft von Wolfgang Apelt, Archiv- und Museumsstiftung Wuppertal).</w:t>
      </w:r>
    </w:p>
  </w:footnote>
  <w:footnote w:id="242">
    <w:p w:rsidR="005A5F2B" w:rsidRDefault="005A5F2B">
      <w:pPr>
        <w:pStyle w:val="Funotentext"/>
      </w:pPr>
      <w:r>
        <w:rPr>
          <w:rStyle w:val="Funotenzeichen"/>
        </w:rPr>
        <w:footnoteRef/>
      </w:r>
      <w:r>
        <w:t xml:space="preserve"> </w:t>
      </w:r>
      <w:r>
        <w:tab/>
        <w:t xml:space="preserve">Die Delagoa-Bucht (portugiesisch </w:t>
      </w:r>
      <w:r>
        <w:rPr>
          <w:i/>
          <w:iCs/>
        </w:rPr>
        <w:t>Baía da Lagoa</w:t>
      </w:r>
      <w:r>
        <w:t xml:space="preserve">; heute </w:t>
      </w:r>
      <w:r w:rsidRPr="00BF5228">
        <w:rPr>
          <w:i/>
        </w:rPr>
        <w:t>Maputo-Bucht</w:t>
      </w:r>
      <w:r>
        <w:t>) befindet sich an der Küste von Mosambik, das damals unter portugiesischer Kolonialherrschaft stand (</w:t>
      </w:r>
      <w:r w:rsidRPr="00BF5228">
        <w:t>http://de.wiki</w:t>
      </w:r>
      <w:r>
        <w:softHyphen/>
      </w:r>
      <w:r w:rsidRPr="00BF5228">
        <w:t>pedia.org/wiki/Maputo-Bucht</w:t>
      </w:r>
      <w:r>
        <w:t>; Einsicht am 12.06.2012).</w:t>
      </w:r>
    </w:p>
  </w:footnote>
  <w:footnote w:id="243">
    <w:p w:rsidR="005A5F2B" w:rsidRPr="00F114AB" w:rsidRDefault="005A5F2B" w:rsidP="00CF6655">
      <w:pPr>
        <w:pStyle w:val="Funotentext"/>
        <w:rPr>
          <w:lang w:val="en-US"/>
        </w:rPr>
      </w:pPr>
      <w:r>
        <w:rPr>
          <w:rStyle w:val="Funotenzeichen"/>
        </w:rPr>
        <w:footnoteRef/>
      </w:r>
      <w:r w:rsidRPr="00F114AB">
        <w:rPr>
          <w:lang w:val="en-US"/>
        </w:rPr>
        <w:t xml:space="preserve"> </w:t>
      </w:r>
      <w:r w:rsidRPr="00F114AB">
        <w:rPr>
          <w:lang w:val="en-US"/>
        </w:rPr>
        <w:tab/>
        <w:t>Young 1995: 6ff.</w:t>
      </w:r>
    </w:p>
  </w:footnote>
  <w:footnote w:id="244">
    <w:p w:rsidR="005A5F2B" w:rsidRPr="00CF6655" w:rsidRDefault="005A5F2B" w:rsidP="00CF6655">
      <w:pPr>
        <w:pStyle w:val="Funotentext"/>
        <w:rPr>
          <w:lang w:val="en-US"/>
        </w:rPr>
      </w:pPr>
      <w:r>
        <w:rPr>
          <w:rStyle w:val="Funotenzeichen"/>
        </w:rPr>
        <w:footnoteRef/>
      </w:r>
      <w:r w:rsidRPr="00CF6655">
        <w:rPr>
          <w:lang w:val="en-US"/>
        </w:rPr>
        <w:t xml:space="preserve"> </w:t>
      </w:r>
      <w:r w:rsidRPr="00CF6655">
        <w:rPr>
          <w:lang w:val="en-US"/>
        </w:rPr>
        <w:tab/>
        <w:t>Young 1995: 8.</w:t>
      </w:r>
    </w:p>
  </w:footnote>
  <w:footnote w:id="245">
    <w:p w:rsidR="005A5F2B" w:rsidRPr="00CF6655" w:rsidRDefault="005A5F2B" w:rsidP="00CF6655">
      <w:pPr>
        <w:pStyle w:val="Funotentext"/>
      </w:pPr>
      <w:r>
        <w:rPr>
          <w:rStyle w:val="Funotenzeichen"/>
        </w:rPr>
        <w:footnoteRef/>
      </w:r>
      <w:r>
        <w:rPr>
          <w:lang w:val="en-GB"/>
        </w:rPr>
        <w:t xml:space="preserve"> </w:t>
      </w:r>
      <w:r>
        <w:rPr>
          <w:lang w:val="en-GB"/>
        </w:rPr>
        <w:tab/>
        <w:t xml:space="preserve">Dabei hatte die Furcht vor den „Mischlingen“ auch immer eine politische Dimension, wie Laura Stoler aufzeigt: „[A] sense of longing and belonging rather than skin color alone marked mixed-bloods and impoverished whites as potential subversives, as racialized renegades, and as the ‘enemy within’ whose hearts and minds were on the line.“ </w:t>
      </w:r>
      <w:r w:rsidRPr="00CF6655">
        <w:t>(Stoler 2002: 205.)</w:t>
      </w:r>
    </w:p>
  </w:footnote>
  <w:footnote w:id="246">
    <w:p w:rsidR="005A5F2B" w:rsidRDefault="005A5F2B" w:rsidP="00CF6655">
      <w:pPr>
        <w:pStyle w:val="Funotentext"/>
      </w:pPr>
      <w:r>
        <w:rPr>
          <w:rStyle w:val="Funotenzeichen"/>
        </w:rPr>
        <w:footnoteRef/>
      </w:r>
      <w:r>
        <w:t xml:space="preserve"> </w:t>
      </w:r>
      <w:r>
        <w:tab/>
        <w:t>Vgl. die Tabelle (in Young 1995: 104), die die Merkmale der Rassen nach Gobineau</w:t>
      </w:r>
      <w:r w:rsidR="00363C1C">
        <w:fldChar w:fldCharType="begin"/>
      </w:r>
      <w:r>
        <w:instrText xml:space="preserve"> XE "</w:instrText>
      </w:r>
      <w:r w:rsidRPr="003A6B07">
        <w:instrText>Gobineau, Arthur de</w:instrText>
      </w:r>
      <w:r>
        <w:instrText xml:space="preserve">" </w:instrText>
      </w:r>
      <w:r w:rsidR="00363C1C">
        <w:fldChar w:fldCharType="end"/>
      </w:r>
      <w:r>
        <w:t xml:space="preserve"> z</w:t>
      </w:r>
      <w:r>
        <w:t>u</w:t>
      </w:r>
      <w:r>
        <w:t>sammenfasst. Mit ihren drei Merkmalen „Intellect“, „Animal propensities“ und „Moral manifestations“ wird sie selbst zu einer Kategorientafel der Philosophie der Mitte des 19. Jahrhunderts und ihrer wichtigsten, allerdings auf unterschiedliche Richtungen verteilten Ideale. Die Nonchalance, mit der ein Rassist wie Gobineau</w:t>
      </w:r>
      <w:r w:rsidR="00363C1C">
        <w:fldChar w:fldCharType="begin"/>
      </w:r>
      <w:r>
        <w:instrText xml:space="preserve"> XE "</w:instrText>
      </w:r>
      <w:r w:rsidRPr="003A6B07">
        <w:instrText>Gobineau, Arthur de</w:instrText>
      </w:r>
      <w:r>
        <w:instrText xml:space="preserve">" </w:instrText>
      </w:r>
      <w:r w:rsidR="00363C1C">
        <w:fldChar w:fldCharType="end"/>
      </w:r>
      <w:r>
        <w:t xml:space="preserve"> drei Haupteigenschaften des Menschen auf synkretistische Art dem Denken seiner Zeit entnimmt und einfach als a</w:t>
      </w:r>
      <w:r>
        <w:t>b</w:t>
      </w:r>
      <w:r>
        <w:t xml:space="preserve">grenzbare Merkmale </w:t>
      </w:r>
      <w:r>
        <w:rPr>
          <w:i/>
          <w:iCs/>
        </w:rPr>
        <w:t xml:space="preserve">aller </w:t>
      </w:r>
      <w:r>
        <w:t>Rassen postuliert, ist hier aufregender als das Ergebnis, das für zwei der drei Kategorien den höchsten Wert den Weißen zumisst (nur bei den „Animal propensities“ bekommt die schwarze Rasse ein „very strong“ zugesprochen).</w:t>
      </w:r>
    </w:p>
  </w:footnote>
  <w:footnote w:id="247">
    <w:p w:rsidR="005A5F2B" w:rsidRDefault="005A5F2B" w:rsidP="00CF6655">
      <w:pPr>
        <w:pStyle w:val="Funotentext"/>
      </w:pPr>
      <w:r>
        <w:rPr>
          <w:rStyle w:val="Funotenzeichen"/>
        </w:rPr>
        <w:footnoteRef/>
      </w:r>
      <w:r>
        <w:t xml:space="preserve"> </w:t>
      </w:r>
      <w:r>
        <w:tab/>
        <w:t>Young 1995: 1f.</w:t>
      </w:r>
    </w:p>
  </w:footnote>
  <w:footnote w:id="248">
    <w:p w:rsidR="005A5F2B" w:rsidRDefault="005A5F2B" w:rsidP="00CF6655">
      <w:pPr>
        <w:pStyle w:val="Funotentext"/>
      </w:pPr>
      <w:r>
        <w:rPr>
          <w:rStyle w:val="Funotenzeichen"/>
        </w:rPr>
        <w:footnoteRef/>
      </w:r>
      <w:r>
        <w:t xml:space="preserve"> </w:t>
      </w:r>
      <w:r>
        <w:tab/>
        <w:t>Auf ähnliche Weise wurden im Antisemitismus</w:t>
      </w:r>
      <w:r w:rsidR="00363C1C">
        <w:fldChar w:fldCharType="begin"/>
      </w:r>
      <w:r>
        <w:instrText xml:space="preserve"> XE "</w:instrText>
      </w:r>
      <w:r w:rsidRPr="0016229E">
        <w:instrText>Antisemitismus</w:instrText>
      </w:r>
      <w:r>
        <w:instrText xml:space="preserve">" </w:instrText>
      </w:r>
      <w:r w:rsidR="00363C1C">
        <w:fldChar w:fldCharType="end"/>
      </w:r>
      <w:r>
        <w:t xml:space="preserve"> die grotesken Karikaturen, die man dort für unterschiedliche Berufe und Altersgruppen zeichnete, zugleich durchbrochen und konterkariert vom Bild der „schönen Jüdin“, der in einer sublimierten Ausgleichshan</w:t>
      </w:r>
      <w:r>
        <w:t>d</w:t>
      </w:r>
      <w:r>
        <w:t>lung besondere erotische Fähigkeiten und Geheimnisse zugesprochen wurden. Intere</w:t>
      </w:r>
      <w:r>
        <w:t>s</w:t>
      </w:r>
      <w:r>
        <w:t>sant ist, dass man in diesem Zusammenhang oft auf die denkbare Klassifizierung als ‚schöne Hexe‘ oder ‚gefährliches Luder‘ verzichtete – eine Klassifizierung, die die Proje</w:t>
      </w:r>
      <w:r>
        <w:t>k</w:t>
      </w:r>
      <w:r>
        <w:t>tion des eigenen Begehrens auf die jungen Frauen der offiziell verfemten ‚Rasse‘ unmö</w:t>
      </w:r>
      <w:r>
        <w:t>g</w:t>
      </w:r>
      <w:r>
        <w:t>lich gemacht hätte. Ein bekanntes Beispiel für die seltsame Dichotomie zwischen männl</w:t>
      </w:r>
      <w:r>
        <w:t>i</w:t>
      </w:r>
      <w:r>
        <w:t>chen Bösewichtern und weiblichen Engeln, die daraus entstehen konnte, ist Shakespeares</w:t>
      </w:r>
      <w:r w:rsidR="00363C1C">
        <w:fldChar w:fldCharType="begin"/>
      </w:r>
      <w:r>
        <w:instrText xml:space="preserve"> XE "</w:instrText>
      </w:r>
      <w:r w:rsidRPr="00630BB7">
        <w:instrText>Shakespeare, William</w:instrText>
      </w:r>
      <w:r>
        <w:instrText xml:space="preserve">" </w:instrText>
      </w:r>
      <w:r w:rsidR="00363C1C">
        <w:fldChar w:fldCharType="end"/>
      </w:r>
      <w:r>
        <w:t xml:space="preserve"> „Kaufmann von Venedig“.</w:t>
      </w:r>
    </w:p>
  </w:footnote>
  <w:footnote w:id="249">
    <w:p w:rsidR="005A5F2B" w:rsidRDefault="005A5F2B" w:rsidP="00CF6655">
      <w:pPr>
        <w:pStyle w:val="Funotentext"/>
        <w:rPr>
          <w:lang w:val="en-GB"/>
        </w:rPr>
      </w:pPr>
      <w:r>
        <w:rPr>
          <w:rStyle w:val="Funotenzeichen"/>
        </w:rPr>
        <w:footnoteRef/>
      </w:r>
      <w:r>
        <w:rPr>
          <w:lang w:val="en-GB"/>
        </w:rPr>
        <w:t xml:space="preserve"> </w:t>
      </w:r>
      <w:r>
        <w:rPr>
          <w:lang w:val="en-GB"/>
        </w:rPr>
        <w:tab/>
        <w:t>Young 1995: 96f.</w:t>
      </w:r>
    </w:p>
  </w:footnote>
  <w:footnote w:id="250">
    <w:p w:rsidR="005A5F2B" w:rsidRPr="00481005" w:rsidRDefault="005A5F2B" w:rsidP="00CF6655">
      <w:pPr>
        <w:pStyle w:val="Funotentext"/>
        <w:rPr>
          <w:lang w:val="en-US"/>
        </w:rPr>
      </w:pPr>
      <w:r>
        <w:rPr>
          <w:rStyle w:val="Funotenzeichen"/>
        </w:rPr>
        <w:footnoteRef/>
      </w:r>
      <w:r>
        <w:rPr>
          <w:lang w:val="en-GB"/>
        </w:rPr>
        <w:t xml:space="preserve"> </w:t>
      </w:r>
      <w:r>
        <w:rPr>
          <w:lang w:val="en-GB"/>
        </w:rPr>
        <w:tab/>
        <w:t xml:space="preserve">Thomas Hope: An Essay on the Origin and Prospects of Man. 3 Bde. </w:t>
      </w:r>
      <w:r w:rsidRPr="00481005">
        <w:rPr>
          <w:lang w:val="en-US"/>
        </w:rPr>
        <w:t>London</w:t>
      </w:r>
      <w:r w:rsidR="00363C1C">
        <w:fldChar w:fldCharType="begin"/>
      </w:r>
      <w:r w:rsidRPr="00481005">
        <w:rPr>
          <w:lang w:val="en-US"/>
        </w:rPr>
        <w:instrText xml:space="preserve"> XE "London" </w:instrText>
      </w:r>
      <w:r w:rsidR="00363C1C">
        <w:fldChar w:fldCharType="end"/>
      </w:r>
      <w:r w:rsidRPr="00481005">
        <w:rPr>
          <w:lang w:val="en-US"/>
        </w:rPr>
        <w:t>: Murray 1831. Bd. 2: 400f. Zitiert nach Young 1995: 96f.</w:t>
      </w:r>
    </w:p>
  </w:footnote>
  <w:footnote w:id="251">
    <w:p w:rsidR="005A5F2B" w:rsidRDefault="005A5F2B" w:rsidP="00CF6655">
      <w:pPr>
        <w:pStyle w:val="Funotentext"/>
      </w:pPr>
      <w:r>
        <w:rPr>
          <w:rStyle w:val="Funotenzeichen"/>
        </w:rPr>
        <w:footnoteRef/>
      </w:r>
      <w:r w:rsidRPr="00481005">
        <w:rPr>
          <w:lang w:val="en-US"/>
        </w:rPr>
        <w:t xml:space="preserve"> </w:t>
      </w:r>
      <w:r w:rsidRPr="00481005">
        <w:rPr>
          <w:lang w:val="en-US"/>
        </w:rPr>
        <w:tab/>
        <w:t xml:space="preserve">Weber 1878, Bd. 1: 150. </w:t>
      </w:r>
      <w:r>
        <w:t>(Zitiert nach Hemme 2000: 138.)</w:t>
      </w:r>
    </w:p>
  </w:footnote>
  <w:footnote w:id="252">
    <w:p w:rsidR="005A5F2B" w:rsidRDefault="005A5F2B" w:rsidP="00CF6655">
      <w:pPr>
        <w:pStyle w:val="Funotentext"/>
      </w:pPr>
      <w:r>
        <w:rPr>
          <w:rStyle w:val="Funotenzeichen"/>
        </w:rPr>
        <w:footnoteRef/>
      </w:r>
      <w:r>
        <w:t xml:space="preserve"> </w:t>
      </w:r>
      <w:r>
        <w:tab/>
        <w:t>Gründer 1984: 15.</w:t>
      </w:r>
    </w:p>
  </w:footnote>
  <w:footnote w:id="253">
    <w:p w:rsidR="005A5F2B" w:rsidRDefault="005A5F2B" w:rsidP="00CF6655">
      <w:pPr>
        <w:pStyle w:val="Funotentext"/>
      </w:pPr>
      <w:r>
        <w:rPr>
          <w:rStyle w:val="Funotenzeichen"/>
        </w:rPr>
        <w:footnoteRef/>
      </w:r>
      <w:r>
        <w:t xml:space="preserve"> </w:t>
      </w:r>
      <w:r>
        <w:tab/>
        <w:t>Vgl. zu Fabri</w:t>
      </w:r>
      <w:r w:rsidR="00363C1C">
        <w:fldChar w:fldCharType="begin"/>
      </w:r>
      <w:r>
        <w:instrText xml:space="preserve"> XE "</w:instrText>
      </w:r>
      <w:r w:rsidRPr="00397DB6">
        <w:instrText>Fabri, Friedrich</w:instrText>
      </w:r>
      <w:r>
        <w:instrText xml:space="preserve">" </w:instrText>
      </w:r>
      <w:r w:rsidR="00363C1C">
        <w:fldChar w:fldCharType="end"/>
      </w:r>
      <w:r>
        <w:t xml:space="preserve"> Abschnitt </w:t>
      </w:r>
      <w:r w:rsidR="00363C1C">
        <w:fldChar w:fldCharType="begin"/>
      </w:r>
      <w:r>
        <w:instrText xml:space="preserve"> REF _Ref325357578 \r \h </w:instrText>
      </w:r>
      <w:r w:rsidR="00363C1C">
        <w:fldChar w:fldCharType="separate"/>
      </w:r>
      <w:r w:rsidR="00216538">
        <w:t>2.4.1.2</w:t>
      </w:r>
      <w:r w:rsidR="00363C1C">
        <w:fldChar w:fldCharType="end"/>
      </w:r>
      <w:r>
        <w:t>.</w:t>
      </w:r>
    </w:p>
  </w:footnote>
  <w:footnote w:id="254">
    <w:p w:rsidR="005A5F2B" w:rsidRDefault="005A5F2B" w:rsidP="00CF6655">
      <w:pPr>
        <w:pStyle w:val="Funotentext"/>
      </w:pPr>
      <w:r>
        <w:rPr>
          <w:rStyle w:val="Funotenzeichen"/>
        </w:rPr>
        <w:footnoteRef/>
      </w:r>
      <w:r>
        <w:t xml:space="preserve"> </w:t>
      </w:r>
      <w:r>
        <w:tab/>
        <w:t>Im kolonialen Alltag waren körperliche Kontakte zwischen weiß und schwarz an der T</w:t>
      </w:r>
      <w:r>
        <w:t>a</w:t>
      </w:r>
      <w:r>
        <w:t>gesordnung. Erotische Begegnungen entgingen dabei aufgrund der politischen und sozi</w:t>
      </w:r>
      <w:r>
        <w:t>a</w:t>
      </w:r>
      <w:r>
        <w:t xml:space="preserve">len Situation fast nie dem Verfall in eine stark asymmetrische Beziehung (vgl. Abschnitt </w:t>
      </w:r>
      <w:r w:rsidR="00363C1C">
        <w:fldChar w:fldCharType="begin"/>
      </w:r>
      <w:r>
        <w:instrText xml:space="preserve"> REF _Ref325357609 \r \h </w:instrText>
      </w:r>
      <w:r w:rsidR="00363C1C">
        <w:fldChar w:fldCharType="separate"/>
      </w:r>
      <w:r w:rsidR="00216538">
        <w:t>3.2.2.2</w:t>
      </w:r>
      <w:r w:rsidR="00363C1C">
        <w:fldChar w:fldCharType="end"/>
      </w:r>
      <w:r>
        <w:t>). Aber auch andere Formen der Intimität waren von zentraler Bedeutung für die Konzeptualisierung von Rassen, Kulturen und Kolonialverhältnissen, wie Laura Stoler aufgezeigt hat (Stoler 2002): Dazu gehörten vor allem die Rolle von eingeborenen Frauen als Betreuerinnen der Kinder, die Stoler in Java detailliert dokumentiert (in Afrika war dies weniger üblich, doch auch hier gab es durch die schwarzen Hausangestellten, K</w:t>
      </w:r>
      <w:r>
        <w:t>ö</w:t>
      </w:r>
      <w:r>
        <w:t>chinnen etc. für Kinder einheimische Bezugspersonen), wobei sich die emotionale Bezi</w:t>
      </w:r>
      <w:r>
        <w:t>e</w:t>
      </w:r>
      <w:r>
        <w:t>hung als einseitig erweist: Während die früheren Kinder sentimentale und verklärende E</w:t>
      </w:r>
      <w:r>
        <w:t>r</w:t>
      </w:r>
      <w:r>
        <w:t>innerungen an ihre „babus“ (Kindermädchen) hegen, erinnern sich diese, wie Stoler in e</w:t>
      </w:r>
      <w:r>
        <w:t>i</w:t>
      </w:r>
      <w:r>
        <w:t>ner Studie herausfand, vorwiegend an ein Arbeitsverhältnis unter mehr oder minder pro</w:t>
      </w:r>
      <w:r>
        <w:t>b</w:t>
      </w:r>
      <w:r>
        <w:t>lematischen Bedingungen. Kinder, die sich nicht wie die Erwachsenen ‚automatisch‘ (w</w:t>
      </w:r>
      <w:r>
        <w:t>o</w:t>
      </w:r>
      <w:r>
        <w:t>für, wie bei jedem Automat, natürlich eine Programmierung notwendig ist) an die Rassengrenzen hielten, wurden daher zu einem besonderen Projektionsfeld kolonialer Ängste und Überwachung. (Stoler 2002: 112-139.)</w:t>
      </w:r>
    </w:p>
  </w:footnote>
  <w:footnote w:id="255">
    <w:p w:rsidR="005A5F2B" w:rsidRDefault="005A5F2B" w:rsidP="00CF6655">
      <w:pPr>
        <w:pStyle w:val="Funotentext"/>
      </w:pPr>
      <w:r>
        <w:rPr>
          <w:rStyle w:val="Funotenzeichen"/>
        </w:rPr>
        <w:footnoteRef/>
      </w:r>
      <w:r>
        <w:t xml:space="preserve"> </w:t>
      </w:r>
      <w:r>
        <w:tab/>
        <w:t>Porter 1991: 8.</w:t>
      </w:r>
    </w:p>
  </w:footnote>
  <w:footnote w:id="256">
    <w:p w:rsidR="005A5F2B" w:rsidRPr="00CF6655" w:rsidRDefault="005A5F2B" w:rsidP="00CF6655">
      <w:pPr>
        <w:pStyle w:val="Funotentext"/>
      </w:pPr>
      <w:r>
        <w:rPr>
          <w:rStyle w:val="Funotenzeichen"/>
        </w:rPr>
        <w:footnoteRef/>
      </w:r>
      <w:r>
        <w:t xml:space="preserve"> </w:t>
      </w:r>
      <w:r>
        <w:tab/>
        <w:t>Für eine Neubewertung der oft dem „Abolitionismus</w:t>
      </w:r>
      <w:r w:rsidR="00363C1C">
        <w:fldChar w:fldCharType="begin"/>
      </w:r>
      <w:r>
        <w:instrText xml:space="preserve"> XE "</w:instrText>
      </w:r>
      <w:r w:rsidRPr="00787BE7">
        <w:instrText>Abolitionismus</w:instrText>
      </w:r>
      <w:r>
        <w:instrText xml:space="preserve">" </w:instrText>
      </w:r>
      <w:r w:rsidR="00363C1C">
        <w:fldChar w:fldCharType="end"/>
      </w:r>
      <w:r>
        <w:t>“ zugerechneten Literatur der inter-rassischen Liebesaffäre als Teil des kolonialen Diskurses</w:t>
      </w:r>
      <w:r w:rsidR="00363C1C">
        <w:fldChar w:fldCharType="begin"/>
      </w:r>
      <w:r>
        <w:instrText xml:space="preserve"> XE "</w:instrText>
      </w:r>
      <w:r w:rsidRPr="009311CC">
        <w:instrText>Diskurs</w:instrText>
      </w:r>
      <w:r>
        <w:instrText xml:space="preserve">" </w:instrText>
      </w:r>
      <w:r w:rsidR="00363C1C">
        <w:fldChar w:fldCharType="end"/>
      </w:r>
      <w:r>
        <w:t xml:space="preserve"> siehe das Kap. </w:t>
      </w:r>
      <w:r w:rsidRPr="00CF6655">
        <w:t>„Eros and abolit</w:t>
      </w:r>
      <w:r w:rsidRPr="00CF6655">
        <w:t>i</w:t>
      </w:r>
      <w:r w:rsidRPr="00CF6655">
        <w:t>on“ in: Pratt 1992, 86-107.</w:t>
      </w:r>
    </w:p>
  </w:footnote>
  <w:footnote w:id="257">
    <w:p w:rsidR="005A5F2B" w:rsidRDefault="005A5F2B" w:rsidP="00CF6655">
      <w:pPr>
        <w:pStyle w:val="Funotentext"/>
        <w:rPr>
          <w:lang w:val="it-IT"/>
        </w:rPr>
      </w:pPr>
      <w:r>
        <w:rPr>
          <w:rStyle w:val="Funotenzeichen"/>
        </w:rPr>
        <w:footnoteRef/>
      </w:r>
      <w:r>
        <w:rPr>
          <w:lang w:val="it-IT"/>
        </w:rPr>
        <w:t xml:space="preserve"> </w:t>
      </w:r>
      <w:r>
        <w:rPr>
          <w:lang w:val="it-IT"/>
        </w:rPr>
        <w:tab/>
        <w:t xml:space="preserve">Porter 1991: </w:t>
      </w:r>
      <w:proofErr w:type="gramStart"/>
      <w:r>
        <w:rPr>
          <w:lang w:val="it-IT"/>
        </w:rPr>
        <w:t>9</w:t>
      </w:r>
      <w:proofErr w:type="gramEnd"/>
      <w:r>
        <w:rPr>
          <w:lang w:val="it-IT"/>
        </w:rPr>
        <w:t>.</w:t>
      </w:r>
    </w:p>
  </w:footnote>
  <w:footnote w:id="258">
    <w:p w:rsidR="005A5F2B" w:rsidRDefault="005A5F2B" w:rsidP="00CF6655">
      <w:pPr>
        <w:pStyle w:val="Funotentext"/>
        <w:rPr>
          <w:lang w:val="it-IT"/>
        </w:rPr>
      </w:pPr>
      <w:r>
        <w:rPr>
          <w:rStyle w:val="Funotenzeichen"/>
        </w:rPr>
        <w:footnoteRef/>
      </w:r>
      <w:r>
        <w:rPr>
          <w:lang w:val="it-IT"/>
        </w:rPr>
        <w:t xml:space="preserve"> </w:t>
      </w:r>
      <w:r>
        <w:rPr>
          <w:lang w:val="it-IT"/>
        </w:rPr>
        <w:tab/>
        <w:t>Deleuze und Guattari 1972.</w:t>
      </w:r>
    </w:p>
  </w:footnote>
  <w:footnote w:id="259">
    <w:p w:rsidR="005A5F2B" w:rsidRDefault="005A5F2B" w:rsidP="00CF6655">
      <w:pPr>
        <w:pStyle w:val="Funotentext"/>
      </w:pPr>
      <w:r>
        <w:rPr>
          <w:rStyle w:val="Funotenzeichen"/>
        </w:rPr>
        <w:footnoteRef/>
      </w:r>
      <w:r>
        <w:t xml:space="preserve"> </w:t>
      </w:r>
      <w:r>
        <w:tab/>
        <w:t>Young 1995: 167f.</w:t>
      </w:r>
    </w:p>
  </w:footnote>
  <w:footnote w:id="260">
    <w:p w:rsidR="005A5F2B" w:rsidRDefault="005A5F2B" w:rsidP="00CF6655">
      <w:pPr>
        <w:pStyle w:val="Funotentext"/>
      </w:pPr>
      <w:r>
        <w:rPr>
          <w:rStyle w:val="Funotenzeichen"/>
        </w:rPr>
        <w:footnoteRef/>
      </w:r>
      <w:r>
        <w:t xml:space="preserve"> </w:t>
      </w:r>
      <w:r>
        <w:tab/>
        <w:t>Entgegen den klassischen, eurozentrischen Darstellungen der „Entdeckung“ der Welt ist es in den letzten Jahrzehnten zunehmend ins Bewusstsein europäischer Forscher gedru</w:t>
      </w:r>
      <w:r>
        <w:t>n</w:t>
      </w:r>
      <w:r>
        <w:t xml:space="preserve">gen, dass die Welt längst entdeckt war, sei es aus chinesischer, arabischer, oder Wikinger-Perspektive. Man könnte sogar behaupten, dass die Europäer die letzten waren, denen die Entdeckung der Welt gelang, doch war ihre Politik der </w:t>
      </w:r>
      <w:r>
        <w:rPr>
          <w:i/>
          <w:iCs/>
        </w:rPr>
        <w:t xml:space="preserve">Einschreibung </w:t>
      </w:r>
      <w:r>
        <w:t>um vieles wirkung</w:t>
      </w:r>
      <w:r>
        <w:t>s</w:t>
      </w:r>
      <w:r>
        <w:t>voller als die der zuvor Gekommenen und verhinderte die Möglichkeit einer Neu-Entdeckung dauerhaft. (Einschreibung meint hier gleichermaßen den Prozess der Verä</w:t>
      </w:r>
      <w:r>
        <w:t>n</w:t>
      </w:r>
      <w:r>
        <w:t>derung der Welt nach dem eigenen Bild von ihr, wie die Produktion von unzähligen, ebenso subjektiven Texten, die vielleicht noch wirkungsvoller als die materiellen Ma</w:t>
      </w:r>
      <w:r>
        <w:t>ß</w:t>
      </w:r>
      <w:r>
        <w:t>nahmen eine nicht mehr rückgängig zu machende Zeichnung durch die europäische En</w:t>
      </w:r>
      <w:r>
        <w:t>t</w:t>
      </w:r>
      <w:r>
        <w:t>deckung vornahmen.)</w:t>
      </w:r>
    </w:p>
  </w:footnote>
  <w:footnote w:id="261">
    <w:p w:rsidR="005A5F2B" w:rsidRDefault="005A5F2B" w:rsidP="00CF6655">
      <w:pPr>
        <w:pStyle w:val="Funotentext"/>
      </w:pPr>
      <w:r>
        <w:rPr>
          <w:rStyle w:val="Funotenzeichen"/>
        </w:rPr>
        <w:footnoteRef/>
      </w:r>
      <w:r>
        <w:t xml:space="preserve"> </w:t>
      </w:r>
      <w:r>
        <w:tab/>
        <w:t>Young 1995: 168f. Young zitiert Deleuze und Guattari 1977: 28 bzw. 30.</w:t>
      </w:r>
    </w:p>
  </w:footnote>
  <w:footnote w:id="262">
    <w:p w:rsidR="005A5F2B" w:rsidRDefault="005A5F2B" w:rsidP="00CF6655">
      <w:pPr>
        <w:pStyle w:val="Funotentext"/>
      </w:pPr>
      <w:r>
        <w:rPr>
          <w:rStyle w:val="Funotenzeichen"/>
        </w:rPr>
        <w:footnoteRef/>
      </w:r>
      <w:r>
        <w:tab/>
        <w:t xml:space="preserve">Fünf Monate später stellt er dann fest: „Sonderbar ist, daß ich mich an den anfänglich </w:t>
      </w:r>
      <w:r w:rsidR="00A427BF">
        <w:t>‚</w:t>
      </w:r>
      <w:r>
        <w:t>schrecklichen</w:t>
      </w:r>
      <w:r w:rsidR="00A427BF">
        <w:t>‘</w:t>
      </w:r>
      <w:r>
        <w:t xml:space="preserve"> Geruch der Eingeborenen scheinbar schon so gewöhnt habe, daß ich ihn kaum mehr rieche.“ (1197)</w:t>
      </w:r>
    </w:p>
  </w:footnote>
  <w:footnote w:id="263">
    <w:p w:rsidR="005A5F2B" w:rsidRDefault="005A5F2B" w:rsidP="00CF6655">
      <w:pPr>
        <w:pStyle w:val="Funotentext"/>
      </w:pPr>
      <w:r>
        <w:rPr>
          <w:rStyle w:val="Funotenzeichen"/>
        </w:rPr>
        <w:footnoteRef/>
      </w:r>
      <w:r>
        <w:tab/>
        <w:t>Gelegentlich fügt Spiecker als dritten Punkt noch „die Gefahr des Eindringens der Röm</w:t>
      </w:r>
      <w:r>
        <w:t>i</w:t>
      </w:r>
      <w:r>
        <w:t>schen“ hinzu (657).</w:t>
      </w:r>
    </w:p>
  </w:footnote>
  <w:footnote w:id="264">
    <w:p w:rsidR="005A5F2B" w:rsidRDefault="005A5F2B" w:rsidP="00CF6655">
      <w:pPr>
        <w:pStyle w:val="Funotentext"/>
      </w:pPr>
      <w:r>
        <w:rPr>
          <w:rStyle w:val="Funotenzeichen"/>
        </w:rPr>
        <w:footnoteRef/>
      </w:r>
      <w:r>
        <w:tab/>
        <w:t>Das folgende Zitat belegt, dass er eine „untertänige“ Haltung bei Eingeborenen im Al</w:t>
      </w:r>
      <w:r>
        <w:t>l</w:t>
      </w:r>
      <w:r>
        <w:t>gemeinen positiv bewertet: „Übrigens sind die äußeren Formen der Eingeborenen hier [im Klein-Namaland] viel untertäniger, wie auf den südlichen Stationen der Kapkolonie. Die Kultur ist eben hierher noch viel weniger vorgedrungen, wie dort im Süden. Diese (nicht die Missionare) macht die Leute anspruchsvoll und verdirbt sie.“ (298)</w:t>
      </w:r>
    </w:p>
  </w:footnote>
  <w:footnote w:id="265">
    <w:p w:rsidR="005A5F2B" w:rsidRDefault="005A5F2B" w:rsidP="00CF6655">
      <w:pPr>
        <w:pStyle w:val="Funotentext"/>
      </w:pPr>
      <w:r>
        <w:rPr>
          <w:rStyle w:val="Funotenzeichen"/>
        </w:rPr>
        <w:footnoteRef/>
      </w:r>
      <w:r>
        <w:tab/>
        <w:t>Zum Beispiel durch Br. Dannert</w:t>
      </w:r>
      <w:r w:rsidR="00363C1C">
        <w:fldChar w:fldCharType="begin"/>
      </w:r>
      <w:r>
        <w:instrText xml:space="preserve"> XE "</w:instrText>
      </w:r>
      <w:r w:rsidRPr="002D35B6">
        <w:instrText>Dannert, Geschw.</w:instrText>
      </w:r>
      <w:r>
        <w:instrText xml:space="preserve">" </w:instrText>
      </w:r>
      <w:r w:rsidR="00363C1C">
        <w:fldChar w:fldCharType="end"/>
      </w:r>
      <w:r>
        <w:t>, den Missionar in Omaruru</w:t>
      </w:r>
      <w:r w:rsidR="00363C1C">
        <w:fldChar w:fldCharType="begin"/>
      </w:r>
      <w:r>
        <w:instrText xml:space="preserve"> XE "</w:instrText>
      </w:r>
      <w:r w:rsidRPr="00D82E55">
        <w:instrText>Omaruru</w:instrText>
      </w:r>
      <w:r>
        <w:instrText xml:space="preserve">" </w:instrText>
      </w:r>
      <w:r w:rsidR="00363C1C">
        <w:fldChar w:fldCharType="end"/>
      </w:r>
      <w:r>
        <w:t>: „Nachher erzählte Br. Dannert</w:t>
      </w:r>
      <w:r w:rsidR="00363C1C">
        <w:fldChar w:fldCharType="begin"/>
      </w:r>
      <w:r>
        <w:instrText xml:space="preserve"> XE "</w:instrText>
      </w:r>
      <w:r w:rsidRPr="002D35B6">
        <w:instrText>Dannert, Geschw.</w:instrText>
      </w:r>
      <w:r>
        <w:instrText xml:space="preserve">" </w:instrText>
      </w:r>
      <w:r w:rsidR="00363C1C">
        <w:fldChar w:fldCharType="end"/>
      </w:r>
      <w:r>
        <w:t xml:space="preserve"> noch mancherlei von den traurigen sittlichen Verhältnissen unter einem großen Teil der hiesigen weißen Bevölkerung. Sehr viele gibt es wohl nicht, die sittlich rein ble</w:t>
      </w:r>
      <w:r>
        <w:t>i</w:t>
      </w:r>
      <w:r>
        <w:t>ben“ (599).</w:t>
      </w:r>
    </w:p>
  </w:footnote>
  <w:footnote w:id="266">
    <w:p w:rsidR="005A5F2B" w:rsidRDefault="005A5F2B" w:rsidP="00CF6655">
      <w:pPr>
        <w:pStyle w:val="Funotentext"/>
      </w:pPr>
      <w:r>
        <w:rPr>
          <w:rStyle w:val="Funotenzeichen"/>
        </w:rPr>
        <w:footnoteRef/>
      </w:r>
      <w:r>
        <w:t xml:space="preserve"> </w:t>
      </w:r>
      <w:r>
        <w:tab/>
        <w:t>Zimmerer 2004: 109, Fußnoten wurden ausgelassen; die Zitate stammen aus Mitteilungen des Eingeborenenkommissars Ebeling, Warmbad, des Bezirksamts Grootfontein</w:t>
      </w:r>
      <w:r w:rsidR="00363C1C">
        <w:fldChar w:fldCharType="begin"/>
      </w:r>
      <w:r>
        <w:instrText xml:space="preserve"> XE "</w:instrText>
      </w:r>
      <w:r w:rsidRPr="00F824E7">
        <w:instrText>Grootfontein</w:instrText>
      </w:r>
      <w:r>
        <w:instrText xml:space="preserve">" </w:instrText>
      </w:r>
      <w:r w:rsidR="00363C1C">
        <w:fldChar w:fldCharType="end"/>
      </w:r>
      <w:r>
        <w:t xml:space="preserve"> und des Eingeborenenkommissars Bohr, alle an das Gouvernement</w:t>
      </w:r>
      <w:r w:rsidR="00363C1C">
        <w:fldChar w:fldCharType="begin"/>
      </w:r>
      <w:r>
        <w:instrText xml:space="preserve"> XE "</w:instrText>
      </w:r>
      <w:r w:rsidRPr="00592176">
        <w:instrText>Gouvernement</w:instrText>
      </w:r>
      <w:r>
        <w:instrText xml:space="preserve">" </w:instrText>
      </w:r>
      <w:r w:rsidR="00363C1C">
        <w:fldChar w:fldCharType="end"/>
      </w:r>
      <w:r>
        <w:t>, Windhuk</w:t>
      </w:r>
      <w:r w:rsidR="00363C1C">
        <w:fldChar w:fldCharType="begin"/>
      </w:r>
      <w:r>
        <w:instrText xml:space="preserve"> XE "</w:instrText>
      </w:r>
      <w:r w:rsidRPr="001870D2">
        <w:instrText>Windhuk</w:instrText>
      </w:r>
      <w:r>
        <w:instrText xml:space="preserve">" </w:instrText>
      </w:r>
      <w:r w:rsidR="00363C1C">
        <w:fldChar w:fldCharType="end"/>
      </w:r>
      <w:r>
        <w:t>. „Unverheiratenen“ bei Zimmerer.</w:t>
      </w:r>
    </w:p>
  </w:footnote>
  <w:footnote w:id="267">
    <w:p w:rsidR="005A5F2B" w:rsidRDefault="005A5F2B" w:rsidP="00CF6655">
      <w:pPr>
        <w:pStyle w:val="Funotentext"/>
      </w:pPr>
      <w:r>
        <w:rPr>
          <w:rStyle w:val="Funotenzeichen"/>
        </w:rPr>
        <w:footnoteRef/>
      </w:r>
      <w:r>
        <w:t xml:space="preserve"> </w:t>
      </w:r>
      <w:r>
        <w:tab/>
        <w:t>ebd.</w:t>
      </w:r>
    </w:p>
  </w:footnote>
  <w:footnote w:id="268">
    <w:p w:rsidR="005A5F2B" w:rsidRDefault="005A5F2B" w:rsidP="00CF6655">
      <w:pPr>
        <w:pStyle w:val="Funotentext"/>
      </w:pPr>
      <w:r>
        <w:rPr>
          <w:rStyle w:val="Funotenzeichen"/>
        </w:rPr>
        <w:footnoteRef/>
      </w:r>
      <w:r>
        <w:t xml:space="preserve"> </w:t>
      </w:r>
      <w:r>
        <w:tab/>
        <w:t>Gründer 1982: 125f.</w:t>
      </w:r>
    </w:p>
  </w:footnote>
  <w:footnote w:id="269">
    <w:p w:rsidR="005A5F2B" w:rsidRDefault="005A5F2B" w:rsidP="00CF6655">
      <w:pPr>
        <w:pStyle w:val="Funotentext"/>
      </w:pPr>
      <w:r>
        <w:rPr>
          <w:rStyle w:val="Funotenzeichen"/>
        </w:rPr>
        <w:footnoteRef/>
      </w:r>
      <w:r>
        <w:tab/>
        <w:t>„[Mir] gelang es noch einige Punkte mit ihm allein zu besprechen, wie z.B. die Schli</w:t>
      </w:r>
      <w:r>
        <w:t>e</w:t>
      </w:r>
      <w:r>
        <w:t>ßung der Schule im Gefangenenkraal. Er sagte mir, daß dieselbe nur vorübergehend sei, da die Kinder zu ganz leichten Arbeiten herangezogen würden. Nach einiger Zeit solle auch wieder Schule gehalten werden.“ (538)</w:t>
      </w:r>
    </w:p>
  </w:footnote>
  <w:footnote w:id="270">
    <w:p w:rsidR="005A5F2B" w:rsidRDefault="005A5F2B" w:rsidP="00CF6655">
      <w:pPr>
        <w:pStyle w:val="Funotentext"/>
      </w:pPr>
      <w:r>
        <w:rPr>
          <w:rStyle w:val="Funotenzeichen"/>
        </w:rPr>
        <w:footnoteRef/>
      </w:r>
      <w:r>
        <w:t xml:space="preserve"> </w:t>
      </w:r>
      <w:r>
        <w:tab/>
        <w:t>Die rechtlichen Aspekte dieser Praxis werden von Sippel 2004 detailliert erläutert. Ve</w:t>
      </w:r>
      <w:r>
        <w:t>r</w:t>
      </w:r>
      <w:r>
        <w:t>schiedene Aspekte des Feldes der Rassenideologie, Rassentrennung und Behandlung der ‚Mischlingsfrage‘ in den deutschen Kolonien behandelt Becker 2004.</w:t>
      </w:r>
    </w:p>
  </w:footnote>
  <w:footnote w:id="271">
    <w:p w:rsidR="005A5F2B" w:rsidRDefault="005A5F2B" w:rsidP="00CF6655">
      <w:pPr>
        <w:pStyle w:val="Funotentext"/>
      </w:pPr>
      <w:r>
        <w:rPr>
          <w:rStyle w:val="Funotenzeichen"/>
        </w:rPr>
        <w:footnoteRef/>
      </w:r>
      <w:r>
        <w:t xml:space="preserve"> </w:t>
      </w:r>
      <w:r>
        <w:tab/>
        <w:t>Tatsächlich wurde ein solches Verbot faktisch bereits 1905 ausgesprochen. „Unter dem Eindruck der Aufstände der Herero</w:t>
      </w:r>
      <w:r w:rsidR="00363C1C">
        <w:fldChar w:fldCharType="begin"/>
      </w:r>
      <w:r>
        <w:instrText xml:space="preserve"> XE "</w:instrText>
      </w:r>
      <w:r w:rsidRPr="00D91537">
        <w:instrText>Herero</w:instrText>
      </w:r>
      <w:r>
        <w:instrText xml:space="preserve">" </w:instrText>
      </w:r>
      <w:r w:rsidR="00363C1C">
        <w:fldChar w:fldCharType="end"/>
      </w:r>
      <w:r>
        <w:t xml:space="preserve"> und der Nama</w:t>
      </w:r>
      <w:r w:rsidR="00363C1C">
        <w:fldChar w:fldCharType="begin"/>
      </w:r>
      <w:r>
        <w:instrText xml:space="preserve"> XE "</w:instrText>
      </w:r>
      <w:r w:rsidRPr="001F563C">
        <w:instrText>Nama</w:instrText>
      </w:r>
      <w:r>
        <w:instrText xml:space="preserve">" </w:instrText>
      </w:r>
      <w:r w:rsidR="00363C1C">
        <w:fldChar w:fldCharType="end"/>
      </w:r>
      <w:r>
        <w:t xml:space="preserve"> gegen die deutsche Kolonialherrschaft in Südwestafrika wies das Gouvernement</w:t>
      </w:r>
      <w:r w:rsidR="00363C1C">
        <w:fldChar w:fldCharType="begin"/>
      </w:r>
      <w:r>
        <w:instrText xml:space="preserve"> XE "</w:instrText>
      </w:r>
      <w:r w:rsidRPr="00592176">
        <w:instrText>Gouvernement</w:instrText>
      </w:r>
      <w:r>
        <w:instrText xml:space="preserve">" </w:instrText>
      </w:r>
      <w:r w:rsidR="00363C1C">
        <w:fldChar w:fldCharType="end"/>
      </w:r>
      <w:r>
        <w:t xml:space="preserve"> in Windhuk</w:t>
      </w:r>
      <w:r w:rsidR="00363C1C">
        <w:fldChar w:fldCharType="begin"/>
      </w:r>
      <w:r>
        <w:instrText xml:space="preserve"> XE "</w:instrText>
      </w:r>
      <w:r w:rsidRPr="001870D2">
        <w:instrText>Windhuk</w:instrText>
      </w:r>
      <w:r>
        <w:instrText xml:space="preserve">" </w:instrText>
      </w:r>
      <w:r w:rsidR="00363C1C">
        <w:fldChar w:fldCharType="end"/>
      </w:r>
      <w:r>
        <w:t xml:space="preserve"> im September 1905 die Standesb</w:t>
      </w:r>
      <w:r>
        <w:t>e</w:t>
      </w:r>
      <w:r>
        <w:t>amten in der Kolonie an, ihr für das rechtsgültige Zustandekommen einer Ehe notwend</w:t>
      </w:r>
      <w:r>
        <w:t>i</w:t>
      </w:r>
      <w:r>
        <w:t>ges Mitwirken an der Eheschließung im Falle einer ‚Rassenmischehe‘ zu versagen. Dieses faktische Verbot solcher Ehen wurde mit dem Hinweis auf formalrechtliche Änderungen begründet, die sich seit der Neufassung des Schutzgebietsgesetzes von 1900 ergeben hä</w:t>
      </w:r>
      <w:r>
        <w:t>t</w:t>
      </w:r>
      <w:r>
        <w:t>ten. Flankiert wurde diese administrative Maßnahme durch die ordentlichen Gerichte in Deutsch-Südwestafrika, die nicht nur die Auffassung der Verwaltung zur ‚Rassenmisc</w:t>
      </w:r>
      <w:r>
        <w:t>h</w:t>
      </w:r>
      <w:r>
        <w:t>ehe‘ teilten, sondern die Nichtanerkennung solcher Ehen auch auf die bereits vor dem Verbot von 1905 rechtsgültig geschlossenen ‚Rassenmischehen‘ ausdehnten.“ (Sippel 2004: 162) Die Eintragung Spieckers datiert vom 1. Februar 1906; ob er sich auf die – möglicherweise noch nicht überall praktizierte – Anweisung vom September des Vorja</w:t>
      </w:r>
      <w:r>
        <w:t>h</w:t>
      </w:r>
      <w:r>
        <w:t xml:space="preserve">res oder vielleicht diskutierte weitergehende (legislative?) Maßnahmen </w:t>
      </w:r>
      <w:proofErr w:type="gramStart"/>
      <w:r>
        <w:t>bezieht</w:t>
      </w:r>
      <w:proofErr w:type="gramEnd"/>
      <w:r>
        <w:t>, ist unklar.</w:t>
      </w:r>
    </w:p>
  </w:footnote>
  <w:footnote w:id="272">
    <w:p w:rsidR="005A5F2B" w:rsidRDefault="005A5F2B" w:rsidP="00CF6655">
      <w:pPr>
        <w:pStyle w:val="Funotentext"/>
      </w:pPr>
      <w:r>
        <w:rPr>
          <w:rStyle w:val="Funotenzeichen"/>
        </w:rPr>
        <w:footnoteRef/>
      </w:r>
      <w:r>
        <w:tab/>
        <w:t>Gemeint ist wohl das Abschreiben von der Tafel.</w:t>
      </w:r>
    </w:p>
  </w:footnote>
  <w:footnote w:id="273">
    <w:p w:rsidR="005A5F2B" w:rsidRDefault="005A5F2B" w:rsidP="00CF6655">
      <w:pPr>
        <w:pStyle w:val="Funotentext"/>
      </w:pPr>
      <w:r>
        <w:rPr>
          <w:rStyle w:val="Funotenzeichen"/>
        </w:rPr>
        <w:footnoteRef/>
      </w:r>
      <w:r>
        <w:t xml:space="preserve"> </w:t>
      </w:r>
      <w:r>
        <w:tab/>
        <w:t>Gründer 1982: 121.</w:t>
      </w:r>
    </w:p>
  </w:footnote>
  <w:footnote w:id="274">
    <w:p w:rsidR="005A5F2B" w:rsidRDefault="005A5F2B" w:rsidP="00CF6655">
      <w:pPr>
        <w:pStyle w:val="Funotentext"/>
      </w:pPr>
      <w:r>
        <w:rPr>
          <w:rStyle w:val="Funotenzeichen"/>
        </w:rPr>
        <w:footnoteRef/>
      </w:r>
      <w:r>
        <w:t xml:space="preserve"> </w:t>
      </w:r>
      <w:r>
        <w:tab/>
        <w:t xml:space="preserve">Vgl. Abschnitt </w:t>
      </w:r>
      <w:r w:rsidR="00363C1C">
        <w:fldChar w:fldCharType="begin"/>
      </w:r>
      <w:r>
        <w:instrText xml:space="preserve"> REF _Ref325357642 \r \h </w:instrText>
      </w:r>
      <w:r w:rsidR="00363C1C">
        <w:fldChar w:fldCharType="separate"/>
      </w:r>
      <w:r w:rsidR="00216538">
        <w:t>2.2.4.2</w:t>
      </w:r>
      <w:r w:rsidR="00363C1C">
        <w:fldChar w:fldCharType="end"/>
      </w:r>
      <w:r>
        <w:t xml:space="preserve"> „Erziehung zur Arbeit“.</w:t>
      </w:r>
    </w:p>
  </w:footnote>
  <w:footnote w:id="275">
    <w:p w:rsidR="005A5F2B" w:rsidRDefault="005A5F2B" w:rsidP="00CF6655">
      <w:pPr>
        <w:pStyle w:val="Funotentext"/>
      </w:pPr>
      <w:r>
        <w:rPr>
          <w:rStyle w:val="Funotenzeichen"/>
        </w:rPr>
        <w:footnoteRef/>
      </w:r>
      <w:r>
        <w:t xml:space="preserve"> </w:t>
      </w:r>
      <w:r>
        <w:tab/>
        <w:t>Gründer 1982: 121f.</w:t>
      </w:r>
    </w:p>
  </w:footnote>
  <w:footnote w:id="276">
    <w:p w:rsidR="005A5F2B" w:rsidRDefault="005A5F2B" w:rsidP="00CF6655">
      <w:pPr>
        <w:pStyle w:val="Funotentext"/>
      </w:pPr>
      <w:r>
        <w:rPr>
          <w:rStyle w:val="Funotenzeichen"/>
        </w:rPr>
        <w:footnoteRef/>
      </w:r>
      <w:r>
        <w:t xml:space="preserve"> </w:t>
      </w:r>
      <w:r>
        <w:tab/>
        <w:t>Bühler 2003: 394.</w:t>
      </w:r>
    </w:p>
  </w:footnote>
  <w:footnote w:id="277">
    <w:p w:rsidR="005A5F2B" w:rsidRDefault="005A5F2B" w:rsidP="00CF6655">
      <w:pPr>
        <w:pStyle w:val="Funotentext"/>
      </w:pPr>
      <w:r>
        <w:rPr>
          <w:rStyle w:val="Funotenzeichen"/>
        </w:rPr>
        <w:footnoteRef/>
      </w:r>
      <w:r>
        <w:t xml:space="preserve"> </w:t>
      </w:r>
      <w:r>
        <w:tab/>
        <w:t>Zum Beispiel schreibt 1932 der Missionsinspektor Heinrich</w:t>
      </w:r>
      <w:r w:rsidR="00363C1C">
        <w:fldChar w:fldCharType="begin"/>
      </w:r>
      <w:r>
        <w:instrText xml:space="preserve"> XE "Drießler, </w:instrText>
      </w:r>
      <w:r w:rsidRPr="00294A51">
        <w:instrText>Heinrich</w:instrText>
      </w:r>
      <w:r>
        <w:instrText xml:space="preserve">" </w:instrText>
      </w:r>
      <w:r w:rsidR="00363C1C">
        <w:fldChar w:fldCharType="end"/>
      </w:r>
      <w:r>
        <w:t xml:space="preserve"> Drießler: „Mitten hinein in diese friedliche, vielversprechende Entwicklung schlug wie ein vernichtendes Hagelwetter der blutige Aufstand</w:t>
      </w:r>
      <w:r w:rsidR="00363C1C">
        <w:fldChar w:fldCharType="begin"/>
      </w:r>
      <w:r>
        <w:instrText xml:space="preserve"> XE "</w:instrText>
      </w:r>
      <w:r w:rsidRPr="00AA3184">
        <w:instrText>Aufstand</w:instrText>
      </w:r>
      <w:r>
        <w:instrText xml:space="preserve">" </w:instrText>
      </w:r>
      <w:r w:rsidR="00363C1C">
        <w:fldChar w:fldCharType="end"/>
      </w:r>
      <w:r>
        <w:t xml:space="preserve"> 1904. Unter den Eingeborenen hatte sich eine tiefgehende Unz</w:t>
      </w:r>
      <w:r>
        <w:t>u</w:t>
      </w:r>
      <w:r>
        <w:t>friedenheit mit der fremden ‚Schutzherrschaft‘ verbreitet. Man fühlte nur die Herrschaft und vergaß die Wohltaten des Schutzes, die in Ruhe, Sicherheit und Ordnung im Lande zu sehen waren. Auf diesen Schutz hätten die wander-, raub- und kriegslustigen Nama</w:t>
      </w:r>
      <w:r w:rsidR="00363C1C">
        <w:fldChar w:fldCharType="begin"/>
      </w:r>
      <w:r>
        <w:instrText xml:space="preserve"> XE "</w:instrText>
      </w:r>
      <w:r w:rsidRPr="001F563C">
        <w:instrText>Nama</w:instrText>
      </w:r>
      <w:r>
        <w:instrText xml:space="preserve">" </w:instrText>
      </w:r>
      <w:r w:rsidR="00363C1C">
        <w:fldChar w:fldCharType="end"/>
      </w:r>
      <w:r>
        <w:t xml:space="preserve"> und Herero</w:t>
      </w:r>
      <w:r w:rsidR="00363C1C">
        <w:fldChar w:fldCharType="begin"/>
      </w:r>
      <w:r>
        <w:instrText xml:space="preserve"> XE "</w:instrText>
      </w:r>
      <w:r w:rsidRPr="00D91537">
        <w:instrText>Herero</w:instrText>
      </w:r>
      <w:r>
        <w:instrText xml:space="preserve">" </w:instrText>
      </w:r>
      <w:r w:rsidR="00363C1C">
        <w:fldChar w:fldCharType="end"/>
      </w:r>
      <w:r>
        <w:t xml:space="preserve"> gern verzichtet. Die alte Zeit der wilden Freiheit erschien denen, die ihre Schrecken nicht mehr selber erlebt hatten, als das Paradies, aus dem die deutsche Verwa</w:t>
      </w:r>
      <w:r>
        <w:t>l</w:t>
      </w:r>
      <w:r>
        <w:t>tung sie hinausgejagt hatte. Sie sahen ihr Land in den Händen der Weißen und vergaßen, daß sie es jenen oft aufgedrängt hatten, um Geld und Tand zu empfangen.“ (Drießler 1932: 191.) Besonders euphemistisch erscheinen die Verwendung von „Verwaltung“ für die Kolonialregierung</w:t>
      </w:r>
      <w:r w:rsidR="00363C1C">
        <w:fldChar w:fldCharType="begin"/>
      </w:r>
      <w:r>
        <w:instrText xml:space="preserve"> XE "</w:instrText>
      </w:r>
      <w:r w:rsidRPr="00087CF3">
        <w:instrText>Kolonialregierung</w:instrText>
      </w:r>
      <w:r>
        <w:instrText xml:space="preserve">" </w:instrText>
      </w:r>
      <w:r w:rsidR="00363C1C">
        <w:fldChar w:fldCharType="end"/>
      </w:r>
      <w:r>
        <w:t xml:space="preserve"> und die Behauptung, das Land sei den Weißen aufgedrängt worden, insbesondere in Anbetracht der Rolle der Mission bei den teilweise betrügerischen Lan</w:t>
      </w:r>
      <w:r>
        <w:t>d</w:t>
      </w:r>
      <w:r>
        <w:t xml:space="preserve">käufen (vgl. die Abschnitte </w:t>
      </w:r>
      <w:r w:rsidR="00363C1C">
        <w:fldChar w:fldCharType="begin"/>
      </w:r>
      <w:r>
        <w:instrText xml:space="preserve"> REF _Ref325357680 \r \h </w:instrText>
      </w:r>
      <w:r w:rsidR="00363C1C">
        <w:fldChar w:fldCharType="separate"/>
      </w:r>
      <w:r w:rsidR="00216538">
        <w:t>2.2.5.3</w:t>
      </w:r>
      <w:r w:rsidR="00363C1C">
        <w:fldChar w:fldCharType="end"/>
      </w:r>
      <w:r>
        <w:t xml:space="preserve"> und </w:t>
      </w:r>
      <w:r w:rsidR="00363C1C">
        <w:fldChar w:fldCharType="begin"/>
      </w:r>
      <w:r>
        <w:instrText xml:space="preserve"> REF _Ref325357706 \r \h </w:instrText>
      </w:r>
      <w:r w:rsidR="00363C1C">
        <w:fldChar w:fldCharType="separate"/>
      </w:r>
      <w:r w:rsidR="00216538">
        <w:t>2.4.2.2</w:t>
      </w:r>
      <w:r w:rsidR="00363C1C">
        <w:fldChar w:fldCharType="end"/>
      </w:r>
      <w:r>
        <w:t>).</w:t>
      </w:r>
    </w:p>
  </w:footnote>
  <w:footnote w:id="278">
    <w:p w:rsidR="005A5F2B" w:rsidRDefault="005A5F2B" w:rsidP="00CF6655">
      <w:pPr>
        <w:pStyle w:val="Funotentext"/>
      </w:pPr>
      <w:r>
        <w:rPr>
          <w:rStyle w:val="Funotenzeichen"/>
        </w:rPr>
        <w:footnoteRef/>
      </w:r>
      <w:r>
        <w:t xml:space="preserve"> </w:t>
      </w:r>
      <w:r>
        <w:tab/>
        <w:t>Drießler 1932: 286f.</w:t>
      </w:r>
    </w:p>
  </w:footnote>
  <w:footnote w:id="279">
    <w:p w:rsidR="005A5F2B" w:rsidRDefault="005A5F2B" w:rsidP="00CF6655">
      <w:pPr>
        <w:pStyle w:val="Funotentext"/>
      </w:pPr>
      <w:r>
        <w:rPr>
          <w:rStyle w:val="Funotenzeichen"/>
        </w:rPr>
        <w:footnoteRef/>
      </w:r>
      <w:r>
        <w:t xml:space="preserve"> </w:t>
      </w:r>
      <w:r>
        <w:tab/>
        <w:t>Engel 1976: 42f.</w:t>
      </w:r>
    </w:p>
  </w:footnote>
  <w:footnote w:id="280">
    <w:p w:rsidR="005A5F2B" w:rsidRDefault="005A5F2B" w:rsidP="00CF6655">
      <w:pPr>
        <w:pStyle w:val="Funotentext"/>
      </w:pPr>
      <w:r>
        <w:rPr>
          <w:rStyle w:val="Funotenzeichen"/>
        </w:rPr>
        <w:footnoteRef/>
      </w:r>
      <w:r>
        <w:t xml:space="preserve"> </w:t>
      </w:r>
      <w:r>
        <w:tab/>
        <w:t>ebd.: 43. Engel zitiert: Spiecker 1907: 71.</w:t>
      </w:r>
    </w:p>
  </w:footnote>
  <w:footnote w:id="281">
    <w:p w:rsidR="005A5F2B" w:rsidRDefault="005A5F2B" w:rsidP="00CF6655">
      <w:pPr>
        <w:pStyle w:val="Funotentext"/>
      </w:pPr>
      <w:r>
        <w:rPr>
          <w:rStyle w:val="Funotenzeichen"/>
        </w:rPr>
        <w:footnoteRef/>
      </w:r>
      <w:r>
        <w:t xml:space="preserve"> </w:t>
      </w:r>
      <w:r>
        <w:tab/>
        <w:t>Spiecker 1907: 75.</w:t>
      </w:r>
    </w:p>
  </w:footnote>
  <w:footnote w:id="282">
    <w:p w:rsidR="005A5F2B" w:rsidRDefault="005A5F2B" w:rsidP="00CF6655">
      <w:pPr>
        <w:pStyle w:val="Funotentext"/>
      </w:pPr>
      <w:r>
        <w:rPr>
          <w:rStyle w:val="Funotenzeichen"/>
        </w:rPr>
        <w:footnoteRef/>
      </w:r>
      <w:r>
        <w:t xml:space="preserve"> </w:t>
      </w:r>
      <w:r>
        <w:tab/>
        <w:t>Das Foto erinnert an die Elendsbilder, die wir bis heute bei Hungersnöten in Afrika in regelmäßigen Abständen sehen; Bilder, die unter Umständen eine plötzliche Veränderung in einem Reisenden auslösen können und ihm zum Teil des vorher nur Betrachteten we</w:t>
      </w:r>
      <w:r>
        <w:t>r</w:t>
      </w:r>
      <w:r>
        <w:t xml:space="preserve">den lassen (vgl. Abschnitt </w:t>
      </w:r>
      <w:r w:rsidR="00363C1C">
        <w:fldChar w:fldCharType="begin"/>
      </w:r>
      <w:r>
        <w:instrText xml:space="preserve"> REF _Ref325357738 \r \h </w:instrText>
      </w:r>
      <w:r w:rsidR="00363C1C">
        <w:fldChar w:fldCharType="separate"/>
      </w:r>
      <w:r w:rsidR="00216538">
        <w:t>1.5.1.1</w:t>
      </w:r>
      <w:r w:rsidR="00363C1C">
        <w:fldChar w:fldCharType="end"/>
      </w:r>
      <w:r>
        <w:t>). Spiecker dagegen konzentriert sich weiterhin auf seine Visitation; dies ist seine primäre Aufgabe, und er fällt nicht aus der Rolle.</w:t>
      </w:r>
    </w:p>
  </w:footnote>
  <w:footnote w:id="283">
    <w:p w:rsidR="005A5F2B" w:rsidRDefault="005A5F2B" w:rsidP="00CF6655">
      <w:pPr>
        <w:pStyle w:val="Funotentext"/>
      </w:pPr>
      <w:r>
        <w:rPr>
          <w:rStyle w:val="Funotenzeichen"/>
        </w:rPr>
        <w:footnoteRef/>
      </w:r>
      <w:r>
        <w:t xml:space="preserve"> </w:t>
      </w:r>
      <w:r>
        <w:tab/>
        <w:t>Für 1905 nennt er die Zahl von 800 Toten in den Gefangenenlagern (Spiecker 1907: 80), über die Flucht in die Wüste Omaheke</w:t>
      </w:r>
      <w:r w:rsidR="00363C1C">
        <w:fldChar w:fldCharType="begin"/>
      </w:r>
      <w:r>
        <w:instrText xml:space="preserve"> XE "</w:instrText>
      </w:r>
      <w:r w:rsidRPr="0047174D">
        <w:instrText>Omaheke (Wüste)</w:instrText>
      </w:r>
      <w:r>
        <w:instrText xml:space="preserve">" </w:instrText>
      </w:r>
      <w:r w:rsidR="00363C1C">
        <w:fldChar w:fldCharType="end"/>
      </w:r>
      <w:r>
        <w:t xml:space="preserve"> nach der Schlacht am Waterberg schreibt er: „O</w:t>
      </w:r>
      <w:r>
        <w:t>f</w:t>
      </w:r>
      <w:r>
        <w:t>fenbar sind Tausende von ihnen da verdurstet.“ (ebd.: 73)</w:t>
      </w:r>
    </w:p>
  </w:footnote>
  <w:footnote w:id="284">
    <w:p w:rsidR="005A5F2B" w:rsidRDefault="005A5F2B" w:rsidP="00CF6655">
      <w:pPr>
        <w:pStyle w:val="Funotentext"/>
      </w:pPr>
      <w:r>
        <w:rPr>
          <w:rStyle w:val="Funotenzeichen"/>
        </w:rPr>
        <w:footnoteRef/>
      </w:r>
      <w:r>
        <w:t xml:space="preserve"> </w:t>
      </w:r>
      <w:r>
        <w:tab/>
        <w:t>Spiecker 1907: 73.</w:t>
      </w:r>
    </w:p>
  </w:footnote>
  <w:footnote w:id="285">
    <w:p w:rsidR="005A5F2B" w:rsidRDefault="005A5F2B" w:rsidP="00CF6655">
      <w:pPr>
        <w:pStyle w:val="Funotentext"/>
      </w:pPr>
      <w:r>
        <w:rPr>
          <w:rStyle w:val="Funotenzeichen"/>
        </w:rPr>
        <w:footnoteRef/>
      </w:r>
      <w:r>
        <w:t xml:space="preserve"> </w:t>
      </w:r>
      <w:r>
        <w:tab/>
        <w:t xml:space="preserve">Vgl. Abschnitt </w:t>
      </w:r>
      <w:r w:rsidR="00363C1C">
        <w:fldChar w:fldCharType="begin"/>
      </w:r>
      <w:r>
        <w:instrText xml:space="preserve"> REF _Ref325357788 \r \h </w:instrText>
      </w:r>
      <w:r w:rsidR="00363C1C">
        <w:fldChar w:fldCharType="separate"/>
      </w:r>
      <w:r w:rsidR="00216538">
        <w:t>3.1.1</w:t>
      </w:r>
      <w:r w:rsidR="00363C1C">
        <w:fldChar w:fldCharType="end"/>
      </w:r>
      <w:r>
        <w:t xml:space="preserve"> und </w:t>
      </w:r>
      <w:r w:rsidR="00363C1C">
        <w:fldChar w:fldCharType="begin"/>
      </w:r>
      <w:r>
        <w:instrText xml:space="preserve"> REF _Ref325357797 \r \h </w:instrText>
      </w:r>
      <w:r w:rsidR="00363C1C">
        <w:fldChar w:fldCharType="separate"/>
      </w:r>
      <w:r w:rsidR="00216538">
        <w:t>3.1.2</w:t>
      </w:r>
      <w:r w:rsidR="00363C1C">
        <w:fldChar w:fldCharType="end"/>
      </w:r>
      <w:r>
        <w:t>; im letzteren fällt die Differenz zur ängstlichen Haltung Br. Meisenholls auf.</w:t>
      </w:r>
    </w:p>
  </w:footnote>
  <w:footnote w:id="286">
    <w:p w:rsidR="005A5F2B" w:rsidRDefault="005A5F2B" w:rsidP="00CF6655">
      <w:pPr>
        <w:pStyle w:val="Funotentext"/>
      </w:pPr>
      <w:r>
        <w:rPr>
          <w:rStyle w:val="Funotenzeichen"/>
        </w:rPr>
        <w:footnoteRef/>
      </w:r>
      <w:r>
        <w:t xml:space="preserve"> </w:t>
      </w:r>
      <w:r>
        <w:tab/>
        <w:t>Weber</w:t>
      </w:r>
      <w:r w:rsidR="00363C1C">
        <w:fldChar w:fldCharType="begin"/>
      </w:r>
      <w:r>
        <w:instrText xml:space="preserve"> XE "</w:instrText>
      </w:r>
      <w:r w:rsidRPr="002C5A3F">
        <w:instrText>Weber, Br.</w:instrText>
      </w:r>
      <w:r>
        <w:instrText xml:space="preserve">" </w:instrText>
      </w:r>
      <w:r w:rsidR="00363C1C">
        <w:fldChar w:fldCharType="end"/>
      </w:r>
      <w:r>
        <w:t>, Zweiter Theil, S. 170f; zitiert nach Hemme 2000: 137. Tanja Hemme bemerkt d</w:t>
      </w:r>
      <w:r>
        <w:t>a</w:t>
      </w:r>
      <w:r>
        <w:t>zu, dass Weber</w:t>
      </w:r>
      <w:r w:rsidR="00363C1C">
        <w:fldChar w:fldCharType="begin"/>
      </w:r>
      <w:r>
        <w:instrText xml:space="preserve"> XE "</w:instrText>
      </w:r>
      <w:r w:rsidRPr="002C5A3F">
        <w:instrText>Weber, Br.</w:instrText>
      </w:r>
      <w:r>
        <w:instrText xml:space="preserve">" </w:instrText>
      </w:r>
      <w:r w:rsidR="00363C1C">
        <w:fldChar w:fldCharType="end"/>
      </w:r>
      <w:r>
        <w:t xml:space="preserve"> generell eine Bedrohungskulisse durch die Schwarzen aufbaut: „In diesem Kontext sind zugleich Bemerkungen und das Erzählen von Anekdoten zu verstehen, die eine typische Bereitschaft zur Gewalt und einen Hang zu grundloser Grausamkeit der Schwarzen belegen sollen“ (Hemme 2000: 137); das heißt, diese Geschichten werden deshalb als „Anekdoten“ erzählt, weil sie nicht in den im Hintergrund stehenden Krieg und die damit verbundenen Gewalttaten beider Seiten eingebunden werden.</w:t>
      </w:r>
    </w:p>
  </w:footnote>
  <w:footnote w:id="287">
    <w:p w:rsidR="005A5F2B" w:rsidRDefault="005A5F2B" w:rsidP="00CF6655">
      <w:pPr>
        <w:pStyle w:val="Funotentext"/>
      </w:pPr>
      <w:r>
        <w:rPr>
          <w:rStyle w:val="Funotenzeichen"/>
        </w:rPr>
        <w:footnoteRef/>
      </w:r>
      <w:r>
        <w:tab/>
        <w:t>Zu den Gefangenenlagern und zum Ausbruch von Skorbut</w:t>
      </w:r>
      <w:r w:rsidR="00363C1C">
        <w:fldChar w:fldCharType="begin"/>
      </w:r>
      <w:r>
        <w:instrText xml:space="preserve"> XE "</w:instrText>
      </w:r>
      <w:r w:rsidRPr="002108EA">
        <w:instrText>Skorbut</w:instrText>
      </w:r>
      <w:r>
        <w:instrText xml:space="preserve">" </w:instrText>
      </w:r>
      <w:r w:rsidR="00363C1C">
        <w:fldChar w:fldCharType="end"/>
      </w:r>
      <w:r>
        <w:t xml:space="preserve"> zitiert Drechsler Oskar Bongard</w:t>
      </w:r>
      <w:r w:rsidR="00363C1C">
        <w:fldChar w:fldCharType="begin"/>
      </w:r>
      <w:r>
        <w:instrText xml:space="preserve"> XE "</w:instrText>
      </w:r>
      <w:r w:rsidRPr="00230199">
        <w:instrText>Bongard, Oskar</w:instrText>
      </w:r>
      <w:r>
        <w:instrText xml:space="preserve">" </w:instrText>
      </w:r>
      <w:r w:rsidR="00363C1C">
        <w:fldChar w:fldCharType="end"/>
      </w:r>
      <w:r>
        <w:t>, der Südwestafrika im Jahre 1908 auf einer Studienreise besuchte: „‚[…] Die Ü</w:t>
      </w:r>
      <w:r>
        <w:t>b</w:t>
      </w:r>
      <w:r>
        <w:t>riggebliebenen [Herero</w:t>
      </w:r>
      <w:r w:rsidR="00363C1C">
        <w:fldChar w:fldCharType="begin"/>
      </w:r>
      <w:r>
        <w:instrText xml:space="preserve"> XE "</w:instrText>
      </w:r>
      <w:r w:rsidRPr="00D91537">
        <w:instrText>Herero</w:instrText>
      </w:r>
      <w:r>
        <w:instrText xml:space="preserve">" </w:instrText>
      </w:r>
      <w:r w:rsidR="00363C1C">
        <w:fldChar w:fldCharType="end"/>
      </w:r>
      <w:r>
        <w:t>] sind zu einem sehr hohen Prozentsatze durch die Anstrengu</w:t>
      </w:r>
      <w:r>
        <w:t>n</w:t>
      </w:r>
      <w:r>
        <w:t>gen des Krieges, die fürchterlichen Entbehrungen im Sandfelde, wo Tausende verhunge</w:t>
      </w:r>
      <w:r>
        <w:t>r</w:t>
      </w:r>
      <w:r>
        <w:t>ten und verdursteten, und durch Geschlechtskrankheiten</w:t>
      </w:r>
      <w:r w:rsidR="00363C1C">
        <w:fldChar w:fldCharType="begin"/>
      </w:r>
      <w:r>
        <w:instrText xml:space="preserve"> XE "</w:instrText>
      </w:r>
      <w:r w:rsidRPr="005D4C40">
        <w:instrText>Geschlechtskrankheiten</w:instrText>
      </w:r>
      <w:r>
        <w:instrText xml:space="preserve">" </w:instrText>
      </w:r>
      <w:r w:rsidR="00363C1C">
        <w:fldChar w:fldCharType="end"/>
      </w:r>
      <w:r>
        <w:t>, die sich in den Gefangenenl</w:t>
      </w:r>
      <w:r>
        <w:t>a</w:t>
      </w:r>
      <w:r>
        <w:t>gern mit erschreckender Schnelligkeit verbreiteten, siech. Der Viehbestand war ebenfalls durch den Krieg vernichtet, und das nur an Milchkost gewöhnte Hererovolk wurde info</w:t>
      </w:r>
      <w:r>
        <w:t>l</w:t>
      </w:r>
      <w:r>
        <w:t>ge des Wechsels in der Ernährung in der Gefangenschaft noch von Skorbut ergriffen</w:t>
      </w:r>
      <w:proofErr w:type="gramStart"/>
      <w:r>
        <w:t>.‘</w:t>
      </w:r>
      <w:proofErr w:type="gramEnd"/>
      <w:r>
        <w:t>“ (Stoecker 1991: 122.)</w:t>
      </w:r>
    </w:p>
  </w:footnote>
  <w:footnote w:id="288">
    <w:p w:rsidR="005A5F2B" w:rsidRDefault="005A5F2B" w:rsidP="00CF6655">
      <w:pPr>
        <w:pStyle w:val="Funotentext"/>
      </w:pPr>
      <w:r>
        <w:rPr>
          <w:rStyle w:val="Funotenzeichen"/>
        </w:rPr>
        <w:footnoteRef/>
      </w:r>
      <w:r>
        <w:tab/>
        <w:t>An diesem Sonntag sind es 4 Gottesdienste, von denen Spiecker drei hält (596ff).</w:t>
      </w:r>
    </w:p>
  </w:footnote>
  <w:footnote w:id="289">
    <w:p w:rsidR="005A5F2B" w:rsidRDefault="005A5F2B" w:rsidP="00CF6655">
      <w:pPr>
        <w:pStyle w:val="Funotentext"/>
      </w:pPr>
      <w:r>
        <w:rPr>
          <w:rStyle w:val="Funotenzeichen"/>
        </w:rPr>
        <w:footnoteRef/>
      </w:r>
      <w:r>
        <w:t xml:space="preserve"> </w:t>
      </w:r>
      <w:r>
        <w:tab/>
        <w:t>Das Konzentrationslager</w:t>
      </w:r>
      <w:r w:rsidR="00363C1C">
        <w:fldChar w:fldCharType="begin"/>
      </w:r>
      <w:r>
        <w:instrText xml:space="preserve"> XE "</w:instrText>
      </w:r>
      <w:r w:rsidRPr="00B24F31">
        <w:instrText>Konzentrationslager</w:instrText>
      </w:r>
      <w:r>
        <w:instrText xml:space="preserve">" </w:instrText>
      </w:r>
      <w:r w:rsidR="00363C1C">
        <w:fldChar w:fldCharType="end"/>
      </w:r>
      <w:r>
        <w:t xml:space="preserve"> auf der Haifischinsel</w:t>
      </w:r>
      <w:r w:rsidR="00363C1C">
        <w:fldChar w:fldCharType="begin"/>
      </w:r>
      <w:r>
        <w:instrText xml:space="preserve"> XE "</w:instrText>
      </w:r>
      <w:r w:rsidRPr="00C86B6B">
        <w:instrText>Haifischinsel</w:instrText>
      </w:r>
      <w:r>
        <w:instrText xml:space="preserve">" </w:instrText>
      </w:r>
      <w:r w:rsidR="00363C1C">
        <w:fldChar w:fldCharType="end"/>
      </w:r>
      <w:r>
        <w:t xml:space="preserve"> war eines der berüchtigtsten. Dort waren die Gefangenen völlig offen dem Wind ausgeliefert: „Auf der vegetationslosen, schutzlos den rauen Atlantikwinden ausgesetzten Felseninsel standen damals abgesehen von einem Leuchtturm nur einige aus Ziegelsteinen errichtete Häuser, die als Quarantänestation und als Feldlazarett dienten“ (Erichsen 2003: 80). Die Zwangsarbeit</w:t>
      </w:r>
      <w:r w:rsidR="00363C1C">
        <w:fldChar w:fldCharType="begin"/>
      </w:r>
      <w:r>
        <w:instrText xml:space="preserve"> XE "</w:instrText>
      </w:r>
      <w:r w:rsidRPr="008D7EB1">
        <w:instrText>Zwangsarbeit</w:instrText>
      </w:r>
      <w:r>
        <w:instrText xml:space="preserve">" </w:instrText>
      </w:r>
      <w:r w:rsidR="00363C1C">
        <w:fldChar w:fldCharType="end"/>
      </w:r>
      <w:r>
        <w:t>, zu der die Herero</w:t>
      </w:r>
      <w:r w:rsidR="00363C1C">
        <w:fldChar w:fldCharType="begin"/>
      </w:r>
      <w:r>
        <w:instrText xml:space="preserve"> XE "</w:instrText>
      </w:r>
      <w:r w:rsidRPr="00D91537">
        <w:instrText>Herero</w:instrText>
      </w:r>
      <w:r>
        <w:instrText xml:space="preserve">" </w:instrText>
      </w:r>
      <w:r w:rsidR="00363C1C">
        <w:fldChar w:fldCharType="end"/>
      </w:r>
      <w:r>
        <w:t xml:space="preserve"> (Mä</w:t>
      </w:r>
      <w:r>
        <w:t>n</w:t>
      </w:r>
      <w:r>
        <w:t>ner, Frauen und sogar kleine Kinder) herangezogen wurde, war härteste körperliche A</w:t>
      </w:r>
      <w:r>
        <w:t>r</w:t>
      </w:r>
      <w:r>
        <w:t>beit und trug zur Sterblichkeit bei (ebd.: 80f).</w:t>
      </w:r>
    </w:p>
  </w:footnote>
  <w:footnote w:id="290">
    <w:p w:rsidR="005A5F2B" w:rsidRDefault="005A5F2B" w:rsidP="00CF6655">
      <w:pPr>
        <w:pStyle w:val="Funotentext"/>
      </w:pPr>
      <w:r>
        <w:rPr>
          <w:rStyle w:val="Funotenzeichen"/>
        </w:rPr>
        <w:footnoteRef/>
      </w:r>
      <w:r>
        <w:t xml:space="preserve"> </w:t>
      </w:r>
      <w:r>
        <w:tab/>
        <w:t>Spiecker 1907: 80.</w:t>
      </w:r>
    </w:p>
  </w:footnote>
  <w:footnote w:id="291">
    <w:p w:rsidR="005A5F2B" w:rsidRDefault="005A5F2B" w:rsidP="00CF6655">
      <w:pPr>
        <w:pStyle w:val="Funotentext"/>
      </w:pPr>
      <w:r>
        <w:rPr>
          <w:rStyle w:val="Funotenzeichen"/>
        </w:rPr>
        <w:footnoteRef/>
      </w:r>
      <w:r>
        <w:t xml:space="preserve"> </w:t>
      </w:r>
      <w:r>
        <w:tab/>
        <w:t>ebd.: 81.</w:t>
      </w:r>
    </w:p>
  </w:footnote>
  <w:footnote w:id="292">
    <w:p w:rsidR="005A5F2B" w:rsidRDefault="005A5F2B" w:rsidP="00CF6655">
      <w:pPr>
        <w:pStyle w:val="Funotentext"/>
      </w:pPr>
      <w:r>
        <w:rPr>
          <w:rStyle w:val="Funotenzeichen"/>
        </w:rPr>
        <w:footnoteRef/>
      </w:r>
      <w:r>
        <w:t xml:space="preserve"> </w:t>
      </w:r>
      <w:r>
        <w:tab/>
        <w:t>Joachim Zeller überschreibt einen Artikel über die Zustände im Konzentrationslager</w:t>
      </w:r>
      <w:r w:rsidR="00363C1C">
        <w:fldChar w:fldCharType="begin"/>
      </w:r>
      <w:r>
        <w:instrText xml:space="preserve"> XE "</w:instrText>
      </w:r>
      <w:r w:rsidRPr="00B24F31">
        <w:instrText>Konzentrationslager</w:instrText>
      </w:r>
      <w:r>
        <w:instrText xml:space="preserve">" </w:instrText>
      </w:r>
      <w:r w:rsidR="00363C1C">
        <w:fldChar w:fldCharType="end"/>
      </w:r>
      <w:r>
        <w:t xml:space="preserve"> Swakopmund</w:t>
      </w:r>
      <w:r w:rsidR="00363C1C">
        <w:fldChar w:fldCharType="begin"/>
      </w:r>
      <w:r>
        <w:instrText xml:space="preserve"> XE "</w:instrText>
      </w:r>
      <w:r w:rsidRPr="00655FF6">
        <w:instrText>Swakopmund</w:instrText>
      </w:r>
      <w:r>
        <w:instrText xml:space="preserve">" </w:instrText>
      </w:r>
      <w:r w:rsidR="00363C1C">
        <w:fldChar w:fldCharType="end"/>
      </w:r>
      <w:r>
        <w:t xml:space="preserve"> „Ombepera i koza – Die Kälte tötet mich“. „[Dies] riefen die Herero</w:t>
      </w:r>
      <w:r w:rsidR="00363C1C">
        <w:fldChar w:fldCharType="begin"/>
      </w:r>
      <w:r>
        <w:instrText xml:space="preserve"> XE "</w:instrText>
      </w:r>
      <w:r w:rsidRPr="00D91537">
        <w:instrText>Herero</w:instrText>
      </w:r>
      <w:r>
        <w:instrText xml:space="preserve">" </w:instrText>
      </w:r>
      <w:r w:rsidR="00363C1C">
        <w:fldChar w:fldCharType="end"/>
      </w:r>
      <w:r>
        <w:t>-Gefangenen in ihrer Verzweiflung Missionar Vedder</w:t>
      </w:r>
      <w:r w:rsidR="00363C1C">
        <w:fldChar w:fldCharType="begin"/>
      </w:r>
      <w:r>
        <w:instrText xml:space="preserve"> XE "</w:instrText>
      </w:r>
      <w:r w:rsidRPr="001901EA">
        <w:instrText>Vedder, Br.</w:instrText>
      </w:r>
      <w:r>
        <w:instrText xml:space="preserve">" </w:instrText>
      </w:r>
      <w:r w:rsidR="00363C1C">
        <w:fldChar w:fldCharType="end"/>
      </w:r>
      <w:r>
        <w:t xml:space="preserve"> bei seinen täglichen Visitationen in den Lagern entgegen, denn die Kleidung der Kriegsgefangenen war völlig unzureichend. In der Anfangszeit verfügten viele von ihnen als Kleidungsstücke lediglich über aufg</w:t>
      </w:r>
      <w:r>
        <w:t>e</w:t>
      </w:r>
      <w:r>
        <w:t>trennte Säcke aus rohem, nicht wärmendem Leinenstoff. […] Missionar Vedder</w:t>
      </w:r>
      <w:r w:rsidR="00363C1C">
        <w:fldChar w:fldCharType="begin"/>
      </w:r>
      <w:r>
        <w:instrText xml:space="preserve"> XE "</w:instrText>
      </w:r>
      <w:r w:rsidRPr="001901EA">
        <w:instrText>Vedder, Br.</w:instrText>
      </w:r>
      <w:r>
        <w:instrText xml:space="preserve">" </w:instrText>
      </w:r>
      <w:r w:rsidR="00363C1C">
        <w:fldChar w:fldCharType="end"/>
      </w:r>
      <w:r>
        <w:t xml:space="preserve"> sah sich deshalb veranlasst, dringliche Anfragen für ausreichende Bekleidung an das Gouvern</w:t>
      </w:r>
      <w:r>
        <w:t>e</w:t>
      </w:r>
      <w:r>
        <w:t>ment</w:t>
      </w:r>
      <w:r w:rsidR="00363C1C">
        <w:fldChar w:fldCharType="begin"/>
      </w:r>
      <w:r>
        <w:instrText xml:space="preserve"> XE "</w:instrText>
      </w:r>
      <w:r w:rsidRPr="00592176">
        <w:instrText>Gouvernement</w:instrText>
      </w:r>
      <w:r>
        <w:instrText xml:space="preserve">" </w:instrText>
      </w:r>
      <w:r w:rsidR="00363C1C">
        <w:fldChar w:fldCharType="end"/>
      </w:r>
      <w:r>
        <w:t xml:space="preserve"> zu richten. In Windhuk</w:t>
      </w:r>
      <w:r w:rsidR="00363C1C">
        <w:fldChar w:fldCharType="begin"/>
      </w:r>
      <w:r>
        <w:instrText xml:space="preserve"> XE "Windhu</w:instrText>
      </w:r>
      <w:r w:rsidRPr="00EB5F1C">
        <w:instrText>k</w:instrText>
      </w:r>
      <w:r>
        <w:instrText xml:space="preserve">" </w:instrText>
      </w:r>
      <w:r w:rsidR="00363C1C">
        <w:fldChar w:fldCharType="end"/>
      </w:r>
      <w:r>
        <w:t xml:space="preserve"> begegnete man aber dem Leiden der Gefangenen mit Ign</w:t>
      </w:r>
      <w:r>
        <w:t>o</w:t>
      </w:r>
      <w:r>
        <w:t>ranz, seine Briefe blieben unbeantwortet. Die daraufhin bei den Missionsgemeinden im Deutschen Reich eingereichten Gesuche um Kleiderspenden stießen dagegen auf offene Ohren“ (Zeller 2003: 66, Fußnote ausgelassen). – Zeller merkt in einer Fußnote an: „Vielleicht hat Vedder</w:t>
      </w:r>
      <w:r w:rsidR="00363C1C">
        <w:fldChar w:fldCharType="begin"/>
      </w:r>
      <w:r>
        <w:instrText xml:space="preserve"> XE "</w:instrText>
      </w:r>
      <w:r w:rsidRPr="001901EA">
        <w:instrText>Vedder, Br.</w:instrText>
      </w:r>
      <w:r>
        <w:instrText xml:space="preserve">" </w:instrText>
      </w:r>
      <w:r w:rsidR="00363C1C">
        <w:fldChar w:fldCharType="end"/>
      </w:r>
      <w:r>
        <w:t xml:space="preserve"> die Herero akustisch falsch verstanden, denn wörtlich heißt ‚Ombepera i koza‘: Kälte tötet. Der Satz ‚Die Kälte tötet mich‘ lautet in Otjiherero</w:t>
      </w:r>
      <w:r w:rsidR="00363C1C">
        <w:fldChar w:fldCharType="begin"/>
      </w:r>
      <w:r>
        <w:instrText xml:space="preserve"> XE "</w:instrText>
      </w:r>
      <w:r w:rsidRPr="00572422">
        <w:instrText>Otjiherero (Sprache)</w:instrText>
      </w:r>
      <w:r>
        <w:instrText xml:space="preserve">" </w:instrText>
      </w:r>
      <w:r w:rsidR="00363C1C">
        <w:fldChar w:fldCharType="end"/>
      </w:r>
      <w:r>
        <w:t>: ‚Ombepera indjikoza‘“ (ebd.: 66, Fußnote 13; abgedruckt auf: 245). Warum Vedder</w:t>
      </w:r>
      <w:r w:rsidR="00363C1C">
        <w:fldChar w:fldCharType="begin"/>
      </w:r>
      <w:r>
        <w:instrText xml:space="preserve"> XE "</w:instrText>
      </w:r>
      <w:r w:rsidRPr="001901EA">
        <w:instrText>Vedder, Br.</w:instrText>
      </w:r>
      <w:r>
        <w:instrText xml:space="preserve">" </w:instrText>
      </w:r>
      <w:r w:rsidR="00363C1C">
        <w:fldChar w:fldCharType="end"/>
      </w:r>
      <w:r>
        <w:t xml:space="preserve">, der sprachbegabt ist und (allerdings vielleicht erst später) beide Sprachen beherrscht (vgl. Abschnitt </w:t>
      </w:r>
      <w:r w:rsidR="00363C1C">
        <w:fldChar w:fldCharType="begin"/>
      </w:r>
      <w:r>
        <w:instrText xml:space="preserve"> REF _Ref325357835 \r \h </w:instrText>
      </w:r>
      <w:r w:rsidR="00363C1C">
        <w:fldChar w:fldCharType="separate"/>
      </w:r>
      <w:r w:rsidR="00216538">
        <w:t>3.1.3</w:t>
      </w:r>
      <w:r w:rsidR="00363C1C">
        <w:fldChar w:fldCharType="end"/>
      </w:r>
      <w:r>
        <w:t xml:space="preserve">, Fußnote </w:t>
      </w:r>
      <w:r w:rsidR="00363C1C">
        <w:fldChar w:fldCharType="begin"/>
      </w:r>
      <w:r>
        <w:instrText xml:space="preserve"> NOTEREF _Ref325357934 \h </w:instrText>
      </w:r>
      <w:r w:rsidR="00363C1C">
        <w:fldChar w:fldCharType="separate"/>
      </w:r>
      <w:r w:rsidR="00216538">
        <w:t>238</w:t>
      </w:r>
      <w:r w:rsidR="00363C1C">
        <w:fldChar w:fldCharType="end"/>
      </w:r>
      <w:r>
        <w:t>), den Ruf so falsch wiedergeben sollte, ist unklar. Die We</w:t>
      </w:r>
      <w:r>
        <w:t>g</w:t>
      </w:r>
      <w:r>
        <w:t>lassung des Personalpronomens könnte als eine Mahnung verstanden werden, die Vedder</w:t>
      </w:r>
      <w:r w:rsidR="00363C1C">
        <w:fldChar w:fldCharType="begin"/>
      </w:r>
      <w:r>
        <w:instrText xml:space="preserve"> XE "</w:instrText>
      </w:r>
      <w:r w:rsidRPr="001901EA">
        <w:instrText>Vedder, Br.</w:instrText>
      </w:r>
      <w:r>
        <w:instrText xml:space="preserve">" </w:instrText>
      </w:r>
      <w:r w:rsidR="00363C1C">
        <w:fldChar w:fldCharType="end"/>
      </w:r>
      <w:r>
        <w:t xml:space="preserve"> und die Verantwortlichen des Lagers daran erinnern soll, dass es sich bei Kälte um ein T</w:t>
      </w:r>
      <w:r>
        <w:t>ö</w:t>
      </w:r>
      <w:r>
        <w:t>tungsinstrument handelt und sie sich damit eines Verbrechens schuldig machen. Eine a</w:t>
      </w:r>
      <w:r>
        <w:t>n</w:t>
      </w:r>
      <w:r>
        <w:t>dere Interpretation könnte sein, dass die anonym Zusammengepferchten („in einem ei</w:t>
      </w:r>
      <w:r>
        <w:t>n</w:t>
      </w:r>
      <w:r>
        <w:t>zigen Raum 30 – 50 Personen ohne Unterschied des Alters und Geschlechts“; Zeller 2003: 64), langsam erfrierenden Menschen das Gefühl für ihre individuelle Existenz schon so weit verloren haben, dass sie über ihr Sterben nur noch wie über ein objektives Naturgesetz sprechen können.</w:t>
      </w:r>
    </w:p>
  </w:footnote>
  <w:footnote w:id="293">
    <w:p w:rsidR="005A5F2B" w:rsidRDefault="005A5F2B" w:rsidP="00CF6655">
      <w:pPr>
        <w:pStyle w:val="Funotentext"/>
      </w:pPr>
      <w:r>
        <w:rPr>
          <w:rStyle w:val="Funotenzeichen"/>
        </w:rPr>
        <w:footnoteRef/>
      </w:r>
      <w:r>
        <w:tab/>
        <w:t>Als „Hottentotten</w:t>
      </w:r>
      <w:r w:rsidR="00363C1C">
        <w:fldChar w:fldCharType="begin"/>
      </w:r>
      <w:r>
        <w:instrText xml:space="preserve"> XE "</w:instrText>
      </w:r>
      <w:r w:rsidRPr="002B55F1">
        <w:instrText>Hottentotten</w:instrText>
      </w:r>
      <w:r>
        <w:instrText xml:space="preserve">" </w:instrText>
      </w:r>
      <w:r w:rsidR="00363C1C">
        <w:fldChar w:fldCharType="end"/>
      </w:r>
      <w:r>
        <w:t>“ bezeichneten die Deutschen die Nama</w:t>
      </w:r>
      <w:r w:rsidR="00363C1C">
        <w:fldChar w:fldCharType="begin"/>
      </w:r>
      <w:r>
        <w:instrText xml:space="preserve"> XE "</w:instrText>
      </w:r>
      <w:r w:rsidRPr="001F563C">
        <w:instrText>Nama</w:instrText>
      </w:r>
      <w:r>
        <w:instrText xml:space="preserve">" </w:instrText>
      </w:r>
      <w:r w:rsidR="00363C1C">
        <w:fldChar w:fldCharType="end"/>
      </w:r>
      <w:r>
        <w:t>; bei Hassert werden beide B</w:t>
      </w:r>
      <w:r>
        <w:t>e</w:t>
      </w:r>
      <w:r>
        <w:t>griffe synonym verwendet (Hassert 1899: 173f). Auffällig dabei ist, dass er den in Deutschland gebräuchlichen Begriff häufig in abwertenden Kontexten benutzt, während ein Satz später in objektiv-beschreibender Absicht wieder das Wort „Nama“ benutzt wird. Die Bezeichnung Hottentotten entstand, weil den frühen Reisenden ebenso wie auch Spiecker (515) die Schnalzlaute</w:t>
      </w:r>
      <w:r w:rsidR="00363C1C">
        <w:fldChar w:fldCharType="begin"/>
      </w:r>
      <w:r>
        <w:instrText xml:space="preserve"> XE "</w:instrText>
      </w:r>
      <w:r w:rsidRPr="00C67F9C">
        <w:instrText>Schnalzlaute</w:instrText>
      </w:r>
      <w:r>
        <w:instrText xml:space="preserve">" </w:instrText>
      </w:r>
      <w:r w:rsidR="00363C1C">
        <w:fldChar w:fldCharType="end"/>
      </w:r>
      <w:r>
        <w:t xml:space="preserve"> der Namasprache</w:t>
      </w:r>
      <w:r w:rsidR="00363C1C">
        <w:fldChar w:fldCharType="begin"/>
      </w:r>
      <w:r>
        <w:instrText xml:space="preserve"> XE "</w:instrText>
      </w:r>
      <w:r w:rsidRPr="00234622">
        <w:instrText>Nama (Sprache)</w:instrText>
      </w:r>
      <w:r>
        <w:instrText xml:space="preserve">" </w:instrText>
      </w:r>
      <w:r w:rsidR="00363C1C">
        <w:fldChar w:fldCharType="end"/>
      </w:r>
      <w:r>
        <w:t xml:space="preserve"> besonders auffielen; es gibt diese Laute aber auch in anderen Khoisan</w:t>
      </w:r>
      <w:r w:rsidR="00363C1C">
        <w:fldChar w:fldCharType="begin"/>
      </w:r>
      <w:r>
        <w:instrText xml:space="preserve"> XE "</w:instrText>
      </w:r>
      <w:r w:rsidRPr="000E104A">
        <w:instrText>Khoisansprachen</w:instrText>
      </w:r>
      <w:r>
        <w:instrText xml:space="preserve">" </w:instrText>
      </w:r>
      <w:r w:rsidR="00363C1C">
        <w:fldChar w:fldCharType="end"/>
      </w:r>
      <w:r>
        <w:t>- und Bantusprachen</w:t>
      </w:r>
      <w:r w:rsidR="00363C1C">
        <w:fldChar w:fldCharType="begin"/>
      </w:r>
      <w:r>
        <w:instrText xml:space="preserve"> XE "</w:instrText>
      </w:r>
      <w:r w:rsidRPr="00F76CAC">
        <w:instrText>Bantusprachen</w:instrText>
      </w:r>
      <w:r>
        <w:instrText xml:space="preserve">" </w:instrText>
      </w:r>
      <w:r w:rsidR="00363C1C">
        <w:fldChar w:fldCharType="end"/>
      </w:r>
      <w:r>
        <w:t>.</w:t>
      </w:r>
    </w:p>
  </w:footnote>
  <w:footnote w:id="294">
    <w:p w:rsidR="005A5F2B" w:rsidRDefault="005A5F2B" w:rsidP="00CF6655">
      <w:pPr>
        <w:pStyle w:val="Funotentext"/>
      </w:pPr>
      <w:r>
        <w:rPr>
          <w:rStyle w:val="Funotenzeichen"/>
        </w:rPr>
        <w:footnoteRef/>
      </w:r>
      <w:r>
        <w:tab/>
        <w:t>Dass solche Haltungen, die den Mord an unschuldigen Zivilisten in großer Anzahl für e</w:t>
      </w:r>
      <w:r>
        <w:t>i</w:t>
      </w:r>
      <w:r>
        <w:t>ne Art Kavaliersdelikt zu halten scheinen – nämlich etwas, das vom sittlichen (also mor</w:t>
      </w:r>
      <w:r>
        <w:t>a</w:t>
      </w:r>
      <w:r>
        <w:t>lischen) Standpunkt aus zwar nicht korrekt ist, aber trotzdem eine angemessene Vorg</w:t>
      </w:r>
      <w:r>
        <w:t>e</w:t>
      </w:r>
      <w:r>
        <w:t>hensweise sein kann –, auch nach dem Krieg noch „salonfähig“ waren, zeigt exemplarisch das Beispiel der Wehrmachtsverbrechen in Griechenland. Die griechische Regierung schickte nach dem 2. Weltkrieg eine Liste mit detailliert aufgelisteten Kriegsverbrechen an die deutsche Justiz, bei denen ca. 120.000 Zivilisten ermordet worden waren. Mehr als 1000 Dörfer waren bei sogenannten Vergeltungsaktionen, bei denen für jeden Partisane</w:t>
      </w:r>
      <w:r>
        <w:t>n</w:t>
      </w:r>
      <w:r>
        <w:t xml:space="preserve">angriff auf die Besatzer eine große Anzahl von Zivilisten getötet </w:t>
      </w:r>
      <w:proofErr w:type="gramStart"/>
      <w:r>
        <w:t>wurden</w:t>
      </w:r>
      <w:proofErr w:type="gramEnd"/>
      <w:r>
        <w:t>, vernichtet wo</w:t>
      </w:r>
      <w:r>
        <w:t>r</w:t>
      </w:r>
      <w:r>
        <w:t>den. Kein einziger der Täter aus der Wehrmacht wurde von deutschen Gerichten schuldig gesprochen, in der Regel mit der Begründung, es habe sich um normale Militäraktionen gehandelt. Ein zuvor von den Amerikanern zu 15 Jahren Haft verurteilter Offizier wurde nach drei Jahren amnestiert. (Quelle: Dokumentation des Senders Phoenix, 21.09.03)</w:t>
      </w:r>
    </w:p>
  </w:footnote>
  <w:footnote w:id="295">
    <w:p w:rsidR="005A5F2B" w:rsidRDefault="005A5F2B" w:rsidP="00CF6655">
      <w:pPr>
        <w:pStyle w:val="Funotentext"/>
      </w:pPr>
      <w:r>
        <w:rPr>
          <w:rStyle w:val="Funotenzeichen"/>
        </w:rPr>
        <w:footnoteRef/>
      </w:r>
      <w:r>
        <w:tab/>
        <w:t>Leutnant von Frankenberg</w:t>
      </w:r>
      <w:r w:rsidR="00363C1C">
        <w:fldChar w:fldCharType="begin"/>
      </w:r>
      <w:r>
        <w:instrText xml:space="preserve"> XE "</w:instrText>
      </w:r>
      <w:r w:rsidRPr="007E7ECF">
        <w:instrText>Frankenberg, Leutnant von</w:instrText>
      </w:r>
      <w:r>
        <w:instrText xml:space="preserve">" </w:instrText>
      </w:r>
      <w:r w:rsidR="00363C1C">
        <w:fldChar w:fldCharType="end"/>
      </w:r>
      <w:r>
        <w:t xml:space="preserve"> in Okaukuejo</w:t>
      </w:r>
      <w:r w:rsidR="00363C1C">
        <w:fldChar w:fldCharType="begin"/>
      </w:r>
      <w:r>
        <w:instrText xml:space="preserve"> XE "</w:instrText>
      </w:r>
      <w:r w:rsidRPr="00351C34">
        <w:instrText>Okaukuejo</w:instrText>
      </w:r>
      <w:r>
        <w:instrText xml:space="preserve">" </w:instrText>
      </w:r>
      <w:r w:rsidR="00363C1C">
        <w:fldChar w:fldCharType="end"/>
      </w:r>
      <w:r>
        <w:t xml:space="preserve"> (1044)</w:t>
      </w:r>
    </w:p>
  </w:footnote>
  <w:footnote w:id="296">
    <w:p w:rsidR="005A5F2B" w:rsidRDefault="005A5F2B" w:rsidP="00CF6655">
      <w:pPr>
        <w:pStyle w:val="Funotentext"/>
      </w:pPr>
      <w:r>
        <w:rPr>
          <w:rStyle w:val="Funotenzeichen"/>
        </w:rPr>
        <w:footnoteRef/>
      </w:r>
      <w:r>
        <w:tab/>
        <w:t>Spiecker-Salazar 1994: 428 und 433. Tagebuch: 886f.</w:t>
      </w:r>
    </w:p>
  </w:footnote>
  <w:footnote w:id="297">
    <w:p w:rsidR="005A5F2B" w:rsidRDefault="005A5F2B">
      <w:pPr>
        <w:pStyle w:val="Funotentext"/>
      </w:pPr>
      <w:r>
        <w:rPr>
          <w:rStyle w:val="Funotenzeichen"/>
        </w:rPr>
        <w:footnoteRef/>
      </w:r>
      <w:r>
        <w:t xml:space="preserve"> </w:t>
      </w:r>
      <w:r>
        <w:tab/>
        <w:t>Gemeint sind die Bondelswart, die sich bereits 1903 gegen die deutschen Schutztruppen erhoben hatten (</w:t>
      </w:r>
      <w:r w:rsidRPr="00753A2E">
        <w:t>http://de.wikipedia.org/wiki/Bondelswart</w:t>
      </w:r>
      <w:r>
        <w:t>; Einsicht am 13.06.2012).</w:t>
      </w:r>
    </w:p>
  </w:footnote>
  <w:footnote w:id="298">
    <w:p w:rsidR="005A5F2B" w:rsidRDefault="005A5F2B" w:rsidP="00CF6655">
      <w:pPr>
        <w:pStyle w:val="Funotentext"/>
      </w:pPr>
      <w:r>
        <w:rPr>
          <w:rStyle w:val="Funotenzeichen"/>
        </w:rPr>
        <w:footnoteRef/>
      </w:r>
      <w:r>
        <w:tab/>
        <w:t>Gründer spricht von der „grundkonservativen Gesinnung“ der Missionare, für die schon die 1848er-Revolution ein „‚revolutionärer Schwindel‘“ gewesen sei (Gründer 1982: 116; vgl. auch Engel 1972: 101ff). Dass diese Gesinnung weit über die unmittelbar religiösen Fragen hinaus auch in solchen Bereichen feststellbar ist, die mit Religion nichts zu tun haben, zeigt beispielhaft das „Gesetz von Rehoboth</w:t>
      </w:r>
      <w:r w:rsidR="00363C1C">
        <w:fldChar w:fldCharType="begin"/>
      </w:r>
      <w:r>
        <w:instrText xml:space="preserve"> XE "</w:instrText>
      </w:r>
      <w:r w:rsidRPr="00E8657B">
        <w:instrText>Rehoboth</w:instrText>
      </w:r>
      <w:r>
        <w:instrText xml:space="preserve">" </w:instrText>
      </w:r>
      <w:r w:rsidR="00363C1C">
        <w:fldChar w:fldCharType="end"/>
      </w:r>
      <w:r>
        <w:t>“, das vom Ältestenrat unter Leitung von Missionar Kleinschmidt</w:t>
      </w:r>
      <w:r w:rsidR="00363C1C">
        <w:fldChar w:fldCharType="begin"/>
      </w:r>
      <w:r>
        <w:instrText xml:space="preserve"> XE "</w:instrText>
      </w:r>
      <w:r w:rsidRPr="00803A59">
        <w:instrText>Kleinschmidt, Br.</w:instrText>
      </w:r>
      <w:r>
        <w:instrText xml:space="preserve">" </w:instrText>
      </w:r>
      <w:r w:rsidR="00363C1C">
        <w:fldChar w:fldCharType="end"/>
      </w:r>
      <w:r>
        <w:t xml:space="preserve"> 1849 erlassen wurde. Darin wird de facto ein Drei-Klassen-Wahlrecht eingeführt, das zwischen „Bürger“, „Beiwohner“ und „Knecht“ unterscheidet. Bürger kann dabei nur der sein, der bestimmte Mengen an Vieh und ein Gewehr besitzt; Knechte gelten zwar als frei, dürfen ihren Herrn aber nur mit dessen Zustimmung verla</w:t>
      </w:r>
      <w:r>
        <w:t>s</w:t>
      </w:r>
      <w:r>
        <w:t>sen. (Trüper 2005: 447) Die Einführung solcher reaktionären Gesetze, die faktisch Z</w:t>
      </w:r>
      <w:r>
        <w:t>u</w:t>
      </w:r>
      <w:r>
        <w:t>stände des europäischen Mittelalters in Afrika etablieren, lässt erahnen, warum die neu gegründeten Nationalstaaten nach der Dekolonisierung häufig autoritäre Strukturen be</w:t>
      </w:r>
      <w:r>
        <w:t>i</w:t>
      </w:r>
      <w:r>
        <w:t>behielten und in punkto Demokratie, Rechtsstaatlichkeit und Liberalität weit hinter den europäischen Kolonialstaaten zurückblieben, was häufig und nicht ohne Häme gegen die afrikanischen Völker angeführt wurde. ‚Wären sie nur etwas länger unter europäischer Herrschaft geblieben‘, so wird impliziert, ‚dann hätte die Modernisierung besser funkti</w:t>
      </w:r>
      <w:r>
        <w:t>o</w:t>
      </w:r>
      <w:r>
        <w:t>niert</w:t>
      </w:r>
      <w:proofErr w:type="gramStart"/>
      <w:r>
        <w:t>.‘</w:t>
      </w:r>
      <w:proofErr w:type="gramEnd"/>
      <w:r>
        <w:t xml:space="preserve"> In Wirklichkeit bedeutete die Kolonialzeit oft in vielen Bereichen einen massiven sozialen Rückschritt für die betroffenen Gesellschaften (vgl. auch Abschnitt </w:t>
      </w:r>
      <w:r w:rsidR="00363C1C">
        <w:fldChar w:fldCharType="begin"/>
      </w:r>
      <w:r>
        <w:instrText xml:space="preserve"> REF _Ref325358210 \r \h </w:instrText>
      </w:r>
      <w:r w:rsidR="00363C1C">
        <w:fldChar w:fldCharType="separate"/>
      </w:r>
      <w:r w:rsidR="00216538">
        <w:t>2.5</w:t>
      </w:r>
      <w:r w:rsidR="00363C1C">
        <w:fldChar w:fldCharType="end"/>
      </w:r>
      <w:r>
        <w:t xml:space="preserve"> „Das importierte Patriarchat“).</w:t>
      </w:r>
    </w:p>
  </w:footnote>
  <w:footnote w:id="299">
    <w:p w:rsidR="005A5F2B" w:rsidRDefault="005A5F2B" w:rsidP="00CF6655">
      <w:pPr>
        <w:pStyle w:val="Funotentext"/>
      </w:pPr>
      <w:r>
        <w:rPr>
          <w:rStyle w:val="Funotenzeichen"/>
        </w:rPr>
        <w:footnoteRef/>
      </w:r>
      <w:r>
        <w:t xml:space="preserve"> </w:t>
      </w:r>
      <w:r>
        <w:tab/>
        <w:t>Um nicht in diese Falle zu geraten, wurde die Lektüre in dieser Arbeit durch die Bezu</w:t>
      </w:r>
      <w:r>
        <w:t>g</w:t>
      </w:r>
      <w:r>
        <w:t>nahme auf die Forschungsfelder „Reiseliteratur</w:t>
      </w:r>
      <w:r w:rsidR="00363C1C">
        <w:fldChar w:fldCharType="begin"/>
      </w:r>
      <w:r>
        <w:instrText xml:space="preserve"> XE "</w:instrText>
      </w:r>
      <w:r w:rsidRPr="000D076F">
        <w:instrText>Reiseliteratur</w:instrText>
      </w:r>
      <w:r>
        <w:instrText xml:space="preserve">" </w:instrText>
      </w:r>
      <w:r w:rsidR="00363C1C">
        <w:fldChar w:fldCharType="end"/>
      </w:r>
      <w:r>
        <w:t>“ und „Postkolonialismus</w:t>
      </w:r>
      <w:r w:rsidR="00363C1C">
        <w:fldChar w:fldCharType="begin"/>
      </w:r>
      <w:r>
        <w:instrText xml:space="preserve"> XE "</w:instrText>
      </w:r>
      <w:r w:rsidRPr="005A75D0">
        <w:instrText>Postkolonialismus</w:instrText>
      </w:r>
      <w:r>
        <w:instrText xml:space="preserve">" </w:instrText>
      </w:r>
      <w:r w:rsidR="00363C1C">
        <w:fldChar w:fldCharType="end"/>
      </w:r>
      <w:r>
        <w:t>“ auf eine en</w:t>
      </w:r>
      <w:r>
        <w:t>t</w:t>
      </w:r>
      <w:r>
        <w:t>sprechende theoretische Grundlage gestellt, die Historiker beim Lesen von Quellen zu häufig noch ignorieren.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363C1C" w:rsidP="00726270">
    <w:pPr>
      <w:pStyle w:val="Kopfzeile"/>
      <w:ind w:firstLine="0"/>
      <w:jc w:val="left"/>
      <w:rPr>
        <w:szCs w:val="18"/>
      </w:rPr>
    </w:pPr>
    <w:r w:rsidRPr="007A613D">
      <w:rPr>
        <w:szCs w:val="18"/>
      </w:rPr>
      <w:fldChar w:fldCharType="begin"/>
    </w:r>
    <w:r w:rsidR="005A5F2B" w:rsidRPr="007A613D">
      <w:rPr>
        <w:szCs w:val="18"/>
      </w:rPr>
      <w:instrText xml:space="preserve"> PAGE   \* MERGEFORMAT </w:instrText>
    </w:r>
    <w:r w:rsidRPr="007A613D">
      <w:rPr>
        <w:szCs w:val="18"/>
      </w:rPr>
      <w:fldChar w:fldCharType="separate"/>
    </w:r>
    <w:r w:rsidR="00764EBF">
      <w:rPr>
        <w:noProof/>
        <w:szCs w:val="18"/>
      </w:rPr>
      <w:t>10</w:t>
    </w:r>
    <w:r w:rsidRPr="007A613D">
      <w:rPr>
        <w:szCs w:val="18"/>
      </w:rPr>
      <w:fldChar w:fldCharType="end"/>
    </w:r>
    <w:r w:rsidR="005A5F2B" w:rsidRPr="007A613D">
      <w:rPr>
        <w:szCs w:val="18"/>
      </w:rPr>
      <w:tab/>
      <w:t>Inhalt</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5A5F2B" w:rsidP="00D0134D">
    <w:pPr>
      <w:pStyle w:val="Kopfzeile"/>
      <w:ind w:firstLine="0"/>
      <w:rPr>
        <w:szCs w:val="18"/>
      </w:rPr>
    </w:pPr>
    <w:r>
      <w:tab/>
      <w:t>Fazit</w:t>
    </w:r>
    <w:r w:rsidRPr="007A613D">
      <w:rPr>
        <w:szCs w:val="18"/>
      </w:rPr>
      <w:tab/>
    </w:r>
    <w:r w:rsidR="00363C1C" w:rsidRPr="007A613D">
      <w:rPr>
        <w:szCs w:val="18"/>
      </w:rPr>
      <w:fldChar w:fldCharType="begin"/>
    </w:r>
    <w:r w:rsidRPr="007A613D">
      <w:rPr>
        <w:szCs w:val="18"/>
      </w:rPr>
      <w:instrText xml:space="preserve"> PAGE   \* MERGEFORMAT </w:instrText>
    </w:r>
    <w:r w:rsidR="00363C1C" w:rsidRPr="007A613D">
      <w:rPr>
        <w:szCs w:val="18"/>
      </w:rPr>
      <w:fldChar w:fldCharType="separate"/>
    </w:r>
    <w:r w:rsidR="00764EBF">
      <w:rPr>
        <w:noProof/>
        <w:szCs w:val="18"/>
      </w:rPr>
      <w:t>189</w:t>
    </w:r>
    <w:r w:rsidR="00363C1C" w:rsidRPr="007A613D">
      <w:rPr>
        <w:szCs w:val="18"/>
      </w:rPr>
      <w:fldChar w:fldCharType="end"/>
    </w:r>
  </w:p>
  <w:p w:rsidR="005A5F2B" w:rsidRPr="00D0134D" w:rsidRDefault="005A5F2B" w:rsidP="00D0134D">
    <w:pPr>
      <w:pStyle w:val="Kopfzeile"/>
      <w:rPr>
        <w:szCs w:val="18"/>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363C1C" w:rsidP="00D0134D">
    <w:pPr>
      <w:pStyle w:val="Kopfzeile"/>
      <w:ind w:firstLine="0"/>
      <w:jc w:val="left"/>
      <w:rPr>
        <w:szCs w:val="18"/>
      </w:rPr>
    </w:pPr>
    <w:r w:rsidRPr="007A613D">
      <w:rPr>
        <w:szCs w:val="18"/>
      </w:rPr>
      <w:fldChar w:fldCharType="begin"/>
    </w:r>
    <w:r w:rsidR="005A5F2B" w:rsidRPr="007A613D">
      <w:rPr>
        <w:szCs w:val="18"/>
      </w:rPr>
      <w:instrText xml:space="preserve"> PAGE   \* MERGEFORMAT </w:instrText>
    </w:r>
    <w:r w:rsidRPr="007A613D">
      <w:rPr>
        <w:szCs w:val="18"/>
      </w:rPr>
      <w:fldChar w:fldCharType="separate"/>
    </w:r>
    <w:r w:rsidR="00375AD4">
      <w:rPr>
        <w:noProof/>
        <w:szCs w:val="18"/>
      </w:rPr>
      <w:t>194</w:t>
    </w:r>
    <w:r w:rsidRPr="007A613D">
      <w:rPr>
        <w:szCs w:val="18"/>
      </w:rPr>
      <w:fldChar w:fldCharType="end"/>
    </w:r>
    <w:r w:rsidR="005A5F2B" w:rsidRPr="007A613D">
      <w:rPr>
        <w:szCs w:val="18"/>
      </w:rPr>
      <w:tab/>
    </w:r>
    <w:r w:rsidR="005A5F2B">
      <w:t>Literatur</w:t>
    </w:r>
  </w:p>
  <w:p w:rsidR="005A5F2B" w:rsidRPr="00A50348" w:rsidRDefault="005A5F2B" w:rsidP="00A50348">
    <w:pPr>
      <w:pStyle w:val="Kopfzeil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5A5F2B" w:rsidP="00D0134D">
    <w:pPr>
      <w:pStyle w:val="Kopfzeile"/>
      <w:ind w:firstLine="0"/>
      <w:rPr>
        <w:szCs w:val="18"/>
      </w:rPr>
    </w:pPr>
    <w:r>
      <w:tab/>
      <w:t>Literatur</w:t>
    </w:r>
    <w:r w:rsidRPr="007A613D">
      <w:rPr>
        <w:szCs w:val="18"/>
      </w:rPr>
      <w:tab/>
    </w:r>
    <w:r w:rsidR="00363C1C" w:rsidRPr="007A613D">
      <w:rPr>
        <w:szCs w:val="18"/>
      </w:rPr>
      <w:fldChar w:fldCharType="begin"/>
    </w:r>
    <w:r w:rsidRPr="007A613D">
      <w:rPr>
        <w:szCs w:val="18"/>
      </w:rPr>
      <w:instrText xml:space="preserve"> PAGE   \* MERGEFORMAT </w:instrText>
    </w:r>
    <w:r w:rsidR="00363C1C" w:rsidRPr="007A613D">
      <w:rPr>
        <w:szCs w:val="18"/>
      </w:rPr>
      <w:fldChar w:fldCharType="separate"/>
    </w:r>
    <w:r w:rsidR="00764EBF">
      <w:rPr>
        <w:noProof/>
        <w:szCs w:val="18"/>
      </w:rPr>
      <w:t>193</w:t>
    </w:r>
    <w:r w:rsidR="00363C1C" w:rsidRPr="007A613D">
      <w:rPr>
        <w:szCs w:val="18"/>
      </w:rPr>
      <w:fldChar w:fldCharType="end"/>
    </w:r>
  </w:p>
  <w:p w:rsidR="005A5F2B" w:rsidRPr="00D0134D" w:rsidRDefault="005A5F2B" w:rsidP="00D0134D">
    <w:pPr>
      <w:pStyle w:val="Kopfzeile"/>
      <w:rPr>
        <w:szCs w:val="1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0C2B5D" w:rsidRDefault="00363C1C" w:rsidP="00B874FC">
    <w:pPr>
      <w:pStyle w:val="Kopfzeile"/>
      <w:ind w:firstLine="0"/>
      <w:jc w:val="left"/>
      <w:rPr>
        <w:szCs w:val="18"/>
      </w:rPr>
    </w:pPr>
    <w:r w:rsidRPr="000C2B5D">
      <w:rPr>
        <w:szCs w:val="18"/>
      </w:rPr>
      <w:fldChar w:fldCharType="begin"/>
    </w:r>
    <w:r w:rsidR="005A5F2B" w:rsidRPr="000C2B5D">
      <w:rPr>
        <w:szCs w:val="18"/>
      </w:rPr>
      <w:instrText xml:space="preserve"> PAGE   \* MERGEFORMAT </w:instrText>
    </w:r>
    <w:r w:rsidRPr="000C2B5D">
      <w:rPr>
        <w:szCs w:val="18"/>
      </w:rPr>
      <w:fldChar w:fldCharType="separate"/>
    </w:r>
    <w:r w:rsidR="00764EBF">
      <w:rPr>
        <w:noProof/>
        <w:szCs w:val="18"/>
      </w:rPr>
      <w:t>202</w:t>
    </w:r>
    <w:r w:rsidRPr="000C2B5D">
      <w:rPr>
        <w:szCs w:val="18"/>
      </w:rPr>
      <w:fldChar w:fldCharType="end"/>
    </w:r>
    <w:r w:rsidR="005A5F2B" w:rsidRPr="000C2B5D">
      <w:rPr>
        <w:szCs w:val="18"/>
      </w:rPr>
      <w:tab/>
      <w:t>Index</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507393" w:rsidRDefault="005A5F2B" w:rsidP="0084672A">
    <w:pPr>
      <w:pStyle w:val="Kopfzeile"/>
      <w:ind w:firstLine="0"/>
      <w:rPr>
        <w:szCs w:val="18"/>
      </w:rPr>
    </w:pPr>
    <w:r>
      <w:rPr>
        <w:szCs w:val="18"/>
      </w:rPr>
      <w:tab/>
      <w:t>Index</w:t>
    </w:r>
    <w:r w:rsidRPr="00507393">
      <w:rPr>
        <w:szCs w:val="18"/>
      </w:rPr>
      <w:tab/>
    </w:r>
    <w:r w:rsidR="00363C1C" w:rsidRPr="00507393">
      <w:rPr>
        <w:szCs w:val="18"/>
      </w:rPr>
      <w:fldChar w:fldCharType="begin"/>
    </w:r>
    <w:r w:rsidRPr="00507393">
      <w:rPr>
        <w:szCs w:val="18"/>
      </w:rPr>
      <w:instrText xml:space="preserve"> PAGE   \* MERGEFORMAT </w:instrText>
    </w:r>
    <w:r w:rsidR="00363C1C" w:rsidRPr="00507393">
      <w:rPr>
        <w:szCs w:val="18"/>
      </w:rPr>
      <w:fldChar w:fldCharType="separate"/>
    </w:r>
    <w:r w:rsidR="00764EBF">
      <w:rPr>
        <w:noProof/>
        <w:szCs w:val="18"/>
      </w:rPr>
      <w:t>201</w:t>
    </w:r>
    <w:r w:rsidR="00363C1C" w:rsidRPr="00507393">
      <w:rPr>
        <w:szCs w:val="18"/>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5A5F2B" w:rsidP="00420EF4">
    <w:pPr>
      <w:pStyle w:val="Kopfzeile"/>
      <w:ind w:firstLine="0"/>
      <w:rPr>
        <w:szCs w:val="18"/>
      </w:rPr>
    </w:pPr>
    <w:r>
      <w:rPr>
        <w:szCs w:val="18"/>
      </w:rPr>
      <w:tab/>
    </w:r>
    <w:r w:rsidRPr="007A613D">
      <w:rPr>
        <w:szCs w:val="18"/>
      </w:rPr>
      <w:t>Inhalt</w:t>
    </w:r>
    <w:r w:rsidRPr="007A613D">
      <w:rPr>
        <w:szCs w:val="18"/>
      </w:rPr>
      <w:tab/>
    </w:r>
    <w:r w:rsidR="00363C1C" w:rsidRPr="007A613D">
      <w:rPr>
        <w:szCs w:val="18"/>
      </w:rPr>
      <w:fldChar w:fldCharType="begin"/>
    </w:r>
    <w:r w:rsidRPr="007A613D">
      <w:rPr>
        <w:szCs w:val="18"/>
      </w:rPr>
      <w:instrText xml:space="preserve"> PAGE   \* MERGEFORMAT </w:instrText>
    </w:r>
    <w:r w:rsidR="00363C1C" w:rsidRPr="007A613D">
      <w:rPr>
        <w:szCs w:val="18"/>
      </w:rPr>
      <w:fldChar w:fldCharType="separate"/>
    </w:r>
    <w:r w:rsidR="00764EBF">
      <w:rPr>
        <w:noProof/>
        <w:szCs w:val="18"/>
      </w:rPr>
      <w:t>9</w:t>
    </w:r>
    <w:r w:rsidR="00363C1C" w:rsidRPr="007A613D">
      <w:rPr>
        <w:szCs w:val="18"/>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Default="005A5F2B">
    <w:pPr>
      <w:pStyle w:val="Kopfzeil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507393" w:rsidRDefault="00363C1C" w:rsidP="00041DCC">
    <w:pPr>
      <w:pStyle w:val="Kopfzeile"/>
      <w:tabs>
        <w:tab w:val="left" w:pos="3128"/>
      </w:tabs>
      <w:ind w:firstLine="0"/>
      <w:jc w:val="left"/>
      <w:rPr>
        <w:szCs w:val="18"/>
      </w:rPr>
    </w:pPr>
    <w:r w:rsidRPr="00507393">
      <w:rPr>
        <w:szCs w:val="18"/>
      </w:rPr>
      <w:fldChar w:fldCharType="begin"/>
    </w:r>
    <w:r w:rsidR="005A5F2B" w:rsidRPr="00507393">
      <w:rPr>
        <w:szCs w:val="18"/>
      </w:rPr>
      <w:instrText xml:space="preserve"> PAGE   \* MERGEFORMAT </w:instrText>
    </w:r>
    <w:r w:rsidRPr="00507393">
      <w:rPr>
        <w:szCs w:val="18"/>
      </w:rPr>
      <w:fldChar w:fldCharType="separate"/>
    </w:r>
    <w:r w:rsidR="00764EBF">
      <w:rPr>
        <w:noProof/>
        <w:szCs w:val="18"/>
      </w:rPr>
      <w:t>12</w:t>
    </w:r>
    <w:r w:rsidRPr="00507393">
      <w:rPr>
        <w:szCs w:val="18"/>
      </w:rPr>
      <w:fldChar w:fldCharType="end"/>
    </w:r>
    <w:r w:rsidR="005A5F2B" w:rsidRPr="00507393">
      <w:rPr>
        <w:szCs w:val="18"/>
      </w:rPr>
      <w:tab/>
    </w:r>
    <w:r w:rsidR="005A5F2B">
      <w:rPr>
        <w:szCs w:val="18"/>
      </w:rPr>
      <w:tab/>
      <w:t>Einleitung</w:t>
    </w:r>
  </w:p>
  <w:p w:rsidR="005A5F2B" w:rsidRPr="00A50348" w:rsidRDefault="005A5F2B" w:rsidP="00A50348">
    <w:pPr>
      <w:pStyle w:val="Kopfzeil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507393" w:rsidRDefault="005A5F2B" w:rsidP="0084672A">
    <w:pPr>
      <w:pStyle w:val="Kopfzeile"/>
      <w:ind w:firstLine="0"/>
      <w:rPr>
        <w:szCs w:val="18"/>
      </w:rPr>
    </w:pPr>
    <w:r>
      <w:rPr>
        <w:szCs w:val="18"/>
      </w:rPr>
      <w:tab/>
      <w:t>Einleitung</w:t>
    </w:r>
    <w:r w:rsidRPr="00507393">
      <w:rPr>
        <w:szCs w:val="18"/>
      </w:rPr>
      <w:tab/>
    </w:r>
    <w:r w:rsidR="00363C1C" w:rsidRPr="00507393">
      <w:rPr>
        <w:szCs w:val="18"/>
      </w:rPr>
      <w:fldChar w:fldCharType="begin"/>
    </w:r>
    <w:r w:rsidRPr="00507393">
      <w:rPr>
        <w:szCs w:val="18"/>
      </w:rPr>
      <w:instrText xml:space="preserve"> PAGE   \* MERGEFORMAT </w:instrText>
    </w:r>
    <w:r w:rsidR="00363C1C" w:rsidRPr="00507393">
      <w:rPr>
        <w:szCs w:val="18"/>
      </w:rPr>
      <w:fldChar w:fldCharType="separate"/>
    </w:r>
    <w:r w:rsidR="00764EBF">
      <w:rPr>
        <w:noProof/>
        <w:szCs w:val="18"/>
      </w:rPr>
      <w:t>13</w:t>
    </w:r>
    <w:r w:rsidR="00363C1C" w:rsidRPr="00507393">
      <w:rPr>
        <w:szCs w:val="18"/>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507393" w:rsidRDefault="005A5F2B">
    <w:pPr>
      <w:pStyle w:val="Kopfzeile"/>
      <w:rPr>
        <w:szCs w:val="18"/>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363C1C" w:rsidP="00D0134D">
    <w:pPr>
      <w:pStyle w:val="Kopfzeile"/>
      <w:ind w:firstLine="0"/>
      <w:jc w:val="left"/>
      <w:rPr>
        <w:szCs w:val="18"/>
      </w:rPr>
    </w:pPr>
    <w:r w:rsidRPr="007A613D">
      <w:rPr>
        <w:szCs w:val="18"/>
      </w:rPr>
      <w:fldChar w:fldCharType="begin"/>
    </w:r>
    <w:r w:rsidR="005A5F2B" w:rsidRPr="007A613D">
      <w:rPr>
        <w:szCs w:val="18"/>
      </w:rPr>
      <w:instrText xml:space="preserve"> PAGE   \* MERGEFORMAT </w:instrText>
    </w:r>
    <w:r w:rsidRPr="007A613D">
      <w:rPr>
        <w:szCs w:val="18"/>
      </w:rPr>
      <w:fldChar w:fldCharType="separate"/>
    </w:r>
    <w:r w:rsidR="008B018B">
      <w:rPr>
        <w:noProof/>
        <w:szCs w:val="18"/>
      </w:rPr>
      <w:t>28</w:t>
    </w:r>
    <w:r w:rsidRPr="007A613D">
      <w:rPr>
        <w:szCs w:val="18"/>
      </w:rPr>
      <w:fldChar w:fldCharType="end"/>
    </w:r>
    <w:r w:rsidR="005A5F2B" w:rsidRPr="007A613D">
      <w:rPr>
        <w:szCs w:val="18"/>
      </w:rPr>
      <w:tab/>
    </w:r>
    <w:fldSimple w:instr=" STYLEREF  Titel \n  \* MERGEFORMAT ">
      <w:r w:rsidR="008B018B" w:rsidRPr="008B018B">
        <w:rPr>
          <w:noProof/>
          <w:szCs w:val="18"/>
        </w:rPr>
        <w:t xml:space="preserve">Kapitel 1: </w:t>
      </w:r>
    </w:fldSimple>
    <w:r w:rsidR="005A5F2B" w:rsidRPr="007A613D">
      <w:rPr>
        <w:szCs w:val="18"/>
      </w:rPr>
      <w:t xml:space="preserve"> </w:t>
    </w:r>
    <w:fldSimple w:instr=" STYLEREF  Titel  \* MERGEFORMAT ">
      <w:r w:rsidR="008B018B" w:rsidRPr="008B018B">
        <w:rPr>
          <w:noProof/>
          <w:szCs w:val="18"/>
        </w:rPr>
        <w:t>Die</w:t>
      </w:r>
      <w:r w:rsidR="008B018B">
        <w:rPr>
          <w:noProof/>
        </w:rPr>
        <w:t xml:space="preserve"> Reise</w:t>
      </w:r>
    </w:fldSimple>
  </w:p>
  <w:p w:rsidR="005A5F2B" w:rsidRPr="00A50348" w:rsidRDefault="005A5F2B" w:rsidP="00A50348">
    <w:pPr>
      <w:pStyle w:val="Kopfzeil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5A5F2B" w:rsidP="00D0134D">
    <w:pPr>
      <w:pStyle w:val="Kopfzeile"/>
      <w:ind w:firstLine="0"/>
      <w:rPr>
        <w:szCs w:val="18"/>
      </w:rPr>
    </w:pPr>
    <w:r>
      <w:tab/>
    </w:r>
    <w:fldSimple w:instr=" STYLEREF  &quot;Titel 2&quot; \n  \* MERGEFORMAT ">
      <w:r w:rsidR="008B018B" w:rsidRPr="008B018B">
        <w:rPr>
          <w:noProof/>
          <w:szCs w:val="18"/>
        </w:rPr>
        <w:t>1.2</w:t>
      </w:r>
    </w:fldSimple>
    <w:r w:rsidRPr="007A613D">
      <w:rPr>
        <w:szCs w:val="18"/>
      </w:rPr>
      <w:t xml:space="preserve">  </w:t>
    </w:r>
    <w:fldSimple w:instr=" STYLEREF  &quot;Titel 2&quot;  \* MERGEFORMAT ">
      <w:r w:rsidR="008B018B" w:rsidRPr="008B018B">
        <w:rPr>
          <w:noProof/>
          <w:szCs w:val="18"/>
        </w:rPr>
        <w:t>Leben</w:t>
      </w:r>
      <w:r w:rsidR="008B018B">
        <w:rPr>
          <w:noProof/>
        </w:rPr>
        <w:t xml:space="preserve"> auf dem „pad“</w:t>
      </w:r>
    </w:fldSimple>
    <w:r w:rsidRPr="007A613D">
      <w:rPr>
        <w:szCs w:val="18"/>
      </w:rPr>
      <w:tab/>
    </w:r>
    <w:r w:rsidR="00363C1C" w:rsidRPr="007A613D">
      <w:rPr>
        <w:szCs w:val="18"/>
      </w:rPr>
      <w:fldChar w:fldCharType="begin"/>
    </w:r>
    <w:r w:rsidRPr="007A613D">
      <w:rPr>
        <w:szCs w:val="18"/>
      </w:rPr>
      <w:instrText xml:space="preserve"> PAGE   \* MERGEFORMAT </w:instrText>
    </w:r>
    <w:r w:rsidR="00363C1C" w:rsidRPr="007A613D">
      <w:rPr>
        <w:szCs w:val="18"/>
      </w:rPr>
      <w:fldChar w:fldCharType="separate"/>
    </w:r>
    <w:r w:rsidR="008B018B">
      <w:rPr>
        <w:noProof/>
        <w:szCs w:val="18"/>
      </w:rPr>
      <w:t>29</w:t>
    </w:r>
    <w:r w:rsidR="00363C1C" w:rsidRPr="007A613D">
      <w:rPr>
        <w:szCs w:val="18"/>
      </w:rPr>
      <w:fldChar w:fldCharType="end"/>
    </w:r>
  </w:p>
  <w:p w:rsidR="005A5F2B" w:rsidRPr="00D0134D" w:rsidRDefault="005A5F2B" w:rsidP="00D0134D">
    <w:pPr>
      <w:pStyle w:val="Kopfzeile"/>
      <w:rPr>
        <w:szCs w:val="18"/>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5F2B" w:rsidRPr="007A613D" w:rsidRDefault="00363C1C" w:rsidP="00D0134D">
    <w:pPr>
      <w:pStyle w:val="Kopfzeile"/>
      <w:ind w:firstLine="0"/>
      <w:jc w:val="left"/>
      <w:rPr>
        <w:szCs w:val="18"/>
      </w:rPr>
    </w:pPr>
    <w:r w:rsidRPr="007A613D">
      <w:rPr>
        <w:szCs w:val="18"/>
      </w:rPr>
      <w:fldChar w:fldCharType="begin"/>
    </w:r>
    <w:r w:rsidR="005A5F2B" w:rsidRPr="007A613D">
      <w:rPr>
        <w:szCs w:val="18"/>
      </w:rPr>
      <w:instrText xml:space="preserve"> PAGE   \* MERGEFORMAT </w:instrText>
    </w:r>
    <w:r w:rsidRPr="007A613D">
      <w:rPr>
        <w:szCs w:val="18"/>
      </w:rPr>
      <w:fldChar w:fldCharType="separate"/>
    </w:r>
    <w:r w:rsidR="00764EBF">
      <w:rPr>
        <w:noProof/>
        <w:szCs w:val="18"/>
      </w:rPr>
      <w:t>188</w:t>
    </w:r>
    <w:r w:rsidRPr="007A613D">
      <w:rPr>
        <w:szCs w:val="18"/>
      </w:rPr>
      <w:fldChar w:fldCharType="end"/>
    </w:r>
    <w:r w:rsidR="005A5F2B" w:rsidRPr="007A613D">
      <w:rPr>
        <w:szCs w:val="18"/>
      </w:rPr>
      <w:tab/>
    </w:r>
    <w:r w:rsidR="005A5F2B">
      <w:t>Fazit</w:t>
    </w:r>
  </w:p>
  <w:p w:rsidR="005A5F2B" w:rsidRPr="00A50348" w:rsidRDefault="005A5F2B" w:rsidP="00A50348">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FE61F18"/>
    <w:lvl w:ilvl="0">
      <w:start w:val="1"/>
      <w:numFmt w:val="decimal"/>
      <w:lvlText w:val="%1."/>
      <w:lvlJc w:val="left"/>
      <w:pPr>
        <w:tabs>
          <w:tab w:val="num" w:pos="1492"/>
        </w:tabs>
        <w:ind w:left="1492" w:hanging="360"/>
      </w:pPr>
    </w:lvl>
  </w:abstractNum>
  <w:abstractNum w:abstractNumId="1">
    <w:nsid w:val="FFFFFF7D"/>
    <w:multiLevelType w:val="singleLevel"/>
    <w:tmpl w:val="B4ACD5AC"/>
    <w:lvl w:ilvl="0">
      <w:start w:val="1"/>
      <w:numFmt w:val="decimal"/>
      <w:lvlText w:val="%1."/>
      <w:lvlJc w:val="left"/>
      <w:pPr>
        <w:tabs>
          <w:tab w:val="num" w:pos="1209"/>
        </w:tabs>
        <w:ind w:left="1209" w:hanging="360"/>
      </w:pPr>
    </w:lvl>
  </w:abstractNum>
  <w:abstractNum w:abstractNumId="2">
    <w:nsid w:val="FFFFFF7E"/>
    <w:multiLevelType w:val="singleLevel"/>
    <w:tmpl w:val="C2EA0C7E"/>
    <w:lvl w:ilvl="0">
      <w:start w:val="1"/>
      <w:numFmt w:val="decimal"/>
      <w:lvlText w:val="%1."/>
      <w:lvlJc w:val="left"/>
      <w:pPr>
        <w:tabs>
          <w:tab w:val="num" w:pos="926"/>
        </w:tabs>
        <w:ind w:left="926" w:hanging="360"/>
      </w:pPr>
    </w:lvl>
  </w:abstractNum>
  <w:abstractNum w:abstractNumId="3">
    <w:nsid w:val="FFFFFF7F"/>
    <w:multiLevelType w:val="singleLevel"/>
    <w:tmpl w:val="027EEE76"/>
    <w:lvl w:ilvl="0">
      <w:start w:val="1"/>
      <w:numFmt w:val="decimal"/>
      <w:lvlText w:val="%1."/>
      <w:lvlJc w:val="left"/>
      <w:pPr>
        <w:tabs>
          <w:tab w:val="num" w:pos="643"/>
        </w:tabs>
        <w:ind w:left="643" w:hanging="360"/>
      </w:pPr>
    </w:lvl>
  </w:abstractNum>
  <w:abstractNum w:abstractNumId="4">
    <w:nsid w:val="FFFFFF80"/>
    <w:multiLevelType w:val="singleLevel"/>
    <w:tmpl w:val="9708780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9829D4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E42EB4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CEEF24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nsid w:val="FFFFFF88"/>
    <w:multiLevelType w:val="singleLevel"/>
    <w:tmpl w:val="C52CB9AE"/>
    <w:lvl w:ilvl="0">
      <w:start w:val="1"/>
      <w:numFmt w:val="decimal"/>
      <w:lvlText w:val="%1."/>
      <w:lvlJc w:val="left"/>
      <w:pPr>
        <w:tabs>
          <w:tab w:val="num" w:pos="360"/>
        </w:tabs>
        <w:ind w:left="360" w:hanging="360"/>
      </w:pPr>
    </w:lvl>
  </w:abstractNum>
  <w:abstractNum w:abstractNumId="9">
    <w:nsid w:val="FFFFFF89"/>
    <w:multiLevelType w:val="singleLevel"/>
    <w:tmpl w:val="F46A0D26"/>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nsid w:val="00000001"/>
    <w:multiLevelType w:val="multilevel"/>
    <w:tmpl w:val="AF32B1BE"/>
    <w:lvl w:ilvl="0">
      <w:start w:val="1"/>
      <w:numFmt w:val="decimal"/>
      <w:pStyle w:val="Titel"/>
      <w:suff w:val="space"/>
      <w:lvlText w:val="Kapitel %1: "/>
      <w:lvlJc w:val="left"/>
      <w:pPr>
        <w:ind w:left="432" w:hanging="432"/>
      </w:pPr>
      <w:rPr>
        <w:rFonts w:hint="default"/>
        <w:lang w:val="de-DE"/>
      </w:rPr>
    </w:lvl>
    <w:lvl w:ilvl="1">
      <w:start w:val="1"/>
      <w:numFmt w:val="decimal"/>
      <w:pStyle w:val="Titel2"/>
      <w:lvlText w:val="%1.%2"/>
      <w:lvlJc w:val="left"/>
      <w:pPr>
        <w:tabs>
          <w:tab w:val="num" w:pos="1427"/>
        </w:tabs>
        <w:ind w:left="1427" w:hanging="576"/>
      </w:pPr>
      <w:rPr>
        <w:rFonts w:hint="default"/>
        <w:lang w:val="de-DE"/>
      </w:rPr>
    </w:lvl>
    <w:lvl w:ilvl="2">
      <w:start w:val="1"/>
      <w:numFmt w:val="decimal"/>
      <w:pStyle w:val="Titel3"/>
      <w:lvlText w:val="%1.%2.%3"/>
      <w:lvlJc w:val="left"/>
      <w:pPr>
        <w:tabs>
          <w:tab w:val="num" w:pos="720"/>
        </w:tabs>
        <w:ind w:left="720" w:hanging="720"/>
      </w:pPr>
      <w:rPr>
        <w:rFonts w:hint="default"/>
      </w:rPr>
    </w:lvl>
    <w:lvl w:ilvl="3">
      <w:start w:val="1"/>
      <w:numFmt w:val="decimal"/>
      <w:pStyle w:val="Titel4"/>
      <w:lvlText w:val="%1.%2.%3.%4"/>
      <w:lvlJc w:val="left"/>
      <w:pPr>
        <w:tabs>
          <w:tab w:val="num" w:pos="864"/>
        </w:tabs>
        <w:ind w:left="864" w:hanging="864"/>
      </w:pPr>
      <w:rPr>
        <w:rFonts w:hint="default"/>
      </w:rPr>
    </w:lvl>
    <w:lvl w:ilvl="4">
      <w:start w:val="1"/>
      <w:numFmt w:val="decimal"/>
      <w:pStyle w:val="Titel5"/>
      <w:lvlText w:val="%1.%2.%3.%4.%5"/>
      <w:lvlJc w:val="left"/>
      <w:pPr>
        <w:tabs>
          <w:tab w:val="num" w:pos="1008"/>
        </w:tabs>
        <w:ind w:left="1008" w:hanging="1008"/>
      </w:pPr>
      <w:rPr>
        <w:rFonts w:hint="default"/>
      </w:rPr>
    </w:lvl>
    <w:lvl w:ilvl="5">
      <w:start w:val="1"/>
      <w:numFmt w:val="decimal"/>
      <w:pStyle w:val="Titel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04618FC"/>
    <w:multiLevelType w:val="hybridMultilevel"/>
    <w:tmpl w:val="46E8ABF8"/>
    <w:lvl w:ilvl="0" w:tplc="6A50DC84">
      <w:start w:val="1"/>
      <w:numFmt w:val="decimal"/>
      <w:lvlText w:val="Kapitel %1:"/>
      <w:lvlJc w:val="left"/>
      <w:pPr>
        <w:tabs>
          <w:tab w:val="num" w:pos="180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nsid w:val="0F170C52"/>
    <w:multiLevelType w:val="hybridMultilevel"/>
    <w:tmpl w:val="8CEA6BF0"/>
    <w:lvl w:ilvl="0" w:tplc="0714CC3E">
      <w:start w:val="1"/>
      <w:numFmt w:val="decimal"/>
      <w:pStyle w:val="NrListe"/>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nsid w:val="433B757A"/>
    <w:multiLevelType w:val="multilevel"/>
    <w:tmpl w:val="79148754"/>
    <w:lvl w:ilvl="0">
      <w:start w:val="1"/>
      <w:numFmt w:val="decimal"/>
      <w:suff w:val="space"/>
      <w:lvlText w:val="Kapitel %1: "/>
      <w:lvlJc w:val="left"/>
      <w:pPr>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nsid w:val="495806F2"/>
    <w:multiLevelType w:val="multilevel"/>
    <w:tmpl w:val="5CDAA0A0"/>
    <w:lvl w:ilvl="0">
      <w:start w:val="1"/>
      <w:numFmt w:val="decimal"/>
      <w:suff w:val="space"/>
      <w:lvlText w:val="Kapitel %1: "/>
      <w:lvlJc w:val="left"/>
      <w:pPr>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10"/>
  </w:num>
  <w:num w:numId="2">
    <w:abstractNumId w:val="12"/>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1"/>
  </w:num>
  <w:num w:numId="14">
    <w:abstractNumId w:val="13"/>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2"/>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isplayBackgroundShape/>
  <w:embedSystemFonts/>
  <w:hideSpellingErrors/>
  <w:proofState w:grammar="clean"/>
  <w:attachedTemplate r:id="rId1"/>
  <w:stylePaneFormatFilter w:val="3F01"/>
  <w:defaultTabStop w:val="709"/>
  <w:autoHyphenation/>
  <w:consecutiveHyphenLimit w:val="6"/>
  <w:hyphenationZone w:val="170"/>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590722">
      <o:colormenu v:ext="edit" fillcolor="none" strokecolor="none [1]" shadowcolor="none [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D2554C"/>
    <w:rsid w:val="00000664"/>
    <w:rsid w:val="000006B4"/>
    <w:rsid w:val="000007EA"/>
    <w:rsid w:val="00000A8F"/>
    <w:rsid w:val="00000DA2"/>
    <w:rsid w:val="00000EFB"/>
    <w:rsid w:val="0000110E"/>
    <w:rsid w:val="0000124A"/>
    <w:rsid w:val="00001323"/>
    <w:rsid w:val="000016FA"/>
    <w:rsid w:val="00001795"/>
    <w:rsid w:val="00001C07"/>
    <w:rsid w:val="00001DE0"/>
    <w:rsid w:val="00001FBF"/>
    <w:rsid w:val="0000217A"/>
    <w:rsid w:val="0000218A"/>
    <w:rsid w:val="00002401"/>
    <w:rsid w:val="00002416"/>
    <w:rsid w:val="00002607"/>
    <w:rsid w:val="0000273B"/>
    <w:rsid w:val="00002788"/>
    <w:rsid w:val="00002A85"/>
    <w:rsid w:val="00002D98"/>
    <w:rsid w:val="0000342F"/>
    <w:rsid w:val="000035B2"/>
    <w:rsid w:val="00003915"/>
    <w:rsid w:val="0000393A"/>
    <w:rsid w:val="000039D1"/>
    <w:rsid w:val="00003BF4"/>
    <w:rsid w:val="00003C28"/>
    <w:rsid w:val="00003DAF"/>
    <w:rsid w:val="00003E54"/>
    <w:rsid w:val="00003E77"/>
    <w:rsid w:val="00003EB6"/>
    <w:rsid w:val="00003F87"/>
    <w:rsid w:val="000040F5"/>
    <w:rsid w:val="0000410E"/>
    <w:rsid w:val="00004153"/>
    <w:rsid w:val="0000422B"/>
    <w:rsid w:val="000044D1"/>
    <w:rsid w:val="000046A6"/>
    <w:rsid w:val="000046E7"/>
    <w:rsid w:val="0000480D"/>
    <w:rsid w:val="00004A81"/>
    <w:rsid w:val="00004AA9"/>
    <w:rsid w:val="00004D64"/>
    <w:rsid w:val="00004DE2"/>
    <w:rsid w:val="00004E23"/>
    <w:rsid w:val="00004FF7"/>
    <w:rsid w:val="000053D6"/>
    <w:rsid w:val="00005586"/>
    <w:rsid w:val="0000562A"/>
    <w:rsid w:val="0000563E"/>
    <w:rsid w:val="000059E5"/>
    <w:rsid w:val="00005B53"/>
    <w:rsid w:val="00005CF4"/>
    <w:rsid w:val="00005EF6"/>
    <w:rsid w:val="00005FDE"/>
    <w:rsid w:val="00006011"/>
    <w:rsid w:val="00006304"/>
    <w:rsid w:val="00006397"/>
    <w:rsid w:val="00006431"/>
    <w:rsid w:val="000064C2"/>
    <w:rsid w:val="000064E8"/>
    <w:rsid w:val="00006612"/>
    <w:rsid w:val="000066C7"/>
    <w:rsid w:val="00006A5A"/>
    <w:rsid w:val="00006C52"/>
    <w:rsid w:val="00006D02"/>
    <w:rsid w:val="00006D73"/>
    <w:rsid w:val="00007698"/>
    <w:rsid w:val="00007858"/>
    <w:rsid w:val="00007AF5"/>
    <w:rsid w:val="00007F09"/>
    <w:rsid w:val="00007F63"/>
    <w:rsid w:val="0001007B"/>
    <w:rsid w:val="00010106"/>
    <w:rsid w:val="0001012F"/>
    <w:rsid w:val="00010312"/>
    <w:rsid w:val="0001078F"/>
    <w:rsid w:val="00010B92"/>
    <w:rsid w:val="00010C56"/>
    <w:rsid w:val="00010D55"/>
    <w:rsid w:val="00011464"/>
    <w:rsid w:val="000118D1"/>
    <w:rsid w:val="00011A37"/>
    <w:rsid w:val="00011BA9"/>
    <w:rsid w:val="00011BF1"/>
    <w:rsid w:val="00012512"/>
    <w:rsid w:val="00012848"/>
    <w:rsid w:val="00012987"/>
    <w:rsid w:val="00012BC1"/>
    <w:rsid w:val="00012DB9"/>
    <w:rsid w:val="00012E2D"/>
    <w:rsid w:val="000130D9"/>
    <w:rsid w:val="000131E3"/>
    <w:rsid w:val="000133F4"/>
    <w:rsid w:val="0001363F"/>
    <w:rsid w:val="000137DF"/>
    <w:rsid w:val="000139BC"/>
    <w:rsid w:val="00013B37"/>
    <w:rsid w:val="00013B84"/>
    <w:rsid w:val="00013B9A"/>
    <w:rsid w:val="00013EEE"/>
    <w:rsid w:val="000140B0"/>
    <w:rsid w:val="00014186"/>
    <w:rsid w:val="0001440C"/>
    <w:rsid w:val="000144B8"/>
    <w:rsid w:val="000144E3"/>
    <w:rsid w:val="00014591"/>
    <w:rsid w:val="000145AF"/>
    <w:rsid w:val="00014742"/>
    <w:rsid w:val="0001488F"/>
    <w:rsid w:val="00014934"/>
    <w:rsid w:val="00014AE9"/>
    <w:rsid w:val="00014C94"/>
    <w:rsid w:val="00014CBF"/>
    <w:rsid w:val="00014CCA"/>
    <w:rsid w:val="00014F87"/>
    <w:rsid w:val="000152C1"/>
    <w:rsid w:val="000153D3"/>
    <w:rsid w:val="00015531"/>
    <w:rsid w:val="000158BE"/>
    <w:rsid w:val="00015942"/>
    <w:rsid w:val="000167E4"/>
    <w:rsid w:val="0001690B"/>
    <w:rsid w:val="00016AB2"/>
    <w:rsid w:val="00016B6E"/>
    <w:rsid w:val="00016C49"/>
    <w:rsid w:val="00016C6A"/>
    <w:rsid w:val="00016FB6"/>
    <w:rsid w:val="0001707D"/>
    <w:rsid w:val="000170E0"/>
    <w:rsid w:val="0001718E"/>
    <w:rsid w:val="0001740D"/>
    <w:rsid w:val="000174BC"/>
    <w:rsid w:val="0001768F"/>
    <w:rsid w:val="0001775D"/>
    <w:rsid w:val="000177BC"/>
    <w:rsid w:val="00017886"/>
    <w:rsid w:val="000178CC"/>
    <w:rsid w:val="00017A67"/>
    <w:rsid w:val="00017CA0"/>
    <w:rsid w:val="00017D4D"/>
    <w:rsid w:val="00017E2A"/>
    <w:rsid w:val="00017F51"/>
    <w:rsid w:val="000203A4"/>
    <w:rsid w:val="000204A2"/>
    <w:rsid w:val="00020B4B"/>
    <w:rsid w:val="00020BC7"/>
    <w:rsid w:val="00020F3B"/>
    <w:rsid w:val="000210BF"/>
    <w:rsid w:val="0002135B"/>
    <w:rsid w:val="00021547"/>
    <w:rsid w:val="000216C9"/>
    <w:rsid w:val="00021742"/>
    <w:rsid w:val="00021936"/>
    <w:rsid w:val="000219AA"/>
    <w:rsid w:val="00021DE2"/>
    <w:rsid w:val="00021E0E"/>
    <w:rsid w:val="00021EB5"/>
    <w:rsid w:val="00021F11"/>
    <w:rsid w:val="00022700"/>
    <w:rsid w:val="000228D7"/>
    <w:rsid w:val="00022BF8"/>
    <w:rsid w:val="00022D0A"/>
    <w:rsid w:val="00022E91"/>
    <w:rsid w:val="000232FB"/>
    <w:rsid w:val="00023483"/>
    <w:rsid w:val="00023522"/>
    <w:rsid w:val="0002370C"/>
    <w:rsid w:val="00023765"/>
    <w:rsid w:val="00023850"/>
    <w:rsid w:val="0002385D"/>
    <w:rsid w:val="00023864"/>
    <w:rsid w:val="00023869"/>
    <w:rsid w:val="00024183"/>
    <w:rsid w:val="0002437F"/>
    <w:rsid w:val="00024BDF"/>
    <w:rsid w:val="00024DF4"/>
    <w:rsid w:val="00024F7D"/>
    <w:rsid w:val="000251D9"/>
    <w:rsid w:val="0002541C"/>
    <w:rsid w:val="0002543E"/>
    <w:rsid w:val="00025611"/>
    <w:rsid w:val="00025716"/>
    <w:rsid w:val="0002598E"/>
    <w:rsid w:val="00025A71"/>
    <w:rsid w:val="00025C73"/>
    <w:rsid w:val="00025D0A"/>
    <w:rsid w:val="00025E7D"/>
    <w:rsid w:val="0002602F"/>
    <w:rsid w:val="000260ED"/>
    <w:rsid w:val="00026313"/>
    <w:rsid w:val="00026327"/>
    <w:rsid w:val="00026444"/>
    <w:rsid w:val="000264EA"/>
    <w:rsid w:val="000264FF"/>
    <w:rsid w:val="00026583"/>
    <w:rsid w:val="000266DC"/>
    <w:rsid w:val="0002678D"/>
    <w:rsid w:val="00026974"/>
    <w:rsid w:val="00026CCF"/>
    <w:rsid w:val="00026ECA"/>
    <w:rsid w:val="00026F53"/>
    <w:rsid w:val="00026FBB"/>
    <w:rsid w:val="000271C3"/>
    <w:rsid w:val="000271EF"/>
    <w:rsid w:val="00027206"/>
    <w:rsid w:val="00027252"/>
    <w:rsid w:val="00027390"/>
    <w:rsid w:val="000273F6"/>
    <w:rsid w:val="00027694"/>
    <w:rsid w:val="00027756"/>
    <w:rsid w:val="0002781B"/>
    <w:rsid w:val="000279EE"/>
    <w:rsid w:val="000302CE"/>
    <w:rsid w:val="00030489"/>
    <w:rsid w:val="0003068F"/>
    <w:rsid w:val="000306E9"/>
    <w:rsid w:val="00030A7F"/>
    <w:rsid w:val="00030E3C"/>
    <w:rsid w:val="00030F35"/>
    <w:rsid w:val="000311E8"/>
    <w:rsid w:val="000313F5"/>
    <w:rsid w:val="000317B1"/>
    <w:rsid w:val="00031A40"/>
    <w:rsid w:val="00031BA5"/>
    <w:rsid w:val="00031BD7"/>
    <w:rsid w:val="00031F82"/>
    <w:rsid w:val="00032168"/>
    <w:rsid w:val="00032353"/>
    <w:rsid w:val="00032696"/>
    <w:rsid w:val="0003289B"/>
    <w:rsid w:val="00032CBA"/>
    <w:rsid w:val="00032CED"/>
    <w:rsid w:val="00032CEE"/>
    <w:rsid w:val="00032FD3"/>
    <w:rsid w:val="0003301B"/>
    <w:rsid w:val="000331A1"/>
    <w:rsid w:val="0003323F"/>
    <w:rsid w:val="00033336"/>
    <w:rsid w:val="00033387"/>
    <w:rsid w:val="00033636"/>
    <w:rsid w:val="00033642"/>
    <w:rsid w:val="000337FF"/>
    <w:rsid w:val="0003382E"/>
    <w:rsid w:val="0003391B"/>
    <w:rsid w:val="00034581"/>
    <w:rsid w:val="0003487D"/>
    <w:rsid w:val="00034AB0"/>
    <w:rsid w:val="00034C57"/>
    <w:rsid w:val="00034DC2"/>
    <w:rsid w:val="00034E12"/>
    <w:rsid w:val="00034EC4"/>
    <w:rsid w:val="0003516F"/>
    <w:rsid w:val="0003530D"/>
    <w:rsid w:val="000354D3"/>
    <w:rsid w:val="000357EF"/>
    <w:rsid w:val="00035CBA"/>
    <w:rsid w:val="000361BA"/>
    <w:rsid w:val="00036468"/>
    <w:rsid w:val="0003694C"/>
    <w:rsid w:val="00036B7A"/>
    <w:rsid w:val="0003707F"/>
    <w:rsid w:val="00037138"/>
    <w:rsid w:val="000372F3"/>
    <w:rsid w:val="0003769D"/>
    <w:rsid w:val="0003777B"/>
    <w:rsid w:val="000377AE"/>
    <w:rsid w:val="00037A3C"/>
    <w:rsid w:val="00037ABC"/>
    <w:rsid w:val="00037B02"/>
    <w:rsid w:val="00037BA0"/>
    <w:rsid w:val="00037E2C"/>
    <w:rsid w:val="00037E36"/>
    <w:rsid w:val="00037EDC"/>
    <w:rsid w:val="00040269"/>
    <w:rsid w:val="000403C3"/>
    <w:rsid w:val="000405D2"/>
    <w:rsid w:val="000406EE"/>
    <w:rsid w:val="00040701"/>
    <w:rsid w:val="000409E4"/>
    <w:rsid w:val="00040AB8"/>
    <w:rsid w:val="00040B67"/>
    <w:rsid w:val="00040BAA"/>
    <w:rsid w:val="00040C67"/>
    <w:rsid w:val="000411D7"/>
    <w:rsid w:val="000414BE"/>
    <w:rsid w:val="0004162E"/>
    <w:rsid w:val="0004176D"/>
    <w:rsid w:val="0004189C"/>
    <w:rsid w:val="00041DCC"/>
    <w:rsid w:val="00041F30"/>
    <w:rsid w:val="0004203D"/>
    <w:rsid w:val="00042091"/>
    <w:rsid w:val="00042279"/>
    <w:rsid w:val="00042293"/>
    <w:rsid w:val="00042464"/>
    <w:rsid w:val="000425F5"/>
    <w:rsid w:val="000426A0"/>
    <w:rsid w:val="000426C3"/>
    <w:rsid w:val="000428CF"/>
    <w:rsid w:val="00042977"/>
    <w:rsid w:val="00042C7F"/>
    <w:rsid w:val="00042CD3"/>
    <w:rsid w:val="00042E23"/>
    <w:rsid w:val="00042FD8"/>
    <w:rsid w:val="000430C5"/>
    <w:rsid w:val="0004326F"/>
    <w:rsid w:val="000433A6"/>
    <w:rsid w:val="000433CA"/>
    <w:rsid w:val="0004379A"/>
    <w:rsid w:val="00043ABB"/>
    <w:rsid w:val="000440A5"/>
    <w:rsid w:val="0004411F"/>
    <w:rsid w:val="00044154"/>
    <w:rsid w:val="00044241"/>
    <w:rsid w:val="000442F0"/>
    <w:rsid w:val="00044426"/>
    <w:rsid w:val="00044487"/>
    <w:rsid w:val="00044663"/>
    <w:rsid w:val="00044927"/>
    <w:rsid w:val="000449D3"/>
    <w:rsid w:val="00044AC0"/>
    <w:rsid w:val="00044B3D"/>
    <w:rsid w:val="00044CD3"/>
    <w:rsid w:val="0004521A"/>
    <w:rsid w:val="000452E7"/>
    <w:rsid w:val="00045377"/>
    <w:rsid w:val="0004544E"/>
    <w:rsid w:val="0004565E"/>
    <w:rsid w:val="00045830"/>
    <w:rsid w:val="000458BB"/>
    <w:rsid w:val="000458C6"/>
    <w:rsid w:val="00045D28"/>
    <w:rsid w:val="00045D72"/>
    <w:rsid w:val="00045F52"/>
    <w:rsid w:val="000460E0"/>
    <w:rsid w:val="00046B72"/>
    <w:rsid w:val="00046E29"/>
    <w:rsid w:val="00046FEE"/>
    <w:rsid w:val="00047077"/>
    <w:rsid w:val="000470BB"/>
    <w:rsid w:val="000472C0"/>
    <w:rsid w:val="000472E3"/>
    <w:rsid w:val="00047A29"/>
    <w:rsid w:val="00047A83"/>
    <w:rsid w:val="00047C51"/>
    <w:rsid w:val="00047D39"/>
    <w:rsid w:val="0005000E"/>
    <w:rsid w:val="000500F7"/>
    <w:rsid w:val="00050276"/>
    <w:rsid w:val="0005029C"/>
    <w:rsid w:val="000507CE"/>
    <w:rsid w:val="0005098F"/>
    <w:rsid w:val="00051537"/>
    <w:rsid w:val="000516D2"/>
    <w:rsid w:val="00051998"/>
    <w:rsid w:val="00051DD6"/>
    <w:rsid w:val="00051E78"/>
    <w:rsid w:val="00051F33"/>
    <w:rsid w:val="00051F42"/>
    <w:rsid w:val="00052061"/>
    <w:rsid w:val="000524BF"/>
    <w:rsid w:val="00052728"/>
    <w:rsid w:val="00052A4B"/>
    <w:rsid w:val="00052B4D"/>
    <w:rsid w:val="00052CDA"/>
    <w:rsid w:val="00052F17"/>
    <w:rsid w:val="000532AB"/>
    <w:rsid w:val="0005381B"/>
    <w:rsid w:val="00053AE9"/>
    <w:rsid w:val="00053CF8"/>
    <w:rsid w:val="00053D1F"/>
    <w:rsid w:val="00053D9D"/>
    <w:rsid w:val="00053E85"/>
    <w:rsid w:val="00053FD8"/>
    <w:rsid w:val="00054012"/>
    <w:rsid w:val="00054267"/>
    <w:rsid w:val="0005426A"/>
    <w:rsid w:val="00054357"/>
    <w:rsid w:val="00054610"/>
    <w:rsid w:val="00054687"/>
    <w:rsid w:val="0005483E"/>
    <w:rsid w:val="00054846"/>
    <w:rsid w:val="00054895"/>
    <w:rsid w:val="00054C14"/>
    <w:rsid w:val="00054D24"/>
    <w:rsid w:val="00054D2D"/>
    <w:rsid w:val="00055025"/>
    <w:rsid w:val="000550FB"/>
    <w:rsid w:val="0005524F"/>
    <w:rsid w:val="000554D7"/>
    <w:rsid w:val="000555C7"/>
    <w:rsid w:val="000556A6"/>
    <w:rsid w:val="0005584C"/>
    <w:rsid w:val="00055AD2"/>
    <w:rsid w:val="00055C7A"/>
    <w:rsid w:val="00055C8B"/>
    <w:rsid w:val="00055EE3"/>
    <w:rsid w:val="00056361"/>
    <w:rsid w:val="000568BA"/>
    <w:rsid w:val="0005697F"/>
    <w:rsid w:val="00056ED4"/>
    <w:rsid w:val="00057087"/>
    <w:rsid w:val="0005731E"/>
    <w:rsid w:val="000573CA"/>
    <w:rsid w:val="00057518"/>
    <w:rsid w:val="000577D8"/>
    <w:rsid w:val="00057ABA"/>
    <w:rsid w:val="00057D0E"/>
    <w:rsid w:val="00057E07"/>
    <w:rsid w:val="000602FC"/>
    <w:rsid w:val="0006038C"/>
    <w:rsid w:val="00060531"/>
    <w:rsid w:val="0006068B"/>
    <w:rsid w:val="00060703"/>
    <w:rsid w:val="00060B7E"/>
    <w:rsid w:val="00060BFF"/>
    <w:rsid w:val="00060CFC"/>
    <w:rsid w:val="00060D51"/>
    <w:rsid w:val="00060D5A"/>
    <w:rsid w:val="00060E80"/>
    <w:rsid w:val="000611E3"/>
    <w:rsid w:val="000615D5"/>
    <w:rsid w:val="000618BE"/>
    <w:rsid w:val="0006190B"/>
    <w:rsid w:val="00061DBE"/>
    <w:rsid w:val="00061DE6"/>
    <w:rsid w:val="00062239"/>
    <w:rsid w:val="000623C8"/>
    <w:rsid w:val="000623FF"/>
    <w:rsid w:val="00062658"/>
    <w:rsid w:val="00062D6E"/>
    <w:rsid w:val="00062DF8"/>
    <w:rsid w:val="00062FBE"/>
    <w:rsid w:val="0006308C"/>
    <w:rsid w:val="000630F8"/>
    <w:rsid w:val="0006310C"/>
    <w:rsid w:val="00063208"/>
    <w:rsid w:val="000632DD"/>
    <w:rsid w:val="00063472"/>
    <w:rsid w:val="000636F1"/>
    <w:rsid w:val="00063CD7"/>
    <w:rsid w:val="00063D62"/>
    <w:rsid w:val="00063E04"/>
    <w:rsid w:val="00063F3C"/>
    <w:rsid w:val="000640C1"/>
    <w:rsid w:val="000641CC"/>
    <w:rsid w:val="000642B6"/>
    <w:rsid w:val="000642FC"/>
    <w:rsid w:val="0006461E"/>
    <w:rsid w:val="00064830"/>
    <w:rsid w:val="00064ADD"/>
    <w:rsid w:val="00064B74"/>
    <w:rsid w:val="00065076"/>
    <w:rsid w:val="000652BB"/>
    <w:rsid w:val="000653D0"/>
    <w:rsid w:val="0006557C"/>
    <w:rsid w:val="000656FF"/>
    <w:rsid w:val="000657DE"/>
    <w:rsid w:val="00065BFB"/>
    <w:rsid w:val="00065D17"/>
    <w:rsid w:val="00065EEA"/>
    <w:rsid w:val="000662EA"/>
    <w:rsid w:val="00066373"/>
    <w:rsid w:val="000665E0"/>
    <w:rsid w:val="000666CA"/>
    <w:rsid w:val="00066735"/>
    <w:rsid w:val="00066E62"/>
    <w:rsid w:val="00066E70"/>
    <w:rsid w:val="00066E7D"/>
    <w:rsid w:val="00066F84"/>
    <w:rsid w:val="00066F86"/>
    <w:rsid w:val="00066FDF"/>
    <w:rsid w:val="00067115"/>
    <w:rsid w:val="00067116"/>
    <w:rsid w:val="000671DE"/>
    <w:rsid w:val="00067546"/>
    <w:rsid w:val="0006782E"/>
    <w:rsid w:val="0006790A"/>
    <w:rsid w:val="00067AF2"/>
    <w:rsid w:val="00067D04"/>
    <w:rsid w:val="00067D8E"/>
    <w:rsid w:val="00067D9E"/>
    <w:rsid w:val="00067DB0"/>
    <w:rsid w:val="00067E99"/>
    <w:rsid w:val="00067EE0"/>
    <w:rsid w:val="000702DC"/>
    <w:rsid w:val="00070580"/>
    <w:rsid w:val="0007072A"/>
    <w:rsid w:val="00070A8E"/>
    <w:rsid w:val="00070B7A"/>
    <w:rsid w:val="00070E6F"/>
    <w:rsid w:val="00070F48"/>
    <w:rsid w:val="000713C1"/>
    <w:rsid w:val="000714B1"/>
    <w:rsid w:val="000714C1"/>
    <w:rsid w:val="00071568"/>
    <w:rsid w:val="000715D2"/>
    <w:rsid w:val="0007180E"/>
    <w:rsid w:val="00071935"/>
    <w:rsid w:val="00071A97"/>
    <w:rsid w:val="00071AAF"/>
    <w:rsid w:val="00071B85"/>
    <w:rsid w:val="00071D9D"/>
    <w:rsid w:val="00072067"/>
    <w:rsid w:val="00072259"/>
    <w:rsid w:val="000723E3"/>
    <w:rsid w:val="000727B5"/>
    <w:rsid w:val="00072835"/>
    <w:rsid w:val="000729B7"/>
    <w:rsid w:val="00072A76"/>
    <w:rsid w:val="00072F06"/>
    <w:rsid w:val="00073099"/>
    <w:rsid w:val="00073483"/>
    <w:rsid w:val="00073558"/>
    <w:rsid w:val="00073649"/>
    <w:rsid w:val="00073A49"/>
    <w:rsid w:val="00073B88"/>
    <w:rsid w:val="00073C88"/>
    <w:rsid w:val="00073CD8"/>
    <w:rsid w:val="00073DE8"/>
    <w:rsid w:val="00074268"/>
    <w:rsid w:val="00074592"/>
    <w:rsid w:val="000749D0"/>
    <w:rsid w:val="00074BA4"/>
    <w:rsid w:val="00074F1B"/>
    <w:rsid w:val="00074F31"/>
    <w:rsid w:val="00074F9D"/>
    <w:rsid w:val="00074FBC"/>
    <w:rsid w:val="000750F9"/>
    <w:rsid w:val="000751DD"/>
    <w:rsid w:val="00075590"/>
    <w:rsid w:val="000756CF"/>
    <w:rsid w:val="000758A4"/>
    <w:rsid w:val="000758D7"/>
    <w:rsid w:val="00075A59"/>
    <w:rsid w:val="00075DCC"/>
    <w:rsid w:val="00075E02"/>
    <w:rsid w:val="00076042"/>
    <w:rsid w:val="00076295"/>
    <w:rsid w:val="000765B4"/>
    <w:rsid w:val="00076707"/>
    <w:rsid w:val="00076C0C"/>
    <w:rsid w:val="00076C95"/>
    <w:rsid w:val="0007718B"/>
    <w:rsid w:val="0007784A"/>
    <w:rsid w:val="000778AC"/>
    <w:rsid w:val="00077BA0"/>
    <w:rsid w:val="00077BE1"/>
    <w:rsid w:val="00077D0E"/>
    <w:rsid w:val="00077D9B"/>
    <w:rsid w:val="00077DC3"/>
    <w:rsid w:val="00080032"/>
    <w:rsid w:val="000804F8"/>
    <w:rsid w:val="00080615"/>
    <w:rsid w:val="0008073D"/>
    <w:rsid w:val="00080775"/>
    <w:rsid w:val="000808D9"/>
    <w:rsid w:val="00080919"/>
    <w:rsid w:val="000809EF"/>
    <w:rsid w:val="00080C24"/>
    <w:rsid w:val="00080C47"/>
    <w:rsid w:val="00080D98"/>
    <w:rsid w:val="00080FD2"/>
    <w:rsid w:val="00080FEA"/>
    <w:rsid w:val="000810A2"/>
    <w:rsid w:val="000811F3"/>
    <w:rsid w:val="00081207"/>
    <w:rsid w:val="0008128E"/>
    <w:rsid w:val="00081453"/>
    <w:rsid w:val="000815D9"/>
    <w:rsid w:val="000815F8"/>
    <w:rsid w:val="00081DA8"/>
    <w:rsid w:val="0008264D"/>
    <w:rsid w:val="00082833"/>
    <w:rsid w:val="0008289F"/>
    <w:rsid w:val="000828D9"/>
    <w:rsid w:val="00082C66"/>
    <w:rsid w:val="00082DBE"/>
    <w:rsid w:val="00083023"/>
    <w:rsid w:val="0008330E"/>
    <w:rsid w:val="0008357D"/>
    <w:rsid w:val="000835F3"/>
    <w:rsid w:val="00083648"/>
    <w:rsid w:val="000838CA"/>
    <w:rsid w:val="00083AF6"/>
    <w:rsid w:val="00083B7D"/>
    <w:rsid w:val="00083D2B"/>
    <w:rsid w:val="00083DE5"/>
    <w:rsid w:val="00083E2F"/>
    <w:rsid w:val="00083EF1"/>
    <w:rsid w:val="0008441D"/>
    <w:rsid w:val="00084C7B"/>
    <w:rsid w:val="00084EA1"/>
    <w:rsid w:val="00084EE0"/>
    <w:rsid w:val="000850DB"/>
    <w:rsid w:val="0008520E"/>
    <w:rsid w:val="00085315"/>
    <w:rsid w:val="00085320"/>
    <w:rsid w:val="0008540D"/>
    <w:rsid w:val="000855A9"/>
    <w:rsid w:val="00085715"/>
    <w:rsid w:val="00085728"/>
    <w:rsid w:val="000858C2"/>
    <w:rsid w:val="000859B2"/>
    <w:rsid w:val="00085C0E"/>
    <w:rsid w:val="00086125"/>
    <w:rsid w:val="00086315"/>
    <w:rsid w:val="00086637"/>
    <w:rsid w:val="000867BD"/>
    <w:rsid w:val="00086A8A"/>
    <w:rsid w:val="00086A98"/>
    <w:rsid w:val="00086B50"/>
    <w:rsid w:val="00086C11"/>
    <w:rsid w:val="00086D46"/>
    <w:rsid w:val="00086FEF"/>
    <w:rsid w:val="0008721B"/>
    <w:rsid w:val="0008733D"/>
    <w:rsid w:val="00087512"/>
    <w:rsid w:val="000875A6"/>
    <w:rsid w:val="00087694"/>
    <w:rsid w:val="0008785A"/>
    <w:rsid w:val="00087ECD"/>
    <w:rsid w:val="000900DB"/>
    <w:rsid w:val="00090210"/>
    <w:rsid w:val="00090580"/>
    <w:rsid w:val="00090832"/>
    <w:rsid w:val="0009097E"/>
    <w:rsid w:val="00090B19"/>
    <w:rsid w:val="00090C24"/>
    <w:rsid w:val="00090C2A"/>
    <w:rsid w:val="00090EA0"/>
    <w:rsid w:val="00091198"/>
    <w:rsid w:val="0009144C"/>
    <w:rsid w:val="000918C6"/>
    <w:rsid w:val="000918F6"/>
    <w:rsid w:val="00091BBD"/>
    <w:rsid w:val="00091DE9"/>
    <w:rsid w:val="00091E54"/>
    <w:rsid w:val="00092164"/>
    <w:rsid w:val="00092361"/>
    <w:rsid w:val="00092395"/>
    <w:rsid w:val="000923AE"/>
    <w:rsid w:val="000924B8"/>
    <w:rsid w:val="000925B3"/>
    <w:rsid w:val="00092A0B"/>
    <w:rsid w:val="00093006"/>
    <w:rsid w:val="00093123"/>
    <w:rsid w:val="000932B0"/>
    <w:rsid w:val="0009333A"/>
    <w:rsid w:val="00093341"/>
    <w:rsid w:val="000934FB"/>
    <w:rsid w:val="00093768"/>
    <w:rsid w:val="00093896"/>
    <w:rsid w:val="00093B6E"/>
    <w:rsid w:val="00093C0B"/>
    <w:rsid w:val="00093D54"/>
    <w:rsid w:val="000940FD"/>
    <w:rsid w:val="00094397"/>
    <w:rsid w:val="0009450A"/>
    <w:rsid w:val="000947D5"/>
    <w:rsid w:val="00094803"/>
    <w:rsid w:val="00094B2A"/>
    <w:rsid w:val="00094B7A"/>
    <w:rsid w:val="00094E27"/>
    <w:rsid w:val="00094EC6"/>
    <w:rsid w:val="00095274"/>
    <w:rsid w:val="000956CF"/>
    <w:rsid w:val="000956EE"/>
    <w:rsid w:val="000959E4"/>
    <w:rsid w:val="00095AC2"/>
    <w:rsid w:val="00095D93"/>
    <w:rsid w:val="000961E9"/>
    <w:rsid w:val="000962D0"/>
    <w:rsid w:val="0009634C"/>
    <w:rsid w:val="000963FE"/>
    <w:rsid w:val="00096462"/>
    <w:rsid w:val="000964D4"/>
    <w:rsid w:val="00096A03"/>
    <w:rsid w:val="00096A63"/>
    <w:rsid w:val="00096ADA"/>
    <w:rsid w:val="00096F14"/>
    <w:rsid w:val="00096F4D"/>
    <w:rsid w:val="000971F5"/>
    <w:rsid w:val="000972A3"/>
    <w:rsid w:val="000975BB"/>
    <w:rsid w:val="000978BF"/>
    <w:rsid w:val="00097FF6"/>
    <w:rsid w:val="000A037F"/>
    <w:rsid w:val="000A039E"/>
    <w:rsid w:val="000A08E5"/>
    <w:rsid w:val="000A0C27"/>
    <w:rsid w:val="000A0F09"/>
    <w:rsid w:val="000A1132"/>
    <w:rsid w:val="000A13FB"/>
    <w:rsid w:val="000A15C1"/>
    <w:rsid w:val="000A16F8"/>
    <w:rsid w:val="000A1760"/>
    <w:rsid w:val="000A1775"/>
    <w:rsid w:val="000A1BFE"/>
    <w:rsid w:val="000A1CB0"/>
    <w:rsid w:val="000A1CF0"/>
    <w:rsid w:val="000A2194"/>
    <w:rsid w:val="000A21CC"/>
    <w:rsid w:val="000A2330"/>
    <w:rsid w:val="000A2383"/>
    <w:rsid w:val="000A2797"/>
    <w:rsid w:val="000A2C05"/>
    <w:rsid w:val="000A2DA9"/>
    <w:rsid w:val="000A30BD"/>
    <w:rsid w:val="000A3114"/>
    <w:rsid w:val="000A31A1"/>
    <w:rsid w:val="000A31F7"/>
    <w:rsid w:val="000A3301"/>
    <w:rsid w:val="000A351F"/>
    <w:rsid w:val="000A357F"/>
    <w:rsid w:val="000A3981"/>
    <w:rsid w:val="000A3C24"/>
    <w:rsid w:val="000A4166"/>
    <w:rsid w:val="000A42D9"/>
    <w:rsid w:val="000A43C7"/>
    <w:rsid w:val="000A44B0"/>
    <w:rsid w:val="000A4607"/>
    <w:rsid w:val="000A4857"/>
    <w:rsid w:val="000A4CAD"/>
    <w:rsid w:val="000A4E14"/>
    <w:rsid w:val="000A5053"/>
    <w:rsid w:val="000A51A3"/>
    <w:rsid w:val="000A524B"/>
    <w:rsid w:val="000A52E7"/>
    <w:rsid w:val="000A55B3"/>
    <w:rsid w:val="000A5D16"/>
    <w:rsid w:val="000A5D32"/>
    <w:rsid w:val="000A5E7D"/>
    <w:rsid w:val="000A5F37"/>
    <w:rsid w:val="000A61E0"/>
    <w:rsid w:val="000A62B9"/>
    <w:rsid w:val="000A6381"/>
    <w:rsid w:val="000A6391"/>
    <w:rsid w:val="000A64D2"/>
    <w:rsid w:val="000A668D"/>
    <w:rsid w:val="000A680B"/>
    <w:rsid w:val="000A6D54"/>
    <w:rsid w:val="000A6DDA"/>
    <w:rsid w:val="000A70C1"/>
    <w:rsid w:val="000A73D8"/>
    <w:rsid w:val="000A7587"/>
    <w:rsid w:val="000A7690"/>
    <w:rsid w:val="000A76A3"/>
    <w:rsid w:val="000A79B2"/>
    <w:rsid w:val="000A7CD4"/>
    <w:rsid w:val="000A7D06"/>
    <w:rsid w:val="000B00AA"/>
    <w:rsid w:val="000B010C"/>
    <w:rsid w:val="000B0229"/>
    <w:rsid w:val="000B024C"/>
    <w:rsid w:val="000B04E8"/>
    <w:rsid w:val="000B0668"/>
    <w:rsid w:val="000B06A7"/>
    <w:rsid w:val="000B0872"/>
    <w:rsid w:val="000B08F5"/>
    <w:rsid w:val="000B093D"/>
    <w:rsid w:val="000B1330"/>
    <w:rsid w:val="000B1534"/>
    <w:rsid w:val="000B1999"/>
    <w:rsid w:val="000B1BCF"/>
    <w:rsid w:val="000B1C1B"/>
    <w:rsid w:val="000B1D33"/>
    <w:rsid w:val="000B20CE"/>
    <w:rsid w:val="000B2108"/>
    <w:rsid w:val="000B21EF"/>
    <w:rsid w:val="000B237B"/>
    <w:rsid w:val="000B24F1"/>
    <w:rsid w:val="000B2778"/>
    <w:rsid w:val="000B287B"/>
    <w:rsid w:val="000B2A4F"/>
    <w:rsid w:val="000B2C1D"/>
    <w:rsid w:val="000B2E36"/>
    <w:rsid w:val="000B33EB"/>
    <w:rsid w:val="000B3A5C"/>
    <w:rsid w:val="000B3BD0"/>
    <w:rsid w:val="000B3C46"/>
    <w:rsid w:val="000B3C7C"/>
    <w:rsid w:val="000B3CC5"/>
    <w:rsid w:val="000B3F1B"/>
    <w:rsid w:val="000B4147"/>
    <w:rsid w:val="000B4347"/>
    <w:rsid w:val="000B43A3"/>
    <w:rsid w:val="000B44D6"/>
    <w:rsid w:val="000B45EF"/>
    <w:rsid w:val="000B4B18"/>
    <w:rsid w:val="000B4C2D"/>
    <w:rsid w:val="000B4E7A"/>
    <w:rsid w:val="000B5073"/>
    <w:rsid w:val="000B52AE"/>
    <w:rsid w:val="000B5371"/>
    <w:rsid w:val="000B5511"/>
    <w:rsid w:val="000B57DB"/>
    <w:rsid w:val="000B57F4"/>
    <w:rsid w:val="000B5804"/>
    <w:rsid w:val="000B59AE"/>
    <w:rsid w:val="000B5A30"/>
    <w:rsid w:val="000B5AAD"/>
    <w:rsid w:val="000B6153"/>
    <w:rsid w:val="000B629D"/>
    <w:rsid w:val="000B6357"/>
    <w:rsid w:val="000B6554"/>
    <w:rsid w:val="000B67C5"/>
    <w:rsid w:val="000B6840"/>
    <w:rsid w:val="000B6996"/>
    <w:rsid w:val="000B6B21"/>
    <w:rsid w:val="000B6B2B"/>
    <w:rsid w:val="000B6CC7"/>
    <w:rsid w:val="000B6D0C"/>
    <w:rsid w:val="000B6F07"/>
    <w:rsid w:val="000B6F39"/>
    <w:rsid w:val="000B6F61"/>
    <w:rsid w:val="000B740F"/>
    <w:rsid w:val="000B74E4"/>
    <w:rsid w:val="000B751C"/>
    <w:rsid w:val="000B7616"/>
    <w:rsid w:val="000B7C0F"/>
    <w:rsid w:val="000B7C1B"/>
    <w:rsid w:val="000B7CA5"/>
    <w:rsid w:val="000B7D20"/>
    <w:rsid w:val="000B7D93"/>
    <w:rsid w:val="000B7E8C"/>
    <w:rsid w:val="000B7FE4"/>
    <w:rsid w:val="000C0078"/>
    <w:rsid w:val="000C0088"/>
    <w:rsid w:val="000C02A5"/>
    <w:rsid w:val="000C0371"/>
    <w:rsid w:val="000C0381"/>
    <w:rsid w:val="000C03A8"/>
    <w:rsid w:val="000C04BE"/>
    <w:rsid w:val="000C050F"/>
    <w:rsid w:val="000C0537"/>
    <w:rsid w:val="000C0628"/>
    <w:rsid w:val="000C0A35"/>
    <w:rsid w:val="000C0A52"/>
    <w:rsid w:val="000C0D97"/>
    <w:rsid w:val="000C0EC9"/>
    <w:rsid w:val="000C0ED3"/>
    <w:rsid w:val="000C10C4"/>
    <w:rsid w:val="000C1337"/>
    <w:rsid w:val="000C1374"/>
    <w:rsid w:val="000C146D"/>
    <w:rsid w:val="000C16E1"/>
    <w:rsid w:val="000C17F0"/>
    <w:rsid w:val="000C1924"/>
    <w:rsid w:val="000C19CB"/>
    <w:rsid w:val="000C1D09"/>
    <w:rsid w:val="000C1FF7"/>
    <w:rsid w:val="000C208C"/>
    <w:rsid w:val="000C2173"/>
    <w:rsid w:val="000C248A"/>
    <w:rsid w:val="000C249C"/>
    <w:rsid w:val="000C2544"/>
    <w:rsid w:val="000C27DB"/>
    <w:rsid w:val="000C29D7"/>
    <w:rsid w:val="000C2B3C"/>
    <w:rsid w:val="000C2B5D"/>
    <w:rsid w:val="000C2E74"/>
    <w:rsid w:val="000C2EEE"/>
    <w:rsid w:val="000C2F2C"/>
    <w:rsid w:val="000C2F8F"/>
    <w:rsid w:val="000C2FE8"/>
    <w:rsid w:val="000C3028"/>
    <w:rsid w:val="000C3334"/>
    <w:rsid w:val="000C356B"/>
    <w:rsid w:val="000C3578"/>
    <w:rsid w:val="000C35F2"/>
    <w:rsid w:val="000C3624"/>
    <w:rsid w:val="000C3736"/>
    <w:rsid w:val="000C39EB"/>
    <w:rsid w:val="000C3B5C"/>
    <w:rsid w:val="000C3BDF"/>
    <w:rsid w:val="000C3C12"/>
    <w:rsid w:val="000C3D05"/>
    <w:rsid w:val="000C3E2D"/>
    <w:rsid w:val="000C3F59"/>
    <w:rsid w:val="000C41E1"/>
    <w:rsid w:val="000C466F"/>
    <w:rsid w:val="000C48C6"/>
    <w:rsid w:val="000C4918"/>
    <w:rsid w:val="000C4BD8"/>
    <w:rsid w:val="000C4C53"/>
    <w:rsid w:val="000C4D29"/>
    <w:rsid w:val="000C4D7A"/>
    <w:rsid w:val="000C4D96"/>
    <w:rsid w:val="000C5055"/>
    <w:rsid w:val="000C52AC"/>
    <w:rsid w:val="000C5629"/>
    <w:rsid w:val="000C5B72"/>
    <w:rsid w:val="000C5BF3"/>
    <w:rsid w:val="000C5EA5"/>
    <w:rsid w:val="000C61A7"/>
    <w:rsid w:val="000C6406"/>
    <w:rsid w:val="000C65C8"/>
    <w:rsid w:val="000C66CF"/>
    <w:rsid w:val="000C6744"/>
    <w:rsid w:val="000C6ABC"/>
    <w:rsid w:val="000C74BF"/>
    <w:rsid w:val="000C77B3"/>
    <w:rsid w:val="000C7B11"/>
    <w:rsid w:val="000C7C47"/>
    <w:rsid w:val="000C7CE0"/>
    <w:rsid w:val="000D015E"/>
    <w:rsid w:val="000D0457"/>
    <w:rsid w:val="000D074D"/>
    <w:rsid w:val="000D08E6"/>
    <w:rsid w:val="000D0B66"/>
    <w:rsid w:val="000D0FA1"/>
    <w:rsid w:val="000D1042"/>
    <w:rsid w:val="000D11D9"/>
    <w:rsid w:val="000D12BF"/>
    <w:rsid w:val="000D1985"/>
    <w:rsid w:val="000D1CAE"/>
    <w:rsid w:val="000D1F8C"/>
    <w:rsid w:val="000D1FE7"/>
    <w:rsid w:val="000D2026"/>
    <w:rsid w:val="000D2042"/>
    <w:rsid w:val="000D2052"/>
    <w:rsid w:val="000D20E7"/>
    <w:rsid w:val="000D2166"/>
    <w:rsid w:val="000D2429"/>
    <w:rsid w:val="000D249E"/>
    <w:rsid w:val="000D2745"/>
    <w:rsid w:val="000D27D1"/>
    <w:rsid w:val="000D2860"/>
    <w:rsid w:val="000D296C"/>
    <w:rsid w:val="000D29D6"/>
    <w:rsid w:val="000D2D04"/>
    <w:rsid w:val="000D2F6F"/>
    <w:rsid w:val="000D320D"/>
    <w:rsid w:val="000D320F"/>
    <w:rsid w:val="000D3462"/>
    <w:rsid w:val="000D351E"/>
    <w:rsid w:val="000D35F5"/>
    <w:rsid w:val="000D364B"/>
    <w:rsid w:val="000D3B53"/>
    <w:rsid w:val="000D3C75"/>
    <w:rsid w:val="000D3DAF"/>
    <w:rsid w:val="000D3DB1"/>
    <w:rsid w:val="000D3E88"/>
    <w:rsid w:val="000D3E8D"/>
    <w:rsid w:val="000D4320"/>
    <w:rsid w:val="000D479A"/>
    <w:rsid w:val="000D48EF"/>
    <w:rsid w:val="000D49DB"/>
    <w:rsid w:val="000D4B42"/>
    <w:rsid w:val="000D4E42"/>
    <w:rsid w:val="000D5131"/>
    <w:rsid w:val="000D5224"/>
    <w:rsid w:val="000D538E"/>
    <w:rsid w:val="000D58A4"/>
    <w:rsid w:val="000D5B55"/>
    <w:rsid w:val="000D5C29"/>
    <w:rsid w:val="000D5D25"/>
    <w:rsid w:val="000D5E77"/>
    <w:rsid w:val="000D5E7A"/>
    <w:rsid w:val="000D60CD"/>
    <w:rsid w:val="000D63F3"/>
    <w:rsid w:val="000D6528"/>
    <w:rsid w:val="000D653A"/>
    <w:rsid w:val="000D6835"/>
    <w:rsid w:val="000D683E"/>
    <w:rsid w:val="000D6B3B"/>
    <w:rsid w:val="000D6CB4"/>
    <w:rsid w:val="000D6CF2"/>
    <w:rsid w:val="000D7472"/>
    <w:rsid w:val="000D7652"/>
    <w:rsid w:val="000D7664"/>
    <w:rsid w:val="000D79AF"/>
    <w:rsid w:val="000D7A80"/>
    <w:rsid w:val="000D7B52"/>
    <w:rsid w:val="000D7E35"/>
    <w:rsid w:val="000E0006"/>
    <w:rsid w:val="000E0057"/>
    <w:rsid w:val="000E042B"/>
    <w:rsid w:val="000E04D1"/>
    <w:rsid w:val="000E080B"/>
    <w:rsid w:val="000E09DA"/>
    <w:rsid w:val="000E12CA"/>
    <w:rsid w:val="000E1474"/>
    <w:rsid w:val="000E15DF"/>
    <w:rsid w:val="000E16AD"/>
    <w:rsid w:val="000E1DA5"/>
    <w:rsid w:val="000E1E79"/>
    <w:rsid w:val="000E1EF6"/>
    <w:rsid w:val="000E1F84"/>
    <w:rsid w:val="000E200E"/>
    <w:rsid w:val="000E216C"/>
    <w:rsid w:val="000E22D3"/>
    <w:rsid w:val="000E252A"/>
    <w:rsid w:val="000E27B5"/>
    <w:rsid w:val="000E2B70"/>
    <w:rsid w:val="000E2BB5"/>
    <w:rsid w:val="000E2C74"/>
    <w:rsid w:val="000E2DEC"/>
    <w:rsid w:val="000E2FF3"/>
    <w:rsid w:val="000E3090"/>
    <w:rsid w:val="000E35F2"/>
    <w:rsid w:val="000E37AF"/>
    <w:rsid w:val="000E3CCF"/>
    <w:rsid w:val="000E3D95"/>
    <w:rsid w:val="000E3F8E"/>
    <w:rsid w:val="000E3FA6"/>
    <w:rsid w:val="000E42CB"/>
    <w:rsid w:val="000E4305"/>
    <w:rsid w:val="000E440B"/>
    <w:rsid w:val="000E45AB"/>
    <w:rsid w:val="000E45FB"/>
    <w:rsid w:val="000E46CC"/>
    <w:rsid w:val="000E484B"/>
    <w:rsid w:val="000E4960"/>
    <w:rsid w:val="000E4E4F"/>
    <w:rsid w:val="000E503D"/>
    <w:rsid w:val="000E50C3"/>
    <w:rsid w:val="000E5239"/>
    <w:rsid w:val="000E5780"/>
    <w:rsid w:val="000E58E9"/>
    <w:rsid w:val="000E59D1"/>
    <w:rsid w:val="000E5A10"/>
    <w:rsid w:val="000E5BF0"/>
    <w:rsid w:val="000E5C6F"/>
    <w:rsid w:val="000E5D13"/>
    <w:rsid w:val="000E5DED"/>
    <w:rsid w:val="000E613C"/>
    <w:rsid w:val="000E629D"/>
    <w:rsid w:val="000E63CE"/>
    <w:rsid w:val="000E6679"/>
    <w:rsid w:val="000E6781"/>
    <w:rsid w:val="000E6D5F"/>
    <w:rsid w:val="000E6E79"/>
    <w:rsid w:val="000E6F4F"/>
    <w:rsid w:val="000E704D"/>
    <w:rsid w:val="000E70F9"/>
    <w:rsid w:val="000E70FF"/>
    <w:rsid w:val="000E720C"/>
    <w:rsid w:val="000E720F"/>
    <w:rsid w:val="000E72AE"/>
    <w:rsid w:val="000E7451"/>
    <w:rsid w:val="000E790F"/>
    <w:rsid w:val="000E79CF"/>
    <w:rsid w:val="000E7AA0"/>
    <w:rsid w:val="000E7D71"/>
    <w:rsid w:val="000E7D95"/>
    <w:rsid w:val="000E7E51"/>
    <w:rsid w:val="000F0191"/>
    <w:rsid w:val="000F0287"/>
    <w:rsid w:val="000F046D"/>
    <w:rsid w:val="000F048A"/>
    <w:rsid w:val="000F0602"/>
    <w:rsid w:val="000F06FB"/>
    <w:rsid w:val="000F095D"/>
    <w:rsid w:val="000F0A59"/>
    <w:rsid w:val="000F0C83"/>
    <w:rsid w:val="000F0F6B"/>
    <w:rsid w:val="000F0FEB"/>
    <w:rsid w:val="000F1014"/>
    <w:rsid w:val="000F1428"/>
    <w:rsid w:val="000F14F3"/>
    <w:rsid w:val="000F1569"/>
    <w:rsid w:val="000F1741"/>
    <w:rsid w:val="000F18FC"/>
    <w:rsid w:val="000F1AD3"/>
    <w:rsid w:val="000F1D52"/>
    <w:rsid w:val="000F1D80"/>
    <w:rsid w:val="000F2130"/>
    <w:rsid w:val="000F2227"/>
    <w:rsid w:val="000F241F"/>
    <w:rsid w:val="000F2738"/>
    <w:rsid w:val="000F28AA"/>
    <w:rsid w:val="000F29EB"/>
    <w:rsid w:val="000F2A35"/>
    <w:rsid w:val="000F2DB0"/>
    <w:rsid w:val="000F3068"/>
    <w:rsid w:val="000F30EC"/>
    <w:rsid w:val="000F3535"/>
    <w:rsid w:val="000F3AE5"/>
    <w:rsid w:val="000F3FC2"/>
    <w:rsid w:val="000F4172"/>
    <w:rsid w:val="000F4620"/>
    <w:rsid w:val="000F46C0"/>
    <w:rsid w:val="000F49AB"/>
    <w:rsid w:val="000F49B5"/>
    <w:rsid w:val="000F4AAB"/>
    <w:rsid w:val="000F4F34"/>
    <w:rsid w:val="000F5037"/>
    <w:rsid w:val="000F53BF"/>
    <w:rsid w:val="000F550C"/>
    <w:rsid w:val="000F5520"/>
    <w:rsid w:val="000F577A"/>
    <w:rsid w:val="000F5913"/>
    <w:rsid w:val="000F5A6E"/>
    <w:rsid w:val="000F5AB1"/>
    <w:rsid w:val="000F5C9D"/>
    <w:rsid w:val="000F5CD5"/>
    <w:rsid w:val="000F6004"/>
    <w:rsid w:val="000F61CA"/>
    <w:rsid w:val="000F62EF"/>
    <w:rsid w:val="000F6C44"/>
    <w:rsid w:val="000F6DB5"/>
    <w:rsid w:val="000F6DC8"/>
    <w:rsid w:val="000F6EF8"/>
    <w:rsid w:val="000F6FEF"/>
    <w:rsid w:val="000F708C"/>
    <w:rsid w:val="000F7334"/>
    <w:rsid w:val="000F750E"/>
    <w:rsid w:val="000F7678"/>
    <w:rsid w:val="000F76C0"/>
    <w:rsid w:val="000F78F9"/>
    <w:rsid w:val="000F7A55"/>
    <w:rsid w:val="000F7D51"/>
    <w:rsid w:val="000F7D9C"/>
    <w:rsid w:val="000F7F2D"/>
    <w:rsid w:val="001001BD"/>
    <w:rsid w:val="001001DD"/>
    <w:rsid w:val="00100320"/>
    <w:rsid w:val="00100376"/>
    <w:rsid w:val="0010038A"/>
    <w:rsid w:val="00100546"/>
    <w:rsid w:val="00100554"/>
    <w:rsid w:val="001005E7"/>
    <w:rsid w:val="0010089A"/>
    <w:rsid w:val="001008A3"/>
    <w:rsid w:val="001008AA"/>
    <w:rsid w:val="001008C9"/>
    <w:rsid w:val="0010094C"/>
    <w:rsid w:val="00100AA6"/>
    <w:rsid w:val="00100E7D"/>
    <w:rsid w:val="00101831"/>
    <w:rsid w:val="00101AB2"/>
    <w:rsid w:val="00101CD7"/>
    <w:rsid w:val="00101DEB"/>
    <w:rsid w:val="00102398"/>
    <w:rsid w:val="00102399"/>
    <w:rsid w:val="001026CB"/>
    <w:rsid w:val="001027EF"/>
    <w:rsid w:val="00102883"/>
    <w:rsid w:val="00102B4C"/>
    <w:rsid w:val="001031A4"/>
    <w:rsid w:val="00103426"/>
    <w:rsid w:val="001036AA"/>
    <w:rsid w:val="0010372D"/>
    <w:rsid w:val="00103788"/>
    <w:rsid w:val="00103C2A"/>
    <w:rsid w:val="00103E89"/>
    <w:rsid w:val="00103F67"/>
    <w:rsid w:val="0010432E"/>
    <w:rsid w:val="001044FA"/>
    <w:rsid w:val="00104583"/>
    <w:rsid w:val="0010463E"/>
    <w:rsid w:val="001047AC"/>
    <w:rsid w:val="001047C5"/>
    <w:rsid w:val="00104EC8"/>
    <w:rsid w:val="001052B8"/>
    <w:rsid w:val="00105513"/>
    <w:rsid w:val="00105554"/>
    <w:rsid w:val="00105849"/>
    <w:rsid w:val="001058FB"/>
    <w:rsid w:val="00105A66"/>
    <w:rsid w:val="00106072"/>
    <w:rsid w:val="0010649D"/>
    <w:rsid w:val="001068E5"/>
    <w:rsid w:val="00106975"/>
    <w:rsid w:val="00106A3E"/>
    <w:rsid w:val="00106AD1"/>
    <w:rsid w:val="00106B42"/>
    <w:rsid w:val="00106C5F"/>
    <w:rsid w:val="00106EE5"/>
    <w:rsid w:val="00106FB1"/>
    <w:rsid w:val="0010725C"/>
    <w:rsid w:val="00107331"/>
    <w:rsid w:val="0010735C"/>
    <w:rsid w:val="00107580"/>
    <w:rsid w:val="001076F1"/>
    <w:rsid w:val="001077E8"/>
    <w:rsid w:val="00107870"/>
    <w:rsid w:val="001100A9"/>
    <w:rsid w:val="001100C0"/>
    <w:rsid w:val="00110189"/>
    <w:rsid w:val="00110343"/>
    <w:rsid w:val="001103E7"/>
    <w:rsid w:val="001105F8"/>
    <w:rsid w:val="00110972"/>
    <w:rsid w:val="00110A80"/>
    <w:rsid w:val="00110C45"/>
    <w:rsid w:val="00111034"/>
    <w:rsid w:val="0011128E"/>
    <w:rsid w:val="001113B7"/>
    <w:rsid w:val="001116C7"/>
    <w:rsid w:val="001117CB"/>
    <w:rsid w:val="00111848"/>
    <w:rsid w:val="00111987"/>
    <w:rsid w:val="001119C2"/>
    <w:rsid w:val="00111CFE"/>
    <w:rsid w:val="00111D61"/>
    <w:rsid w:val="00111F92"/>
    <w:rsid w:val="00112039"/>
    <w:rsid w:val="0011214B"/>
    <w:rsid w:val="00112154"/>
    <w:rsid w:val="001121BC"/>
    <w:rsid w:val="001121EA"/>
    <w:rsid w:val="001122A6"/>
    <w:rsid w:val="001122E3"/>
    <w:rsid w:val="0011236C"/>
    <w:rsid w:val="0011250E"/>
    <w:rsid w:val="0011265F"/>
    <w:rsid w:val="001126D4"/>
    <w:rsid w:val="00112794"/>
    <w:rsid w:val="00112A6A"/>
    <w:rsid w:val="00112B29"/>
    <w:rsid w:val="00112B79"/>
    <w:rsid w:val="00112D3E"/>
    <w:rsid w:val="00112E2B"/>
    <w:rsid w:val="00112E8E"/>
    <w:rsid w:val="0011302D"/>
    <w:rsid w:val="001132A6"/>
    <w:rsid w:val="001132C4"/>
    <w:rsid w:val="00113457"/>
    <w:rsid w:val="00113958"/>
    <w:rsid w:val="00113A1A"/>
    <w:rsid w:val="00113AC1"/>
    <w:rsid w:val="00113C11"/>
    <w:rsid w:val="00113C4D"/>
    <w:rsid w:val="00113C64"/>
    <w:rsid w:val="00113E93"/>
    <w:rsid w:val="00113F2C"/>
    <w:rsid w:val="00114161"/>
    <w:rsid w:val="001141B2"/>
    <w:rsid w:val="0011421D"/>
    <w:rsid w:val="00114247"/>
    <w:rsid w:val="0011442B"/>
    <w:rsid w:val="001145D5"/>
    <w:rsid w:val="0011484D"/>
    <w:rsid w:val="00114850"/>
    <w:rsid w:val="00114851"/>
    <w:rsid w:val="001148C3"/>
    <w:rsid w:val="00114FA7"/>
    <w:rsid w:val="001151DC"/>
    <w:rsid w:val="0011527D"/>
    <w:rsid w:val="001153A1"/>
    <w:rsid w:val="00115683"/>
    <w:rsid w:val="00115805"/>
    <w:rsid w:val="0011584C"/>
    <w:rsid w:val="00115D04"/>
    <w:rsid w:val="00115D18"/>
    <w:rsid w:val="001160E6"/>
    <w:rsid w:val="001163F1"/>
    <w:rsid w:val="00116459"/>
    <w:rsid w:val="0011668E"/>
    <w:rsid w:val="0011698D"/>
    <w:rsid w:val="00116A67"/>
    <w:rsid w:val="00116D7B"/>
    <w:rsid w:val="00116EE1"/>
    <w:rsid w:val="0011708C"/>
    <w:rsid w:val="00117097"/>
    <w:rsid w:val="0011719D"/>
    <w:rsid w:val="001174C5"/>
    <w:rsid w:val="00117647"/>
    <w:rsid w:val="001178BB"/>
    <w:rsid w:val="00117A37"/>
    <w:rsid w:val="00117AA5"/>
    <w:rsid w:val="00117BC2"/>
    <w:rsid w:val="00117D1A"/>
    <w:rsid w:val="00117E63"/>
    <w:rsid w:val="00117FF0"/>
    <w:rsid w:val="00120379"/>
    <w:rsid w:val="0012041E"/>
    <w:rsid w:val="00120632"/>
    <w:rsid w:val="00120670"/>
    <w:rsid w:val="001206DC"/>
    <w:rsid w:val="0012117C"/>
    <w:rsid w:val="0012147F"/>
    <w:rsid w:val="0012149C"/>
    <w:rsid w:val="00121560"/>
    <w:rsid w:val="00121808"/>
    <w:rsid w:val="00121D22"/>
    <w:rsid w:val="00122320"/>
    <w:rsid w:val="001224A3"/>
    <w:rsid w:val="00122560"/>
    <w:rsid w:val="001226C3"/>
    <w:rsid w:val="00122CAE"/>
    <w:rsid w:val="00123180"/>
    <w:rsid w:val="0012341D"/>
    <w:rsid w:val="001235CB"/>
    <w:rsid w:val="0012368D"/>
    <w:rsid w:val="001236E1"/>
    <w:rsid w:val="00123DFB"/>
    <w:rsid w:val="00123F82"/>
    <w:rsid w:val="00123FA8"/>
    <w:rsid w:val="001240D3"/>
    <w:rsid w:val="00124256"/>
    <w:rsid w:val="00124337"/>
    <w:rsid w:val="00124CDE"/>
    <w:rsid w:val="00124F9F"/>
    <w:rsid w:val="00124FDD"/>
    <w:rsid w:val="00125618"/>
    <w:rsid w:val="00125898"/>
    <w:rsid w:val="001258A3"/>
    <w:rsid w:val="00125DC6"/>
    <w:rsid w:val="00125E51"/>
    <w:rsid w:val="00126120"/>
    <w:rsid w:val="001261DA"/>
    <w:rsid w:val="001262C2"/>
    <w:rsid w:val="001263BC"/>
    <w:rsid w:val="00126401"/>
    <w:rsid w:val="00126495"/>
    <w:rsid w:val="00126559"/>
    <w:rsid w:val="00126BA1"/>
    <w:rsid w:val="00126BCE"/>
    <w:rsid w:val="00126D04"/>
    <w:rsid w:val="00126E01"/>
    <w:rsid w:val="0012709B"/>
    <w:rsid w:val="001273A2"/>
    <w:rsid w:val="001273D2"/>
    <w:rsid w:val="001273EE"/>
    <w:rsid w:val="001274ED"/>
    <w:rsid w:val="001275FA"/>
    <w:rsid w:val="00127AF1"/>
    <w:rsid w:val="00127B46"/>
    <w:rsid w:val="00127D55"/>
    <w:rsid w:val="00127F58"/>
    <w:rsid w:val="0013011C"/>
    <w:rsid w:val="0013027A"/>
    <w:rsid w:val="00130424"/>
    <w:rsid w:val="001305A6"/>
    <w:rsid w:val="00130ADB"/>
    <w:rsid w:val="00130B8D"/>
    <w:rsid w:val="00130CB7"/>
    <w:rsid w:val="00130EA1"/>
    <w:rsid w:val="00130F4E"/>
    <w:rsid w:val="0013129D"/>
    <w:rsid w:val="001316BB"/>
    <w:rsid w:val="00131A24"/>
    <w:rsid w:val="00131AE8"/>
    <w:rsid w:val="00131C11"/>
    <w:rsid w:val="00131E92"/>
    <w:rsid w:val="0013220A"/>
    <w:rsid w:val="001323D8"/>
    <w:rsid w:val="001328C4"/>
    <w:rsid w:val="00132C83"/>
    <w:rsid w:val="00132C8C"/>
    <w:rsid w:val="00132F64"/>
    <w:rsid w:val="00132FB0"/>
    <w:rsid w:val="0013300E"/>
    <w:rsid w:val="0013322E"/>
    <w:rsid w:val="0013339A"/>
    <w:rsid w:val="001336A4"/>
    <w:rsid w:val="001337AB"/>
    <w:rsid w:val="001337C6"/>
    <w:rsid w:val="00133921"/>
    <w:rsid w:val="00133954"/>
    <w:rsid w:val="0013395B"/>
    <w:rsid w:val="00133C66"/>
    <w:rsid w:val="00133F2E"/>
    <w:rsid w:val="00133FC4"/>
    <w:rsid w:val="001341B8"/>
    <w:rsid w:val="00134332"/>
    <w:rsid w:val="001343C4"/>
    <w:rsid w:val="00134702"/>
    <w:rsid w:val="001347B5"/>
    <w:rsid w:val="001347EC"/>
    <w:rsid w:val="00134B55"/>
    <w:rsid w:val="00134BAE"/>
    <w:rsid w:val="00134D2B"/>
    <w:rsid w:val="00134D80"/>
    <w:rsid w:val="00134E0D"/>
    <w:rsid w:val="00134E70"/>
    <w:rsid w:val="00134E7D"/>
    <w:rsid w:val="00134F80"/>
    <w:rsid w:val="001350CE"/>
    <w:rsid w:val="00135923"/>
    <w:rsid w:val="00135AC4"/>
    <w:rsid w:val="00135B79"/>
    <w:rsid w:val="00135E77"/>
    <w:rsid w:val="00135E8C"/>
    <w:rsid w:val="00135F5A"/>
    <w:rsid w:val="001361CF"/>
    <w:rsid w:val="0013638B"/>
    <w:rsid w:val="00136420"/>
    <w:rsid w:val="0013658D"/>
    <w:rsid w:val="001365CB"/>
    <w:rsid w:val="0013660C"/>
    <w:rsid w:val="0013679A"/>
    <w:rsid w:val="001368A8"/>
    <w:rsid w:val="00136DDF"/>
    <w:rsid w:val="00136DF8"/>
    <w:rsid w:val="00136F08"/>
    <w:rsid w:val="00136F28"/>
    <w:rsid w:val="00136F7F"/>
    <w:rsid w:val="001372FA"/>
    <w:rsid w:val="0013744F"/>
    <w:rsid w:val="0013753F"/>
    <w:rsid w:val="001375B8"/>
    <w:rsid w:val="0013783A"/>
    <w:rsid w:val="00137A28"/>
    <w:rsid w:val="00137D44"/>
    <w:rsid w:val="00137E86"/>
    <w:rsid w:val="0014017E"/>
    <w:rsid w:val="0014025D"/>
    <w:rsid w:val="001403D2"/>
    <w:rsid w:val="0014079B"/>
    <w:rsid w:val="00140A34"/>
    <w:rsid w:val="00140B84"/>
    <w:rsid w:val="00140BC0"/>
    <w:rsid w:val="00140C85"/>
    <w:rsid w:val="00140F19"/>
    <w:rsid w:val="00140FCE"/>
    <w:rsid w:val="001412F1"/>
    <w:rsid w:val="0014169F"/>
    <w:rsid w:val="0014193F"/>
    <w:rsid w:val="00141985"/>
    <w:rsid w:val="00141988"/>
    <w:rsid w:val="001419AB"/>
    <w:rsid w:val="00141BF9"/>
    <w:rsid w:val="00141C86"/>
    <w:rsid w:val="00141F9B"/>
    <w:rsid w:val="00142112"/>
    <w:rsid w:val="001421D5"/>
    <w:rsid w:val="0014259F"/>
    <w:rsid w:val="00142721"/>
    <w:rsid w:val="00142A20"/>
    <w:rsid w:val="00142AC2"/>
    <w:rsid w:val="00142DC4"/>
    <w:rsid w:val="00142EA3"/>
    <w:rsid w:val="00142F0B"/>
    <w:rsid w:val="00142F62"/>
    <w:rsid w:val="001434C8"/>
    <w:rsid w:val="001434F3"/>
    <w:rsid w:val="00143689"/>
    <w:rsid w:val="00143A6A"/>
    <w:rsid w:val="00143B59"/>
    <w:rsid w:val="00143B8E"/>
    <w:rsid w:val="00143D6B"/>
    <w:rsid w:val="00143EC8"/>
    <w:rsid w:val="001444E2"/>
    <w:rsid w:val="001445BE"/>
    <w:rsid w:val="00144977"/>
    <w:rsid w:val="00144AD7"/>
    <w:rsid w:val="00144BF6"/>
    <w:rsid w:val="00144D3C"/>
    <w:rsid w:val="00144E15"/>
    <w:rsid w:val="00144E2A"/>
    <w:rsid w:val="00144F66"/>
    <w:rsid w:val="00145288"/>
    <w:rsid w:val="0014539E"/>
    <w:rsid w:val="00145639"/>
    <w:rsid w:val="00145655"/>
    <w:rsid w:val="00145BB4"/>
    <w:rsid w:val="00145DE0"/>
    <w:rsid w:val="00146081"/>
    <w:rsid w:val="00146609"/>
    <w:rsid w:val="00146868"/>
    <w:rsid w:val="00146B67"/>
    <w:rsid w:val="00146CE1"/>
    <w:rsid w:val="00146E76"/>
    <w:rsid w:val="00147178"/>
    <w:rsid w:val="001474BA"/>
    <w:rsid w:val="0014755C"/>
    <w:rsid w:val="00147924"/>
    <w:rsid w:val="00147A6A"/>
    <w:rsid w:val="00147BC5"/>
    <w:rsid w:val="00147CD0"/>
    <w:rsid w:val="001500B5"/>
    <w:rsid w:val="001500F6"/>
    <w:rsid w:val="001501B0"/>
    <w:rsid w:val="001501D3"/>
    <w:rsid w:val="001503BF"/>
    <w:rsid w:val="00150418"/>
    <w:rsid w:val="001507EE"/>
    <w:rsid w:val="00150EAA"/>
    <w:rsid w:val="00150EEE"/>
    <w:rsid w:val="00151167"/>
    <w:rsid w:val="001512EA"/>
    <w:rsid w:val="00151402"/>
    <w:rsid w:val="0015162D"/>
    <w:rsid w:val="00151A1B"/>
    <w:rsid w:val="00151A47"/>
    <w:rsid w:val="00151D5C"/>
    <w:rsid w:val="00151D73"/>
    <w:rsid w:val="00151EE5"/>
    <w:rsid w:val="00152021"/>
    <w:rsid w:val="0015212E"/>
    <w:rsid w:val="001522A0"/>
    <w:rsid w:val="00152363"/>
    <w:rsid w:val="00152421"/>
    <w:rsid w:val="001524E9"/>
    <w:rsid w:val="00152535"/>
    <w:rsid w:val="001525B8"/>
    <w:rsid w:val="001527F9"/>
    <w:rsid w:val="001528FA"/>
    <w:rsid w:val="00152ABE"/>
    <w:rsid w:val="00152B40"/>
    <w:rsid w:val="00152D89"/>
    <w:rsid w:val="00152DDF"/>
    <w:rsid w:val="00153205"/>
    <w:rsid w:val="001532DD"/>
    <w:rsid w:val="00153CD1"/>
    <w:rsid w:val="0015435C"/>
    <w:rsid w:val="001545BE"/>
    <w:rsid w:val="00154909"/>
    <w:rsid w:val="00154928"/>
    <w:rsid w:val="00154A78"/>
    <w:rsid w:val="00154AD1"/>
    <w:rsid w:val="00154BEA"/>
    <w:rsid w:val="00154C13"/>
    <w:rsid w:val="00154E52"/>
    <w:rsid w:val="00154EA7"/>
    <w:rsid w:val="00154F49"/>
    <w:rsid w:val="001554F3"/>
    <w:rsid w:val="001555A4"/>
    <w:rsid w:val="00155A0E"/>
    <w:rsid w:val="00155ABF"/>
    <w:rsid w:val="00155B40"/>
    <w:rsid w:val="00155CB7"/>
    <w:rsid w:val="00155D62"/>
    <w:rsid w:val="00155D73"/>
    <w:rsid w:val="00155E00"/>
    <w:rsid w:val="00155E90"/>
    <w:rsid w:val="001560F3"/>
    <w:rsid w:val="001564F3"/>
    <w:rsid w:val="001565BE"/>
    <w:rsid w:val="001565C1"/>
    <w:rsid w:val="00156884"/>
    <w:rsid w:val="0015691B"/>
    <w:rsid w:val="00156980"/>
    <w:rsid w:val="00156B06"/>
    <w:rsid w:val="00156D3E"/>
    <w:rsid w:val="00156D79"/>
    <w:rsid w:val="00156DEE"/>
    <w:rsid w:val="00156EE5"/>
    <w:rsid w:val="00157173"/>
    <w:rsid w:val="001571AF"/>
    <w:rsid w:val="00157224"/>
    <w:rsid w:val="0015758A"/>
    <w:rsid w:val="00157950"/>
    <w:rsid w:val="001579A0"/>
    <w:rsid w:val="001579B4"/>
    <w:rsid w:val="00157B87"/>
    <w:rsid w:val="00160034"/>
    <w:rsid w:val="001600DD"/>
    <w:rsid w:val="001603F4"/>
    <w:rsid w:val="0016062E"/>
    <w:rsid w:val="0016072B"/>
    <w:rsid w:val="00160C85"/>
    <w:rsid w:val="00160CCD"/>
    <w:rsid w:val="0016128E"/>
    <w:rsid w:val="00161AAA"/>
    <w:rsid w:val="00161AF6"/>
    <w:rsid w:val="00161CB0"/>
    <w:rsid w:val="00161CCB"/>
    <w:rsid w:val="00161CF4"/>
    <w:rsid w:val="00161D3D"/>
    <w:rsid w:val="00161E0F"/>
    <w:rsid w:val="00161E47"/>
    <w:rsid w:val="00161E94"/>
    <w:rsid w:val="00161F46"/>
    <w:rsid w:val="00162117"/>
    <w:rsid w:val="001625AB"/>
    <w:rsid w:val="00162763"/>
    <w:rsid w:val="00162A3B"/>
    <w:rsid w:val="00162AA1"/>
    <w:rsid w:val="00162BAD"/>
    <w:rsid w:val="00162C03"/>
    <w:rsid w:val="0016341E"/>
    <w:rsid w:val="00163568"/>
    <w:rsid w:val="001635E8"/>
    <w:rsid w:val="001636FA"/>
    <w:rsid w:val="00163771"/>
    <w:rsid w:val="00163B12"/>
    <w:rsid w:val="00163CB6"/>
    <w:rsid w:val="001640C7"/>
    <w:rsid w:val="0016435B"/>
    <w:rsid w:val="001643D8"/>
    <w:rsid w:val="0016452C"/>
    <w:rsid w:val="001646E1"/>
    <w:rsid w:val="001647A3"/>
    <w:rsid w:val="001648C9"/>
    <w:rsid w:val="00164ABE"/>
    <w:rsid w:val="00164B8B"/>
    <w:rsid w:val="00164BDA"/>
    <w:rsid w:val="00164BFC"/>
    <w:rsid w:val="00164C40"/>
    <w:rsid w:val="00164F84"/>
    <w:rsid w:val="001651C4"/>
    <w:rsid w:val="00165535"/>
    <w:rsid w:val="001656BE"/>
    <w:rsid w:val="00165C36"/>
    <w:rsid w:val="00165CBB"/>
    <w:rsid w:val="001660FA"/>
    <w:rsid w:val="00166177"/>
    <w:rsid w:val="00166387"/>
    <w:rsid w:val="0016670B"/>
    <w:rsid w:val="001669E2"/>
    <w:rsid w:val="00166D8F"/>
    <w:rsid w:val="00166DF3"/>
    <w:rsid w:val="001675D8"/>
    <w:rsid w:val="00167C7C"/>
    <w:rsid w:val="00167C80"/>
    <w:rsid w:val="00167D61"/>
    <w:rsid w:val="00170031"/>
    <w:rsid w:val="00170255"/>
    <w:rsid w:val="00170279"/>
    <w:rsid w:val="001704CF"/>
    <w:rsid w:val="0017053B"/>
    <w:rsid w:val="00170605"/>
    <w:rsid w:val="0017098F"/>
    <w:rsid w:val="00170A11"/>
    <w:rsid w:val="00170A98"/>
    <w:rsid w:val="00170B7B"/>
    <w:rsid w:val="00170C73"/>
    <w:rsid w:val="00171187"/>
    <w:rsid w:val="0017150C"/>
    <w:rsid w:val="00171579"/>
    <w:rsid w:val="001716FE"/>
    <w:rsid w:val="0017172D"/>
    <w:rsid w:val="001717EE"/>
    <w:rsid w:val="00171CC1"/>
    <w:rsid w:val="00172184"/>
    <w:rsid w:val="001722D3"/>
    <w:rsid w:val="001722DE"/>
    <w:rsid w:val="0017233E"/>
    <w:rsid w:val="00172498"/>
    <w:rsid w:val="0017265D"/>
    <w:rsid w:val="00172744"/>
    <w:rsid w:val="00172902"/>
    <w:rsid w:val="00172A0C"/>
    <w:rsid w:val="00172BA0"/>
    <w:rsid w:val="00172C84"/>
    <w:rsid w:val="00172F6D"/>
    <w:rsid w:val="00173346"/>
    <w:rsid w:val="0017366E"/>
    <w:rsid w:val="00173685"/>
    <w:rsid w:val="00173B04"/>
    <w:rsid w:val="00173C9E"/>
    <w:rsid w:val="00173E80"/>
    <w:rsid w:val="001740E9"/>
    <w:rsid w:val="0017421E"/>
    <w:rsid w:val="0017430F"/>
    <w:rsid w:val="00174400"/>
    <w:rsid w:val="00174478"/>
    <w:rsid w:val="001746B7"/>
    <w:rsid w:val="00174796"/>
    <w:rsid w:val="00174A65"/>
    <w:rsid w:val="00174E5E"/>
    <w:rsid w:val="0017501B"/>
    <w:rsid w:val="00175216"/>
    <w:rsid w:val="00175279"/>
    <w:rsid w:val="001755FE"/>
    <w:rsid w:val="00175618"/>
    <w:rsid w:val="0017579F"/>
    <w:rsid w:val="00175A34"/>
    <w:rsid w:val="00175C64"/>
    <w:rsid w:val="00176226"/>
    <w:rsid w:val="0017633D"/>
    <w:rsid w:val="00176591"/>
    <w:rsid w:val="001768D5"/>
    <w:rsid w:val="001770C8"/>
    <w:rsid w:val="0017735E"/>
    <w:rsid w:val="001773BC"/>
    <w:rsid w:val="001774A2"/>
    <w:rsid w:val="001777A3"/>
    <w:rsid w:val="00177921"/>
    <w:rsid w:val="00177A0E"/>
    <w:rsid w:val="00177C90"/>
    <w:rsid w:val="00177CCD"/>
    <w:rsid w:val="00180163"/>
    <w:rsid w:val="00180568"/>
    <w:rsid w:val="001806B5"/>
    <w:rsid w:val="00180706"/>
    <w:rsid w:val="0018074B"/>
    <w:rsid w:val="0018074E"/>
    <w:rsid w:val="00180887"/>
    <w:rsid w:val="00180A30"/>
    <w:rsid w:val="00180AC3"/>
    <w:rsid w:val="00180C1B"/>
    <w:rsid w:val="00180C78"/>
    <w:rsid w:val="00180C89"/>
    <w:rsid w:val="00180E28"/>
    <w:rsid w:val="00180E6C"/>
    <w:rsid w:val="00181198"/>
    <w:rsid w:val="001812CF"/>
    <w:rsid w:val="001812D0"/>
    <w:rsid w:val="00181619"/>
    <w:rsid w:val="00181696"/>
    <w:rsid w:val="00181704"/>
    <w:rsid w:val="001819D0"/>
    <w:rsid w:val="00181BCA"/>
    <w:rsid w:val="00181C0C"/>
    <w:rsid w:val="00181D1F"/>
    <w:rsid w:val="001822AF"/>
    <w:rsid w:val="0018271E"/>
    <w:rsid w:val="00182D4C"/>
    <w:rsid w:val="00182DC0"/>
    <w:rsid w:val="00182DCB"/>
    <w:rsid w:val="00182F2B"/>
    <w:rsid w:val="00182F7B"/>
    <w:rsid w:val="00182FB7"/>
    <w:rsid w:val="00183725"/>
    <w:rsid w:val="00183B2F"/>
    <w:rsid w:val="00183CD4"/>
    <w:rsid w:val="00183F54"/>
    <w:rsid w:val="001840FF"/>
    <w:rsid w:val="0018465B"/>
    <w:rsid w:val="001847DF"/>
    <w:rsid w:val="00184807"/>
    <w:rsid w:val="0018485B"/>
    <w:rsid w:val="001849DB"/>
    <w:rsid w:val="00184B75"/>
    <w:rsid w:val="00184C87"/>
    <w:rsid w:val="00184E66"/>
    <w:rsid w:val="00184FF5"/>
    <w:rsid w:val="001850A3"/>
    <w:rsid w:val="001850B4"/>
    <w:rsid w:val="001850F1"/>
    <w:rsid w:val="0018515D"/>
    <w:rsid w:val="001852F6"/>
    <w:rsid w:val="00185626"/>
    <w:rsid w:val="00185891"/>
    <w:rsid w:val="00185DA1"/>
    <w:rsid w:val="00185F19"/>
    <w:rsid w:val="00185F8D"/>
    <w:rsid w:val="0018624E"/>
    <w:rsid w:val="001865A8"/>
    <w:rsid w:val="001865F9"/>
    <w:rsid w:val="0018669E"/>
    <w:rsid w:val="00186909"/>
    <w:rsid w:val="00186D7B"/>
    <w:rsid w:val="00186D8C"/>
    <w:rsid w:val="00187360"/>
    <w:rsid w:val="001876B1"/>
    <w:rsid w:val="00187866"/>
    <w:rsid w:val="00187F09"/>
    <w:rsid w:val="0019001D"/>
    <w:rsid w:val="00190513"/>
    <w:rsid w:val="001906BB"/>
    <w:rsid w:val="0019087D"/>
    <w:rsid w:val="00190A07"/>
    <w:rsid w:val="00190B89"/>
    <w:rsid w:val="00190C6B"/>
    <w:rsid w:val="00190E97"/>
    <w:rsid w:val="00190F9C"/>
    <w:rsid w:val="00191085"/>
    <w:rsid w:val="001911FE"/>
    <w:rsid w:val="001912E4"/>
    <w:rsid w:val="00191642"/>
    <w:rsid w:val="00191827"/>
    <w:rsid w:val="00191B54"/>
    <w:rsid w:val="00192203"/>
    <w:rsid w:val="001929B8"/>
    <w:rsid w:val="001929CA"/>
    <w:rsid w:val="00192BCE"/>
    <w:rsid w:val="00192EC8"/>
    <w:rsid w:val="00192F5D"/>
    <w:rsid w:val="00192F81"/>
    <w:rsid w:val="00193047"/>
    <w:rsid w:val="0019312F"/>
    <w:rsid w:val="00193187"/>
    <w:rsid w:val="0019343E"/>
    <w:rsid w:val="001934C9"/>
    <w:rsid w:val="0019367E"/>
    <w:rsid w:val="00193680"/>
    <w:rsid w:val="00193A33"/>
    <w:rsid w:val="00193E35"/>
    <w:rsid w:val="00193FF9"/>
    <w:rsid w:val="00194010"/>
    <w:rsid w:val="00194075"/>
    <w:rsid w:val="00194143"/>
    <w:rsid w:val="0019420B"/>
    <w:rsid w:val="0019441E"/>
    <w:rsid w:val="001944FD"/>
    <w:rsid w:val="0019459A"/>
    <w:rsid w:val="001948A5"/>
    <w:rsid w:val="00194920"/>
    <w:rsid w:val="00194C25"/>
    <w:rsid w:val="00194DC7"/>
    <w:rsid w:val="00194E45"/>
    <w:rsid w:val="001950DA"/>
    <w:rsid w:val="0019511E"/>
    <w:rsid w:val="0019555F"/>
    <w:rsid w:val="00195617"/>
    <w:rsid w:val="0019579C"/>
    <w:rsid w:val="001957E0"/>
    <w:rsid w:val="00195BC3"/>
    <w:rsid w:val="00195BEE"/>
    <w:rsid w:val="00195C20"/>
    <w:rsid w:val="00195CA1"/>
    <w:rsid w:val="00195DAB"/>
    <w:rsid w:val="00195DF6"/>
    <w:rsid w:val="00195E79"/>
    <w:rsid w:val="00195F32"/>
    <w:rsid w:val="001960A3"/>
    <w:rsid w:val="00196185"/>
    <w:rsid w:val="00196215"/>
    <w:rsid w:val="0019622F"/>
    <w:rsid w:val="00196332"/>
    <w:rsid w:val="00196498"/>
    <w:rsid w:val="0019678E"/>
    <w:rsid w:val="00196C36"/>
    <w:rsid w:val="00196C82"/>
    <w:rsid w:val="00196DCC"/>
    <w:rsid w:val="0019704E"/>
    <w:rsid w:val="0019708A"/>
    <w:rsid w:val="001973B8"/>
    <w:rsid w:val="00197549"/>
    <w:rsid w:val="00197566"/>
    <w:rsid w:val="00197763"/>
    <w:rsid w:val="00197A3B"/>
    <w:rsid w:val="001A0057"/>
    <w:rsid w:val="001A01BE"/>
    <w:rsid w:val="001A0263"/>
    <w:rsid w:val="001A02B1"/>
    <w:rsid w:val="001A02FC"/>
    <w:rsid w:val="001A0778"/>
    <w:rsid w:val="001A092C"/>
    <w:rsid w:val="001A0F7A"/>
    <w:rsid w:val="001A13AC"/>
    <w:rsid w:val="001A168A"/>
    <w:rsid w:val="001A1855"/>
    <w:rsid w:val="001A1B28"/>
    <w:rsid w:val="001A1E1F"/>
    <w:rsid w:val="001A1E3A"/>
    <w:rsid w:val="001A1E3B"/>
    <w:rsid w:val="001A1E3C"/>
    <w:rsid w:val="001A1EC3"/>
    <w:rsid w:val="001A2037"/>
    <w:rsid w:val="001A217C"/>
    <w:rsid w:val="001A21D6"/>
    <w:rsid w:val="001A2205"/>
    <w:rsid w:val="001A241A"/>
    <w:rsid w:val="001A24B8"/>
    <w:rsid w:val="001A263B"/>
    <w:rsid w:val="001A267E"/>
    <w:rsid w:val="001A29B1"/>
    <w:rsid w:val="001A2ADE"/>
    <w:rsid w:val="001A2E50"/>
    <w:rsid w:val="001A3114"/>
    <w:rsid w:val="001A342E"/>
    <w:rsid w:val="001A3592"/>
    <w:rsid w:val="001A35C6"/>
    <w:rsid w:val="001A35C8"/>
    <w:rsid w:val="001A36D0"/>
    <w:rsid w:val="001A3832"/>
    <w:rsid w:val="001A3966"/>
    <w:rsid w:val="001A3981"/>
    <w:rsid w:val="001A39B8"/>
    <w:rsid w:val="001A4108"/>
    <w:rsid w:val="001A4313"/>
    <w:rsid w:val="001A43A9"/>
    <w:rsid w:val="001A44D2"/>
    <w:rsid w:val="001A463E"/>
    <w:rsid w:val="001A46C4"/>
    <w:rsid w:val="001A471E"/>
    <w:rsid w:val="001A4836"/>
    <w:rsid w:val="001A4CEA"/>
    <w:rsid w:val="001A4DDD"/>
    <w:rsid w:val="001A5038"/>
    <w:rsid w:val="001A5262"/>
    <w:rsid w:val="001A5364"/>
    <w:rsid w:val="001A5412"/>
    <w:rsid w:val="001A5582"/>
    <w:rsid w:val="001A5B35"/>
    <w:rsid w:val="001A5CAA"/>
    <w:rsid w:val="001A5E99"/>
    <w:rsid w:val="001A6082"/>
    <w:rsid w:val="001A620C"/>
    <w:rsid w:val="001A631E"/>
    <w:rsid w:val="001A66EC"/>
    <w:rsid w:val="001A689F"/>
    <w:rsid w:val="001A68FF"/>
    <w:rsid w:val="001A6A78"/>
    <w:rsid w:val="001A6B48"/>
    <w:rsid w:val="001A6B7C"/>
    <w:rsid w:val="001A7067"/>
    <w:rsid w:val="001A7082"/>
    <w:rsid w:val="001A7147"/>
    <w:rsid w:val="001A73F5"/>
    <w:rsid w:val="001A77AA"/>
    <w:rsid w:val="001A77AD"/>
    <w:rsid w:val="001A7826"/>
    <w:rsid w:val="001A791C"/>
    <w:rsid w:val="001A7A03"/>
    <w:rsid w:val="001A7AF3"/>
    <w:rsid w:val="001A7BB6"/>
    <w:rsid w:val="001A7D9C"/>
    <w:rsid w:val="001A7DC0"/>
    <w:rsid w:val="001A7DC4"/>
    <w:rsid w:val="001A7DF1"/>
    <w:rsid w:val="001B007F"/>
    <w:rsid w:val="001B00C5"/>
    <w:rsid w:val="001B017E"/>
    <w:rsid w:val="001B095B"/>
    <w:rsid w:val="001B0CD4"/>
    <w:rsid w:val="001B0CF3"/>
    <w:rsid w:val="001B1611"/>
    <w:rsid w:val="001B1695"/>
    <w:rsid w:val="001B16E7"/>
    <w:rsid w:val="001B1CB8"/>
    <w:rsid w:val="001B1E0B"/>
    <w:rsid w:val="001B20CF"/>
    <w:rsid w:val="001B2193"/>
    <w:rsid w:val="001B24FB"/>
    <w:rsid w:val="001B2D2C"/>
    <w:rsid w:val="001B2E11"/>
    <w:rsid w:val="001B3044"/>
    <w:rsid w:val="001B3092"/>
    <w:rsid w:val="001B352A"/>
    <w:rsid w:val="001B36A5"/>
    <w:rsid w:val="001B3765"/>
    <w:rsid w:val="001B3D18"/>
    <w:rsid w:val="001B411B"/>
    <w:rsid w:val="001B460B"/>
    <w:rsid w:val="001B4648"/>
    <w:rsid w:val="001B47F1"/>
    <w:rsid w:val="001B4D1B"/>
    <w:rsid w:val="001B52FF"/>
    <w:rsid w:val="001B558E"/>
    <w:rsid w:val="001B55F5"/>
    <w:rsid w:val="001B57A9"/>
    <w:rsid w:val="001B5968"/>
    <w:rsid w:val="001B5970"/>
    <w:rsid w:val="001B59A8"/>
    <w:rsid w:val="001B5A08"/>
    <w:rsid w:val="001B5C8A"/>
    <w:rsid w:val="001B5CE6"/>
    <w:rsid w:val="001B609A"/>
    <w:rsid w:val="001B60B1"/>
    <w:rsid w:val="001B61FD"/>
    <w:rsid w:val="001B62C1"/>
    <w:rsid w:val="001B643B"/>
    <w:rsid w:val="001B67C4"/>
    <w:rsid w:val="001B6A44"/>
    <w:rsid w:val="001B6CA5"/>
    <w:rsid w:val="001B6F9D"/>
    <w:rsid w:val="001B7121"/>
    <w:rsid w:val="001B72A1"/>
    <w:rsid w:val="001B72F5"/>
    <w:rsid w:val="001B75BE"/>
    <w:rsid w:val="001B75CA"/>
    <w:rsid w:val="001B7925"/>
    <w:rsid w:val="001B79E4"/>
    <w:rsid w:val="001B7BEE"/>
    <w:rsid w:val="001B7C0E"/>
    <w:rsid w:val="001B7E8F"/>
    <w:rsid w:val="001C04D5"/>
    <w:rsid w:val="001C0597"/>
    <w:rsid w:val="001C08CA"/>
    <w:rsid w:val="001C09C1"/>
    <w:rsid w:val="001C0C6A"/>
    <w:rsid w:val="001C0F15"/>
    <w:rsid w:val="001C114F"/>
    <w:rsid w:val="001C1189"/>
    <w:rsid w:val="001C11C9"/>
    <w:rsid w:val="001C128C"/>
    <w:rsid w:val="001C1413"/>
    <w:rsid w:val="001C16BA"/>
    <w:rsid w:val="001C17A5"/>
    <w:rsid w:val="001C1D08"/>
    <w:rsid w:val="001C1DFF"/>
    <w:rsid w:val="001C2151"/>
    <w:rsid w:val="001C2208"/>
    <w:rsid w:val="001C2433"/>
    <w:rsid w:val="001C24C2"/>
    <w:rsid w:val="001C27C0"/>
    <w:rsid w:val="001C27DB"/>
    <w:rsid w:val="001C295F"/>
    <w:rsid w:val="001C2E0D"/>
    <w:rsid w:val="001C318F"/>
    <w:rsid w:val="001C33B8"/>
    <w:rsid w:val="001C3414"/>
    <w:rsid w:val="001C37EE"/>
    <w:rsid w:val="001C3A64"/>
    <w:rsid w:val="001C3AC8"/>
    <w:rsid w:val="001C3B36"/>
    <w:rsid w:val="001C3D81"/>
    <w:rsid w:val="001C3E12"/>
    <w:rsid w:val="001C3ECF"/>
    <w:rsid w:val="001C408D"/>
    <w:rsid w:val="001C42A3"/>
    <w:rsid w:val="001C4472"/>
    <w:rsid w:val="001C48FD"/>
    <w:rsid w:val="001C53FF"/>
    <w:rsid w:val="001C5425"/>
    <w:rsid w:val="001C57B4"/>
    <w:rsid w:val="001C5867"/>
    <w:rsid w:val="001C5957"/>
    <w:rsid w:val="001C5967"/>
    <w:rsid w:val="001C5AFA"/>
    <w:rsid w:val="001C5B83"/>
    <w:rsid w:val="001C5C32"/>
    <w:rsid w:val="001C5C3F"/>
    <w:rsid w:val="001C60AB"/>
    <w:rsid w:val="001C6279"/>
    <w:rsid w:val="001C637E"/>
    <w:rsid w:val="001C6415"/>
    <w:rsid w:val="001C6526"/>
    <w:rsid w:val="001C6805"/>
    <w:rsid w:val="001C682C"/>
    <w:rsid w:val="001C6A75"/>
    <w:rsid w:val="001C6EB9"/>
    <w:rsid w:val="001C7340"/>
    <w:rsid w:val="001C735D"/>
    <w:rsid w:val="001C739C"/>
    <w:rsid w:val="001C7410"/>
    <w:rsid w:val="001C74E6"/>
    <w:rsid w:val="001C782A"/>
    <w:rsid w:val="001C793A"/>
    <w:rsid w:val="001C7CFE"/>
    <w:rsid w:val="001C7DD1"/>
    <w:rsid w:val="001C7E94"/>
    <w:rsid w:val="001C7F4B"/>
    <w:rsid w:val="001D0080"/>
    <w:rsid w:val="001D024E"/>
    <w:rsid w:val="001D0350"/>
    <w:rsid w:val="001D0627"/>
    <w:rsid w:val="001D062F"/>
    <w:rsid w:val="001D0C3C"/>
    <w:rsid w:val="001D0E54"/>
    <w:rsid w:val="001D0EBD"/>
    <w:rsid w:val="001D0F60"/>
    <w:rsid w:val="001D1393"/>
    <w:rsid w:val="001D1680"/>
    <w:rsid w:val="001D1B52"/>
    <w:rsid w:val="001D1C54"/>
    <w:rsid w:val="001D2298"/>
    <w:rsid w:val="001D23A9"/>
    <w:rsid w:val="001D2456"/>
    <w:rsid w:val="001D2552"/>
    <w:rsid w:val="001D2559"/>
    <w:rsid w:val="001D26F9"/>
    <w:rsid w:val="001D291C"/>
    <w:rsid w:val="001D2B3D"/>
    <w:rsid w:val="001D351E"/>
    <w:rsid w:val="001D358E"/>
    <w:rsid w:val="001D35FE"/>
    <w:rsid w:val="001D36B5"/>
    <w:rsid w:val="001D3A3D"/>
    <w:rsid w:val="001D3AE0"/>
    <w:rsid w:val="001D3B8E"/>
    <w:rsid w:val="001D3F3F"/>
    <w:rsid w:val="001D3FAE"/>
    <w:rsid w:val="001D4077"/>
    <w:rsid w:val="001D415E"/>
    <w:rsid w:val="001D462A"/>
    <w:rsid w:val="001D46FC"/>
    <w:rsid w:val="001D48BB"/>
    <w:rsid w:val="001D4911"/>
    <w:rsid w:val="001D49E8"/>
    <w:rsid w:val="001D52D7"/>
    <w:rsid w:val="001D540C"/>
    <w:rsid w:val="001D549E"/>
    <w:rsid w:val="001D5547"/>
    <w:rsid w:val="001D57E3"/>
    <w:rsid w:val="001D589F"/>
    <w:rsid w:val="001D58B8"/>
    <w:rsid w:val="001D5A27"/>
    <w:rsid w:val="001D5C1E"/>
    <w:rsid w:val="001D5CBB"/>
    <w:rsid w:val="001D5FAB"/>
    <w:rsid w:val="001D679C"/>
    <w:rsid w:val="001D6884"/>
    <w:rsid w:val="001D68F6"/>
    <w:rsid w:val="001D6B84"/>
    <w:rsid w:val="001D6C49"/>
    <w:rsid w:val="001D6D53"/>
    <w:rsid w:val="001D732A"/>
    <w:rsid w:val="001D737D"/>
    <w:rsid w:val="001D7683"/>
    <w:rsid w:val="001D77EA"/>
    <w:rsid w:val="001D7C92"/>
    <w:rsid w:val="001D7DC4"/>
    <w:rsid w:val="001E0027"/>
    <w:rsid w:val="001E0216"/>
    <w:rsid w:val="001E027F"/>
    <w:rsid w:val="001E04A2"/>
    <w:rsid w:val="001E0650"/>
    <w:rsid w:val="001E0743"/>
    <w:rsid w:val="001E09AC"/>
    <w:rsid w:val="001E0A12"/>
    <w:rsid w:val="001E0A8D"/>
    <w:rsid w:val="001E0AE6"/>
    <w:rsid w:val="001E0ED2"/>
    <w:rsid w:val="001E0FEE"/>
    <w:rsid w:val="001E0FFE"/>
    <w:rsid w:val="001E11D5"/>
    <w:rsid w:val="001E13E3"/>
    <w:rsid w:val="001E14A3"/>
    <w:rsid w:val="001E15E7"/>
    <w:rsid w:val="001E1727"/>
    <w:rsid w:val="001E1ACF"/>
    <w:rsid w:val="001E1B0F"/>
    <w:rsid w:val="001E1C2D"/>
    <w:rsid w:val="001E1DFF"/>
    <w:rsid w:val="001E1E94"/>
    <w:rsid w:val="001E1FC0"/>
    <w:rsid w:val="001E215A"/>
    <w:rsid w:val="001E2164"/>
    <w:rsid w:val="001E2390"/>
    <w:rsid w:val="001E239B"/>
    <w:rsid w:val="001E246A"/>
    <w:rsid w:val="001E249F"/>
    <w:rsid w:val="001E27D5"/>
    <w:rsid w:val="001E28FD"/>
    <w:rsid w:val="001E2975"/>
    <w:rsid w:val="001E2A14"/>
    <w:rsid w:val="001E2D0D"/>
    <w:rsid w:val="001E2F07"/>
    <w:rsid w:val="001E3246"/>
    <w:rsid w:val="001E359B"/>
    <w:rsid w:val="001E3668"/>
    <w:rsid w:val="001E371F"/>
    <w:rsid w:val="001E3D5C"/>
    <w:rsid w:val="001E3DFD"/>
    <w:rsid w:val="001E4324"/>
    <w:rsid w:val="001E4657"/>
    <w:rsid w:val="001E469C"/>
    <w:rsid w:val="001E46C6"/>
    <w:rsid w:val="001E46F5"/>
    <w:rsid w:val="001E4894"/>
    <w:rsid w:val="001E498C"/>
    <w:rsid w:val="001E4EA2"/>
    <w:rsid w:val="001E51CF"/>
    <w:rsid w:val="001E564C"/>
    <w:rsid w:val="001E5791"/>
    <w:rsid w:val="001E5805"/>
    <w:rsid w:val="001E590C"/>
    <w:rsid w:val="001E5965"/>
    <w:rsid w:val="001E6325"/>
    <w:rsid w:val="001E63BD"/>
    <w:rsid w:val="001E6594"/>
    <w:rsid w:val="001E6B4A"/>
    <w:rsid w:val="001E6CFD"/>
    <w:rsid w:val="001E6D1A"/>
    <w:rsid w:val="001E6E1F"/>
    <w:rsid w:val="001E756C"/>
    <w:rsid w:val="001E76D2"/>
    <w:rsid w:val="001E77F9"/>
    <w:rsid w:val="001E78F2"/>
    <w:rsid w:val="001E78F6"/>
    <w:rsid w:val="001E797D"/>
    <w:rsid w:val="001E79A8"/>
    <w:rsid w:val="001E7A31"/>
    <w:rsid w:val="001E7B49"/>
    <w:rsid w:val="001E7BC0"/>
    <w:rsid w:val="001E7C12"/>
    <w:rsid w:val="001E7C5F"/>
    <w:rsid w:val="001E7DF0"/>
    <w:rsid w:val="001E7E43"/>
    <w:rsid w:val="001F00B8"/>
    <w:rsid w:val="001F0B64"/>
    <w:rsid w:val="001F0B81"/>
    <w:rsid w:val="001F0C4E"/>
    <w:rsid w:val="001F0ED9"/>
    <w:rsid w:val="001F1304"/>
    <w:rsid w:val="001F139C"/>
    <w:rsid w:val="001F13E4"/>
    <w:rsid w:val="001F1417"/>
    <w:rsid w:val="001F1591"/>
    <w:rsid w:val="001F1882"/>
    <w:rsid w:val="001F1955"/>
    <w:rsid w:val="001F19A7"/>
    <w:rsid w:val="001F1A3D"/>
    <w:rsid w:val="001F1A5B"/>
    <w:rsid w:val="001F1C70"/>
    <w:rsid w:val="001F1DC5"/>
    <w:rsid w:val="001F1F0C"/>
    <w:rsid w:val="001F1F3D"/>
    <w:rsid w:val="001F1F78"/>
    <w:rsid w:val="001F20BD"/>
    <w:rsid w:val="001F20C6"/>
    <w:rsid w:val="001F2162"/>
    <w:rsid w:val="001F21DF"/>
    <w:rsid w:val="001F2248"/>
    <w:rsid w:val="001F22A9"/>
    <w:rsid w:val="001F2346"/>
    <w:rsid w:val="001F246B"/>
    <w:rsid w:val="001F2540"/>
    <w:rsid w:val="001F2BE2"/>
    <w:rsid w:val="001F2C4C"/>
    <w:rsid w:val="001F2D2A"/>
    <w:rsid w:val="001F2E4B"/>
    <w:rsid w:val="001F30B0"/>
    <w:rsid w:val="001F33C3"/>
    <w:rsid w:val="001F351C"/>
    <w:rsid w:val="001F35D2"/>
    <w:rsid w:val="001F36F6"/>
    <w:rsid w:val="001F394E"/>
    <w:rsid w:val="001F39E4"/>
    <w:rsid w:val="001F3A51"/>
    <w:rsid w:val="001F3A76"/>
    <w:rsid w:val="001F3A7C"/>
    <w:rsid w:val="001F3C9A"/>
    <w:rsid w:val="001F3E3B"/>
    <w:rsid w:val="001F4118"/>
    <w:rsid w:val="001F4216"/>
    <w:rsid w:val="001F460C"/>
    <w:rsid w:val="001F468D"/>
    <w:rsid w:val="001F472A"/>
    <w:rsid w:val="001F4BE2"/>
    <w:rsid w:val="001F4E77"/>
    <w:rsid w:val="001F4EC5"/>
    <w:rsid w:val="001F50CE"/>
    <w:rsid w:val="001F5257"/>
    <w:rsid w:val="001F526D"/>
    <w:rsid w:val="001F527D"/>
    <w:rsid w:val="001F545B"/>
    <w:rsid w:val="001F54A6"/>
    <w:rsid w:val="001F56F6"/>
    <w:rsid w:val="001F595D"/>
    <w:rsid w:val="001F5B3A"/>
    <w:rsid w:val="001F5CB3"/>
    <w:rsid w:val="001F608F"/>
    <w:rsid w:val="001F63AD"/>
    <w:rsid w:val="001F6435"/>
    <w:rsid w:val="001F64B6"/>
    <w:rsid w:val="001F6512"/>
    <w:rsid w:val="001F6F6E"/>
    <w:rsid w:val="001F7076"/>
    <w:rsid w:val="001F7121"/>
    <w:rsid w:val="001F7147"/>
    <w:rsid w:val="001F71CB"/>
    <w:rsid w:val="001F71F8"/>
    <w:rsid w:val="001F76C6"/>
    <w:rsid w:val="001F7815"/>
    <w:rsid w:val="001F7A12"/>
    <w:rsid w:val="001F7F53"/>
    <w:rsid w:val="00200145"/>
    <w:rsid w:val="0020018D"/>
    <w:rsid w:val="00200305"/>
    <w:rsid w:val="0020036C"/>
    <w:rsid w:val="0020108A"/>
    <w:rsid w:val="002013DE"/>
    <w:rsid w:val="0020140B"/>
    <w:rsid w:val="00201512"/>
    <w:rsid w:val="002016D8"/>
    <w:rsid w:val="0020182D"/>
    <w:rsid w:val="00201A02"/>
    <w:rsid w:val="00201B2A"/>
    <w:rsid w:val="00201F03"/>
    <w:rsid w:val="002022C5"/>
    <w:rsid w:val="00202613"/>
    <w:rsid w:val="00202846"/>
    <w:rsid w:val="0020284F"/>
    <w:rsid w:val="00202AB2"/>
    <w:rsid w:val="00202CE1"/>
    <w:rsid w:val="00202D0A"/>
    <w:rsid w:val="00202E88"/>
    <w:rsid w:val="00202EE3"/>
    <w:rsid w:val="0020312F"/>
    <w:rsid w:val="002031D5"/>
    <w:rsid w:val="00203909"/>
    <w:rsid w:val="002040E9"/>
    <w:rsid w:val="002040FC"/>
    <w:rsid w:val="002042F8"/>
    <w:rsid w:val="002043D3"/>
    <w:rsid w:val="00204414"/>
    <w:rsid w:val="00204515"/>
    <w:rsid w:val="00204539"/>
    <w:rsid w:val="00204583"/>
    <w:rsid w:val="0020473D"/>
    <w:rsid w:val="0020482E"/>
    <w:rsid w:val="00204861"/>
    <w:rsid w:val="00204C5E"/>
    <w:rsid w:val="00204F7D"/>
    <w:rsid w:val="00205030"/>
    <w:rsid w:val="0020505A"/>
    <w:rsid w:val="00205288"/>
    <w:rsid w:val="0020552D"/>
    <w:rsid w:val="00205886"/>
    <w:rsid w:val="00205ABC"/>
    <w:rsid w:val="00205E1C"/>
    <w:rsid w:val="00205E57"/>
    <w:rsid w:val="00206437"/>
    <w:rsid w:val="002066E1"/>
    <w:rsid w:val="00206973"/>
    <w:rsid w:val="00206A78"/>
    <w:rsid w:val="00206EAD"/>
    <w:rsid w:val="002074B8"/>
    <w:rsid w:val="0020752F"/>
    <w:rsid w:val="002077FF"/>
    <w:rsid w:val="00207900"/>
    <w:rsid w:val="00207A23"/>
    <w:rsid w:val="00207C57"/>
    <w:rsid w:val="00207ECC"/>
    <w:rsid w:val="00207F6E"/>
    <w:rsid w:val="00210362"/>
    <w:rsid w:val="00210430"/>
    <w:rsid w:val="00210558"/>
    <w:rsid w:val="002106B9"/>
    <w:rsid w:val="002107B1"/>
    <w:rsid w:val="002108CB"/>
    <w:rsid w:val="00210927"/>
    <w:rsid w:val="00210D4F"/>
    <w:rsid w:val="00210DA6"/>
    <w:rsid w:val="00210DB4"/>
    <w:rsid w:val="002110AC"/>
    <w:rsid w:val="002111DA"/>
    <w:rsid w:val="002117F9"/>
    <w:rsid w:val="002119D6"/>
    <w:rsid w:val="00211EB4"/>
    <w:rsid w:val="00211EDA"/>
    <w:rsid w:val="00211F44"/>
    <w:rsid w:val="002122AB"/>
    <w:rsid w:val="0021248A"/>
    <w:rsid w:val="0021277D"/>
    <w:rsid w:val="002128CB"/>
    <w:rsid w:val="002128CD"/>
    <w:rsid w:val="00212D0F"/>
    <w:rsid w:val="00212EF8"/>
    <w:rsid w:val="00212FC4"/>
    <w:rsid w:val="0021347F"/>
    <w:rsid w:val="0021368B"/>
    <w:rsid w:val="002139C5"/>
    <w:rsid w:val="00213CC6"/>
    <w:rsid w:val="00213DDB"/>
    <w:rsid w:val="00213F14"/>
    <w:rsid w:val="00213FBC"/>
    <w:rsid w:val="002140E0"/>
    <w:rsid w:val="0021413D"/>
    <w:rsid w:val="002142E4"/>
    <w:rsid w:val="00214C61"/>
    <w:rsid w:val="00214DF6"/>
    <w:rsid w:val="00214FB5"/>
    <w:rsid w:val="00215093"/>
    <w:rsid w:val="0021510A"/>
    <w:rsid w:val="00215273"/>
    <w:rsid w:val="00215344"/>
    <w:rsid w:val="0021569D"/>
    <w:rsid w:val="002158CA"/>
    <w:rsid w:val="00215965"/>
    <w:rsid w:val="00215B1A"/>
    <w:rsid w:val="00215C4E"/>
    <w:rsid w:val="00215D30"/>
    <w:rsid w:val="00215D6E"/>
    <w:rsid w:val="00215EBC"/>
    <w:rsid w:val="00215EEF"/>
    <w:rsid w:val="00216173"/>
    <w:rsid w:val="0021631B"/>
    <w:rsid w:val="0021641C"/>
    <w:rsid w:val="00216538"/>
    <w:rsid w:val="00216562"/>
    <w:rsid w:val="002165B1"/>
    <w:rsid w:val="00216651"/>
    <w:rsid w:val="002167A6"/>
    <w:rsid w:val="00216912"/>
    <w:rsid w:val="002169EB"/>
    <w:rsid w:val="00216B20"/>
    <w:rsid w:val="00216C37"/>
    <w:rsid w:val="00217019"/>
    <w:rsid w:val="002170CE"/>
    <w:rsid w:val="00217316"/>
    <w:rsid w:val="00217547"/>
    <w:rsid w:val="00217739"/>
    <w:rsid w:val="0021789B"/>
    <w:rsid w:val="002179EB"/>
    <w:rsid w:val="00217A86"/>
    <w:rsid w:val="00217B35"/>
    <w:rsid w:val="00217B61"/>
    <w:rsid w:val="00217E92"/>
    <w:rsid w:val="00217F7D"/>
    <w:rsid w:val="002204AA"/>
    <w:rsid w:val="00220529"/>
    <w:rsid w:val="00220674"/>
    <w:rsid w:val="0022076F"/>
    <w:rsid w:val="00220F62"/>
    <w:rsid w:val="00220F8E"/>
    <w:rsid w:val="00220FF7"/>
    <w:rsid w:val="002214F0"/>
    <w:rsid w:val="0022155C"/>
    <w:rsid w:val="00221579"/>
    <w:rsid w:val="002218FC"/>
    <w:rsid w:val="00221A34"/>
    <w:rsid w:val="00221C3C"/>
    <w:rsid w:val="002221B6"/>
    <w:rsid w:val="002221D7"/>
    <w:rsid w:val="00222336"/>
    <w:rsid w:val="002224DA"/>
    <w:rsid w:val="0022253A"/>
    <w:rsid w:val="00222814"/>
    <w:rsid w:val="002230C8"/>
    <w:rsid w:val="002230EF"/>
    <w:rsid w:val="0022316D"/>
    <w:rsid w:val="002234C5"/>
    <w:rsid w:val="00223784"/>
    <w:rsid w:val="00223B00"/>
    <w:rsid w:val="00223BFA"/>
    <w:rsid w:val="00223D28"/>
    <w:rsid w:val="00223FF4"/>
    <w:rsid w:val="0022427D"/>
    <w:rsid w:val="002244F4"/>
    <w:rsid w:val="002246DF"/>
    <w:rsid w:val="002247D9"/>
    <w:rsid w:val="00224849"/>
    <w:rsid w:val="00224BCB"/>
    <w:rsid w:val="00224C87"/>
    <w:rsid w:val="00224E49"/>
    <w:rsid w:val="00225049"/>
    <w:rsid w:val="00225341"/>
    <w:rsid w:val="002257AE"/>
    <w:rsid w:val="002257E4"/>
    <w:rsid w:val="002259D3"/>
    <w:rsid w:val="00225B0D"/>
    <w:rsid w:val="00225B30"/>
    <w:rsid w:val="00225BE5"/>
    <w:rsid w:val="00225CF7"/>
    <w:rsid w:val="00225E9E"/>
    <w:rsid w:val="00226346"/>
    <w:rsid w:val="00226356"/>
    <w:rsid w:val="00226417"/>
    <w:rsid w:val="00226472"/>
    <w:rsid w:val="00226541"/>
    <w:rsid w:val="00226598"/>
    <w:rsid w:val="0022673B"/>
    <w:rsid w:val="00226A91"/>
    <w:rsid w:val="00226CC3"/>
    <w:rsid w:val="00226F3A"/>
    <w:rsid w:val="002273A0"/>
    <w:rsid w:val="002274C8"/>
    <w:rsid w:val="002275E2"/>
    <w:rsid w:val="002275EF"/>
    <w:rsid w:val="0022760C"/>
    <w:rsid w:val="00227971"/>
    <w:rsid w:val="002279D7"/>
    <w:rsid w:val="00227D3B"/>
    <w:rsid w:val="00227FEF"/>
    <w:rsid w:val="002300F4"/>
    <w:rsid w:val="0023023F"/>
    <w:rsid w:val="002307AA"/>
    <w:rsid w:val="00230C9A"/>
    <w:rsid w:val="00230D8E"/>
    <w:rsid w:val="002310DC"/>
    <w:rsid w:val="00231173"/>
    <w:rsid w:val="00231333"/>
    <w:rsid w:val="00231C06"/>
    <w:rsid w:val="00231CF8"/>
    <w:rsid w:val="00231DBA"/>
    <w:rsid w:val="00231E65"/>
    <w:rsid w:val="00231EFA"/>
    <w:rsid w:val="0023217F"/>
    <w:rsid w:val="0023220E"/>
    <w:rsid w:val="00232285"/>
    <w:rsid w:val="002322E1"/>
    <w:rsid w:val="0023257B"/>
    <w:rsid w:val="002327BB"/>
    <w:rsid w:val="00232CC1"/>
    <w:rsid w:val="00232E49"/>
    <w:rsid w:val="00232E82"/>
    <w:rsid w:val="00232FDC"/>
    <w:rsid w:val="002330E2"/>
    <w:rsid w:val="002331AA"/>
    <w:rsid w:val="002331DE"/>
    <w:rsid w:val="00233675"/>
    <w:rsid w:val="00233761"/>
    <w:rsid w:val="00233C31"/>
    <w:rsid w:val="00233C64"/>
    <w:rsid w:val="00233D40"/>
    <w:rsid w:val="00233E30"/>
    <w:rsid w:val="00233EB6"/>
    <w:rsid w:val="00234225"/>
    <w:rsid w:val="0023476B"/>
    <w:rsid w:val="00234FCB"/>
    <w:rsid w:val="0023509B"/>
    <w:rsid w:val="00235177"/>
    <w:rsid w:val="00235229"/>
    <w:rsid w:val="00235615"/>
    <w:rsid w:val="00235824"/>
    <w:rsid w:val="002359EF"/>
    <w:rsid w:val="00235AC7"/>
    <w:rsid w:val="00235AE1"/>
    <w:rsid w:val="00235BF9"/>
    <w:rsid w:val="00235CC8"/>
    <w:rsid w:val="00235D4C"/>
    <w:rsid w:val="00235EEC"/>
    <w:rsid w:val="0023617A"/>
    <w:rsid w:val="00236216"/>
    <w:rsid w:val="0023637F"/>
    <w:rsid w:val="002367C7"/>
    <w:rsid w:val="002369BF"/>
    <w:rsid w:val="00236B17"/>
    <w:rsid w:val="00236B23"/>
    <w:rsid w:val="00236CFD"/>
    <w:rsid w:val="00236D9A"/>
    <w:rsid w:val="00236EC7"/>
    <w:rsid w:val="00236EFB"/>
    <w:rsid w:val="0023701C"/>
    <w:rsid w:val="0023776A"/>
    <w:rsid w:val="00237776"/>
    <w:rsid w:val="002379D9"/>
    <w:rsid w:val="00240162"/>
    <w:rsid w:val="0024036D"/>
    <w:rsid w:val="002405AC"/>
    <w:rsid w:val="002405E0"/>
    <w:rsid w:val="0024062D"/>
    <w:rsid w:val="00240753"/>
    <w:rsid w:val="002409A0"/>
    <w:rsid w:val="00240A3A"/>
    <w:rsid w:val="00240E87"/>
    <w:rsid w:val="00241095"/>
    <w:rsid w:val="00241277"/>
    <w:rsid w:val="002413EF"/>
    <w:rsid w:val="002415E9"/>
    <w:rsid w:val="00241876"/>
    <w:rsid w:val="00241966"/>
    <w:rsid w:val="00241CB8"/>
    <w:rsid w:val="00242388"/>
    <w:rsid w:val="002423D3"/>
    <w:rsid w:val="00242D3E"/>
    <w:rsid w:val="00242E35"/>
    <w:rsid w:val="00242F92"/>
    <w:rsid w:val="00242FD0"/>
    <w:rsid w:val="00242FE9"/>
    <w:rsid w:val="0024305E"/>
    <w:rsid w:val="00243290"/>
    <w:rsid w:val="002434D2"/>
    <w:rsid w:val="002436DE"/>
    <w:rsid w:val="00243D82"/>
    <w:rsid w:val="00243EF9"/>
    <w:rsid w:val="00243FBB"/>
    <w:rsid w:val="00244002"/>
    <w:rsid w:val="002442CF"/>
    <w:rsid w:val="002444A5"/>
    <w:rsid w:val="0024460B"/>
    <w:rsid w:val="00244A04"/>
    <w:rsid w:val="002450FC"/>
    <w:rsid w:val="00245245"/>
    <w:rsid w:val="00245374"/>
    <w:rsid w:val="0024538C"/>
    <w:rsid w:val="00245409"/>
    <w:rsid w:val="00245419"/>
    <w:rsid w:val="0024552E"/>
    <w:rsid w:val="00245866"/>
    <w:rsid w:val="00245A2A"/>
    <w:rsid w:val="00245A40"/>
    <w:rsid w:val="00246119"/>
    <w:rsid w:val="002461F3"/>
    <w:rsid w:val="00246378"/>
    <w:rsid w:val="002464B7"/>
    <w:rsid w:val="002464D3"/>
    <w:rsid w:val="002464FC"/>
    <w:rsid w:val="00246863"/>
    <w:rsid w:val="002469B3"/>
    <w:rsid w:val="00246B0E"/>
    <w:rsid w:val="00246C99"/>
    <w:rsid w:val="00246CE5"/>
    <w:rsid w:val="00246D60"/>
    <w:rsid w:val="00246E37"/>
    <w:rsid w:val="00246F7A"/>
    <w:rsid w:val="00247020"/>
    <w:rsid w:val="0024703D"/>
    <w:rsid w:val="00247061"/>
    <w:rsid w:val="002470E6"/>
    <w:rsid w:val="00247176"/>
    <w:rsid w:val="00247230"/>
    <w:rsid w:val="002473DE"/>
    <w:rsid w:val="002473EA"/>
    <w:rsid w:val="002475FD"/>
    <w:rsid w:val="00247E4B"/>
    <w:rsid w:val="0025008A"/>
    <w:rsid w:val="002504C6"/>
    <w:rsid w:val="002505A2"/>
    <w:rsid w:val="002505B5"/>
    <w:rsid w:val="0025067A"/>
    <w:rsid w:val="0025073F"/>
    <w:rsid w:val="00250892"/>
    <w:rsid w:val="00250924"/>
    <w:rsid w:val="00250963"/>
    <w:rsid w:val="002509CE"/>
    <w:rsid w:val="00250D84"/>
    <w:rsid w:val="002510B5"/>
    <w:rsid w:val="002510ED"/>
    <w:rsid w:val="00251300"/>
    <w:rsid w:val="00251FDF"/>
    <w:rsid w:val="002520A8"/>
    <w:rsid w:val="00252225"/>
    <w:rsid w:val="0025246C"/>
    <w:rsid w:val="0025249D"/>
    <w:rsid w:val="002524D1"/>
    <w:rsid w:val="00252549"/>
    <w:rsid w:val="00252652"/>
    <w:rsid w:val="0025273E"/>
    <w:rsid w:val="00252826"/>
    <w:rsid w:val="00252981"/>
    <w:rsid w:val="00252DD7"/>
    <w:rsid w:val="00252EAE"/>
    <w:rsid w:val="00252FEF"/>
    <w:rsid w:val="002531D6"/>
    <w:rsid w:val="00253434"/>
    <w:rsid w:val="002537AD"/>
    <w:rsid w:val="00253B50"/>
    <w:rsid w:val="00253F5E"/>
    <w:rsid w:val="002540BB"/>
    <w:rsid w:val="0025452C"/>
    <w:rsid w:val="0025458E"/>
    <w:rsid w:val="00254696"/>
    <w:rsid w:val="0025476B"/>
    <w:rsid w:val="00254C50"/>
    <w:rsid w:val="002553D5"/>
    <w:rsid w:val="002553EC"/>
    <w:rsid w:val="002554BF"/>
    <w:rsid w:val="00255607"/>
    <w:rsid w:val="002559C1"/>
    <w:rsid w:val="00255C44"/>
    <w:rsid w:val="00255C70"/>
    <w:rsid w:val="00255CEB"/>
    <w:rsid w:val="0025672F"/>
    <w:rsid w:val="002567D0"/>
    <w:rsid w:val="00256925"/>
    <w:rsid w:val="00256BE9"/>
    <w:rsid w:val="0025711F"/>
    <w:rsid w:val="00257317"/>
    <w:rsid w:val="00257325"/>
    <w:rsid w:val="002573E8"/>
    <w:rsid w:val="002575CD"/>
    <w:rsid w:val="00257B8E"/>
    <w:rsid w:val="00257DAC"/>
    <w:rsid w:val="00257F30"/>
    <w:rsid w:val="00260004"/>
    <w:rsid w:val="0026050D"/>
    <w:rsid w:val="002607D8"/>
    <w:rsid w:val="002609F3"/>
    <w:rsid w:val="00260A12"/>
    <w:rsid w:val="00260AE9"/>
    <w:rsid w:val="00260B99"/>
    <w:rsid w:val="00261118"/>
    <w:rsid w:val="00261564"/>
    <w:rsid w:val="002618F9"/>
    <w:rsid w:val="00261CD0"/>
    <w:rsid w:val="00261CD3"/>
    <w:rsid w:val="00261CD9"/>
    <w:rsid w:val="0026204A"/>
    <w:rsid w:val="0026208C"/>
    <w:rsid w:val="00262183"/>
    <w:rsid w:val="00262986"/>
    <w:rsid w:val="00262BD2"/>
    <w:rsid w:val="00262CE9"/>
    <w:rsid w:val="00262F2D"/>
    <w:rsid w:val="0026307F"/>
    <w:rsid w:val="00263084"/>
    <w:rsid w:val="00263370"/>
    <w:rsid w:val="00263422"/>
    <w:rsid w:val="002635C3"/>
    <w:rsid w:val="00263793"/>
    <w:rsid w:val="00263C23"/>
    <w:rsid w:val="0026433C"/>
    <w:rsid w:val="00264595"/>
    <w:rsid w:val="00264639"/>
    <w:rsid w:val="002647EF"/>
    <w:rsid w:val="002649FB"/>
    <w:rsid w:val="00264E90"/>
    <w:rsid w:val="00264F39"/>
    <w:rsid w:val="00265071"/>
    <w:rsid w:val="002650AF"/>
    <w:rsid w:val="00265143"/>
    <w:rsid w:val="002652D3"/>
    <w:rsid w:val="00265344"/>
    <w:rsid w:val="002653E0"/>
    <w:rsid w:val="00265508"/>
    <w:rsid w:val="00265562"/>
    <w:rsid w:val="00265A3F"/>
    <w:rsid w:val="00265C3C"/>
    <w:rsid w:val="00265C95"/>
    <w:rsid w:val="002663D4"/>
    <w:rsid w:val="00266597"/>
    <w:rsid w:val="00266823"/>
    <w:rsid w:val="00266951"/>
    <w:rsid w:val="00267255"/>
    <w:rsid w:val="002676C6"/>
    <w:rsid w:val="002676EE"/>
    <w:rsid w:val="0026797C"/>
    <w:rsid w:val="00267A68"/>
    <w:rsid w:val="00267C39"/>
    <w:rsid w:val="00267FB1"/>
    <w:rsid w:val="00270108"/>
    <w:rsid w:val="002702FE"/>
    <w:rsid w:val="00270655"/>
    <w:rsid w:val="0027071E"/>
    <w:rsid w:val="00270ACD"/>
    <w:rsid w:val="00270FE0"/>
    <w:rsid w:val="00271055"/>
    <w:rsid w:val="002713E0"/>
    <w:rsid w:val="002714A3"/>
    <w:rsid w:val="00271665"/>
    <w:rsid w:val="00271862"/>
    <w:rsid w:val="002719C6"/>
    <w:rsid w:val="00271CBE"/>
    <w:rsid w:val="00271DCC"/>
    <w:rsid w:val="00271EC4"/>
    <w:rsid w:val="00272115"/>
    <w:rsid w:val="00272383"/>
    <w:rsid w:val="002723C1"/>
    <w:rsid w:val="00272450"/>
    <w:rsid w:val="00272649"/>
    <w:rsid w:val="00272A55"/>
    <w:rsid w:val="00272EDD"/>
    <w:rsid w:val="00273162"/>
    <w:rsid w:val="00273185"/>
    <w:rsid w:val="00273402"/>
    <w:rsid w:val="00273522"/>
    <w:rsid w:val="0027353C"/>
    <w:rsid w:val="00273B1E"/>
    <w:rsid w:val="00273FD4"/>
    <w:rsid w:val="0027400D"/>
    <w:rsid w:val="00274216"/>
    <w:rsid w:val="00274286"/>
    <w:rsid w:val="0027459F"/>
    <w:rsid w:val="00274676"/>
    <w:rsid w:val="00274744"/>
    <w:rsid w:val="0027484C"/>
    <w:rsid w:val="002749BC"/>
    <w:rsid w:val="00274D88"/>
    <w:rsid w:val="00274DB4"/>
    <w:rsid w:val="00274DBF"/>
    <w:rsid w:val="00275155"/>
    <w:rsid w:val="002752E7"/>
    <w:rsid w:val="002754F8"/>
    <w:rsid w:val="00275549"/>
    <w:rsid w:val="002756FF"/>
    <w:rsid w:val="002757B9"/>
    <w:rsid w:val="00275EDC"/>
    <w:rsid w:val="0027613F"/>
    <w:rsid w:val="0027628B"/>
    <w:rsid w:val="00276470"/>
    <w:rsid w:val="002764BF"/>
    <w:rsid w:val="002768E8"/>
    <w:rsid w:val="00276901"/>
    <w:rsid w:val="00276A32"/>
    <w:rsid w:val="0027709A"/>
    <w:rsid w:val="002771CC"/>
    <w:rsid w:val="00277254"/>
    <w:rsid w:val="00277348"/>
    <w:rsid w:val="002773C6"/>
    <w:rsid w:val="00277589"/>
    <w:rsid w:val="00277655"/>
    <w:rsid w:val="00277CAD"/>
    <w:rsid w:val="00277D10"/>
    <w:rsid w:val="00277E8D"/>
    <w:rsid w:val="00277ED1"/>
    <w:rsid w:val="00280129"/>
    <w:rsid w:val="002804E9"/>
    <w:rsid w:val="002804F2"/>
    <w:rsid w:val="002805D7"/>
    <w:rsid w:val="002805EA"/>
    <w:rsid w:val="002806E2"/>
    <w:rsid w:val="0028070F"/>
    <w:rsid w:val="002809E4"/>
    <w:rsid w:val="00280AF6"/>
    <w:rsid w:val="00280D5B"/>
    <w:rsid w:val="00280FFD"/>
    <w:rsid w:val="0028116B"/>
    <w:rsid w:val="002812CD"/>
    <w:rsid w:val="00281469"/>
    <w:rsid w:val="00281489"/>
    <w:rsid w:val="00281644"/>
    <w:rsid w:val="00281743"/>
    <w:rsid w:val="00281B91"/>
    <w:rsid w:val="00281B96"/>
    <w:rsid w:val="00281FE1"/>
    <w:rsid w:val="0028257B"/>
    <w:rsid w:val="0028289D"/>
    <w:rsid w:val="002828F5"/>
    <w:rsid w:val="00282961"/>
    <w:rsid w:val="00282996"/>
    <w:rsid w:val="002829BF"/>
    <w:rsid w:val="00282D00"/>
    <w:rsid w:val="00282E2C"/>
    <w:rsid w:val="002830AE"/>
    <w:rsid w:val="002830E9"/>
    <w:rsid w:val="00283220"/>
    <w:rsid w:val="00283686"/>
    <w:rsid w:val="00283771"/>
    <w:rsid w:val="00283972"/>
    <w:rsid w:val="00283BB5"/>
    <w:rsid w:val="00283CEC"/>
    <w:rsid w:val="00283CF9"/>
    <w:rsid w:val="00283DF6"/>
    <w:rsid w:val="00283FB7"/>
    <w:rsid w:val="002840CC"/>
    <w:rsid w:val="002841C5"/>
    <w:rsid w:val="002842F4"/>
    <w:rsid w:val="00284383"/>
    <w:rsid w:val="00284428"/>
    <w:rsid w:val="00284970"/>
    <w:rsid w:val="00284A34"/>
    <w:rsid w:val="00284D8D"/>
    <w:rsid w:val="00284EFD"/>
    <w:rsid w:val="002850FC"/>
    <w:rsid w:val="0028511B"/>
    <w:rsid w:val="002851B4"/>
    <w:rsid w:val="002853A9"/>
    <w:rsid w:val="00285424"/>
    <w:rsid w:val="00285550"/>
    <w:rsid w:val="002855CD"/>
    <w:rsid w:val="00285A1F"/>
    <w:rsid w:val="00285A92"/>
    <w:rsid w:val="00285B37"/>
    <w:rsid w:val="00285F88"/>
    <w:rsid w:val="0028602C"/>
    <w:rsid w:val="00286039"/>
    <w:rsid w:val="00286401"/>
    <w:rsid w:val="0028687F"/>
    <w:rsid w:val="00286B0C"/>
    <w:rsid w:val="00286D68"/>
    <w:rsid w:val="00286EAC"/>
    <w:rsid w:val="00286EB8"/>
    <w:rsid w:val="00286FC2"/>
    <w:rsid w:val="002870A0"/>
    <w:rsid w:val="0028741F"/>
    <w:rsid w:val="0028792C"/>
    <w:rsid w:val="0028793B"/>
    <w:rsid w:val="0028796A"/>
    <w:rsid w:val="00287AEB"/>
    <w:rsid w:val="00287DF1"/>
    <w:rsid w:val="00290633"/>
    <w:rsid w:val="002908BC"/>
    <w:rsid w:val="00290F2F"/>
    <w:rsid w:val="0029106F"/>
    <w:rsid w:val="0029107C"/>
    <w:rsid w:val="0029160A"/>
    <w:rsid w:val="00291C7D"/>
    <w:rsid w:val="00291CFF"/>
    <w:rsid w:val="00291EB9"/>
    <w:rsid w:val="002920AE"/>
    <w:rsid w:val="002924AD"/>
    <w:rsid w:val="002925C9"/>
    <w:rsid w:val="002929E1"/>
    <w:rsid w:val="00292A20"/>
    <w:rsid w:val="00292D1A"/>
    <w:rsid w:val="00292E63"/>
    <w:rsid w:val="00293019"/>
    <w:rsid w:val="00293365"/>
    <w:rsid w:val="002933AD"/>
    <w:rsid w:val="002939F9"/>
    <w:rsid w:val="00293EBB"/>
    <w:rsid w:val="00294171"/>
    <w:rsid w:val="00294185"/>
    <w:rsid w:val="0029424E"/>
    <w:rsid w:val="0029447C"/>
    <w:rsid w:val="002944BB"/>
    <w:rsid w:val="00294987"/>
    <w:rsid w:val="00294B66"/>
    <w:rsid w:val="00294C6F"/>
    <w:rsid w:val="00294F83"/>
    <w:rsid w:val="0029518C"/>
    <w:rsid w:val="00295368"/>
    <w:rsid w:val="00295429"/>
    <w:rsid w:val="00295537"/>
    <w:rsid w:val="00295552"/>
    <w:rsid w:val="00295573"/>
    <w:rsid w:val="002956F8"/>
    <w:rsid w:val="00295834"/>
    <w:rsid w:val="00295ACA"/>
    <w:rsid w:val="00295BFF"/>
    <w:rsid w:val="002965A2"/>
    <w:rsid w:val="00296921"/>
    <w:rsid w:val="00296AAD"/>
    <w:rsid w:val="00296AF7"/>
    <w:rsid w:val="00296B78"/>
    <w:rsid w:val="00296C85"/>
    <w:rsid w:val="00296E32"/>
    <w:rsid w:val="00296F66"/>
    <w:rsid w:val="002971E1"/>
    <w:rsid w:val="00297483"/>
    <w:rsid w:val="0029749A"/>
    <w:rsid w:val="002976DE"/>
    <w:rsid w:val="00297AC5"/>
    <w:rsid w:val="00297AD2"/>
    <w:rsid w:val="002A01AA"/>
    <w:rsid w:val="002A01BA"/>
    <w:rsid w:val="002A01D7"/>
    <w:rsid w:val="002A0624"/>
    <w:rsid w:val="002A0F5B"/>
    <w:rsid w:val="002A10DC"/>
    <w:rsid w:val="002A1425"/>
    <w:rsid w:val="002A1544"/>
    <w:rsid w:val="002A181B"/>
    <w:rsid w:val="002A18DF"/>
    <w:rsid w:val="002A1B62"/>
    <w:rsid w:val="002A1B89"/>
    <w:rsid w:val="002A2265"/>
    <w:rsid w:val="002A2541"/>
    <w:rsid w:val="002A2616"/>
    <w:rsid w:val="002A26A5"/>
    <w:rsid w:val="002A26E2"/>
    <w:rsid w:val="002A2F50"/>
    <w:rsid w:val="002A2F5D"/>
    <w:rsid w:val="002A2FD0"/>
    <w:rsid w:val="002A3011"/>
    <w:rsid w:val="002A32AE"/>
    <w:rsid w:val="002A3765"/>
    <w:rsid w:val="002A37CF"/>
    <w:rsid w:val="002A3876"/>
    <w:rsid w:val="002A38A3"/>
    <w:rsid w:val="002A39F3"/>
    <w:rsid w:val="002A3BE1"/>
    <w:rsid w:val="002A3BEA"/>
    <w:rsid w:val="002A3D3A"/>
    <w:rsid w:val="002A3EB7"/>
    <w:rsid w:val="002A40A6"/>
    <w:rsid w:val="002A449B"/>
    <w:rsid w:val="002A4934"/>
    <w:rsid w:val="002A4A2B"/>
    <w:rsid w:val="002A4B96"/>
    <w:rsid w:val="002A4D67"/>
    <w:rsid w:val="002A4F5B"/>
    <w:rsid w:val="002A4FA5"/>
    <w:rsid w:val="002A500F"/>
    <w:rsid w:val="002A5370"/>
    <w:rsid w:val="002A539B"/>
    <w:rsid w:val="002A53E0"/>
    <w:rsid w:val="002A54DC"/>
    <w:rsid w:val="002A55AD"/>
    <w:rsid w:val="002A55C2"/>
    <w:rsid w:val="002A567F"/>
    <w:rsid w:val="002A5762"/>
    <w:rsid w:val="002A57C9"/>
    <w:rsid w:val="002A5994"/>
    <w:rsid w:val="002A5B35"/>
    <w:rsid w:val="002A5EBA"/>
    <w:rsid w:val="002A64A5"/>
    <w:rsid w:val="002A65A5"/>
    <w:rsid w:val="002A6660"/>
    <w:rsid w:val="002A6D9C"/>
    <w:rsid w:val="002A6DA2"/>
    <w:rsid w:val="002A70CA"/>
    <w:rsid w:val="002A717A"/>
    <w:rsid w:val="002A71D6"/>
    <w:rsid w:val="002A72D8"/>
    <w:rsid w:val="002A72EC"/>
    <w:rsid w:val="002A75AE"/>
    <w:rsid w:val="002A75E6"/>
    <w:rsid w:val="002A7646"/>
    <w:rsid w:val="002A76DE"/>
    <w:rsid w:val="002A772B"/>
    <w:rsid w:val="002A7888"/>
    <w:rsid w:val="002A78EE"/>
    <w:rsid w:val="002A795F"/>
    <w:rsid w:val="002A79BF"/>
    <w:rsid w:val="002A7A1C"/>
    <w:rsid w:val="002A7E55"/>
    <w:rsid w:val="002A7F9F"/>
    <w:rsid w:val="002A7FDE"/>
    <w:rsid w:val="002B036F"/>
    <w:rsid w:val="002B0470"/>
    <w:rsid w:val="002B05E8"/>
    <w:rsid w:val="002B087D"/>
    <w:rsid w:val="002B08F7"/>
    <w:rsid w:val="002B09F7"/>
    <w:rsid w:val="002B0E37"/>
    <w:rsid w:val="002B1168"/>
    <w:rsid w:val="002B125C"/>
    <w:rsid w:val="002B16C3"/>
    <w:rsid w:val="002B177C"/>
    <w:rsid w:val="002B179E"/>
    <w:rsid w:val="002B19BD"/>
    <w:rsid w:val="002B1CDD"/>
    <w:rsid w:val="002B2192"/>
    <w:rsid w:val="002B2395"/>
    <w:rsid w:val="002B23F3"/>
    <w:rsid w:val="002B23F6"/>
    <w:rsid w:val="002B268E"/>
    <w:rsid w:val="002B26F6"/>
    <w:rsid w:val="002B288E"/>
    <w:rsid w:val="002B28FC"/>
    <w:rsid w:val="002B2A31"/>
    <w:rsid w:val="002B2A33"/>
    <w:rsid w:val="002B2A4D"/>
    <w:rsid w:val="002B30BD"/>
    <w:rsid w:val="002B31F5"/>
    <w:rsid w:val="002B32A8"/>
    <w:rsid w:val="002B348F"/>
    <w:rsid w:val="002B365C"/>
    <w:rsid w:val="002B3931"/>
    <w:rsid w:val="002B39E0"/>
    <w:rsid w:val="002B3A4B"/>
    <w:rsid w:val="002B3C16"/>
    <w:rsid w:val="002B3DC2"/>
    <w:rsid w:val="002B3F80"/>
    <w:rsid w:val="002B4199"/>
    <w:rsid w:val="002B42AD"/>
    <w:rsid w:val="002B4551"/>
    <w:rsid w:val="002B4662"/>
    <w:rsid w:val="002B46B4"/>
    <w:rsid w:val="002B47A7"/>
    <w:rsid w:val="002B493C"/>
    <w:rsid w:val="002B4AAB"/>
    <w:rsid w:val="002B4C50"/>
    <w:rsid w:val="002B4DBA"/>
    <w:rsid w:val="002B4F19"/>
    <w:rsid w:val="002B4F60"/>
    <w:rsid w:val="002B5093"/>
    <w:rsid w:val="002B52FC"/>
    <w:rsid w:val="002B562B"/>
    <w:rsid w:val="002B5662"/>
    <w:rsid w:val="002B57EB"/>
    <w:rsid w:val="002B57F2"/>
    <w:rsid w:val="002B59A6"/>
    <w:rsid w:val="002B5A22"/>
    <w:rsid w:val="002B5DF4"/>
    <w:rsid w:val="002B5E21"/>
    <w:rsid w:val="002B6219"/>
    <w:rsid w:val="002B635A"/>
    <w:rsid w:val="002B6563"/>
    <w:rsid w:val="002B65C7"/>
    <w:rsid w:val="002B6730"/>
    <w:rsid w:val="002B6746"/>
    <w:rsid w:val="002B68AD"/>
    <w:rsid w:val="002B6A4E"/>
    <w:rsid w:val="002B6B95"/>
    <w:rsid w:val="002B6BE4"/>
    <w:rsid w:val="002B6D91"/>
    <w:rsid w:val="002B7114"/>
    <w:rsid w:val="002B71C9"/>
    <w:rsid w:val="002B71FE"/>
    <w:rsid w:val="002B741A"/>
    <w:rsid w:val="002B747F"/>
    <w:rsid w:val="002B7855"/>
    <w:rsid w:val="002B7A78"/>
    <w:rsid w:val="002B7A91"/>
    <w:rsid w:val="002B7F23"/>
    <w:rsid w:val="002C0310"/>
    <w:rsid w:val="002C0553"/>
    <w:rsid w:val="002C06AB"/>
    <w:rsid w:val="002C06AD"/>
    <w:rsid w:val="002C0789"/>
    <w:rsid w:val="002C093D"/>
    <w:rsid w:val="002C0AE9"/>
    <w:rsid w:val="002C106D"/>
    <w:rsid w:val="002C1089"/>
    <w:rsid w:val="002C1213"/>
    <w:rsid w:val="002C1374"/>
    <w:rsid w:val="002C1379"/>
    <w:rsid w:val="002C1391"/>
    <w:rsid w:val="002C16ED"/>
    <w:rsid w:val="002C1827"/>
    <w:rsid w:val="002C188E"/>
    <w:rsid w:val="002C1E59"/>
    <w:rsid w:val="002C1F40"/>
    <w:rsid w:val="002C2191"/>
    <w:rsid w:val="002C229D"/>
    <w:rsid w:val="002C2346"/>
    <w:rsid w:val="002C266B"/>
    <w:rsid w:val="002C2926"/>
    <w:rsid w:val="002C2A4D"/>
    <w:rsid w:val="002C2AF7"/>
    <w:rsid w:val="002C2C35"/>
    <w:rsid w:val="002C2DEA"/>
    <w:rsid w:val="002C3153"/>
    <w:rsid w:val="002C346D"/>
    <w:rsid w:val="002C3639"/>
    <w:rsid w:val="002C3A49"/>
    <w:rsid w:val="002C3CFF"/>
    <w:rsid w:val="002C3D3B"/>
    <w:rsid w:val="002C3F3D"/>
    <w:rsid w:val="002C4072"/>
    <w:rsid w:val="002C41CC"/>
    <w:rsid w:val="002C43BF"/>
    <w:rsid w:val="002C443F"/>
    <w:rsid w:val="002C46FC"/>
    <w:rsid w:val="002C4755"/>
    <w:rsid w:val="002C480A"/>
    <w:rsid w:val="002C48D5"/>
    <w:rsid w:val="002C49E8"/>
    <w:rsid w:val="002C4F67"/>
    <w:rsid w:val="002C4FE8"/>
    <w:rsid w:val="002C4FF3"/>
    <w:rsid w:val="002C51FC"/>
    <w:rsid w:val="002C54EF"/>
    <w:rsid w:val="002C5563"/>
    <w:rsid w:val="002C5AF8"/>
    <w:rsid w:val="002C5BE2"/>
    <w:rsid w:val="002C5C97"/>
    <w:rsid w:val="002C5FA8"/>
    <w:rsid w:val="002C5FAA"/>
    <w:rsid w:val="002C62B3"/>
    <w:rsid w:val="002C641A"/>
    <w:rsid w:val="002C661F"/>
    <w:rsid w:val="002C664D"/>
    <w:rsid w:val="002C6AB4"/>
    <w:rsid w:val="002C6B1D"/>
    <w:rsid w:val="002C6FE8"/>
    <w:rsid w:val="002C707B"/>
    <w:rsid w:val="002C777C"/>
    <w:rsid w:val="002C7B30"/>
    <w:rsid w:val="002C7BFA"/>
    <w:rsid w:val="002C7C0E"/>
    <w:rsid w:val="002C7C52"/>
    <w:rsid w:val="002C7D60"/>
    <w:rsid w:val="002C7D92"/>
    <w:rsid w:val="002C7F5E"/>
    <w:rsid w:val="002D0370"/>
    <w:rsid w:val="002D03C6"/>
    <w:rsid w:val="002D0557"/>
    <w:rsid w:val="002D05FA"/>
    <w:rsid w:val="002D06E9"/>
    <w:rsid w:val="002D093A"/>
    <w:rsid w:val="002D09AC"/>
    <w:rsid w:val="002D12A5"/>
    <w:rsid w:val="002D1371"/>
    <w:rsid w:val="002D14F8"/>
    <w:rsid w:val="002D15C0"/>
    <w:rsid w:val="002D1637"/>
    <w:rsid w:val="002D1942"/>
    <w:rsid w:val="002D1988"/>
    <w:rsid w:val="002D19E0"/>
    <w:rsid w:val="002D1B14"/>
    <w:rsid w:val="002D1D21"/>
    <w:rsid w:val="002D1DA1"/>
    <w:rsid w:val="002D1E7F"/>
    <w:rsid w:val="002D1EDE"/>
    <w:rsid w:val="002D20B9"/>
    <w:rsid w:val="002D2129"/>
    <w:rsid w:val="002D2239"/>
    <w:rsid w:val="002D237D"/>
    <w:rsid w:val="002D27C9"/>
    <w:rsid w:val="002D2C09"/>
    <w:rsid w:val="002D2DEE"/>
    <w:rsid w:val="002D3133"/>
    <w:rsid w:val="002D31DD"/>
    <w:rsid w:val="002D3323"/>
    <w:rsid w:val="002D3736"/>
    <w:rsid w:val="002D373D"/>
    <w:rsid w:val="002D3775"/>
    <w:rsid w:val="002D392B"/>
    <w:rsid w:val="002D397D"/>
    <w:rsid w:val="002D398D"/>
    <w:rsid w:val="002D39A5"/>
    <w:rsid w:val="002D3A04"/>
    <w:rsid w:val="002D3B78"/>
    <w:rsid w:val="002D3D5B"/>
    <w:rsid w:val="002D3D95"/>
    <w:rsid w:val="002D3E93"/>
    <w:rsid w:val="002D3EDF"/>
    <w:rsid w:val="002D3FB6"/>
    <w:rsid w:val="002D42C9"/>
    <w:rsid w:val="002D47DF"/>
    <w:rsid w:val="002D482A"/>
    <w:rsid w:val="002D483C"/>
    <w:rsid w:val="002D4DAB"/>
    <w:rsid w:val="002D5021"/>
    <w:rsid w:val="002D5193"/>
    <w:rsid w:val="002D545A"/>
    <w:rsid w:val="002D554C"/>
    <w:rsid w:val="002D57A3"/>
    <w:rsid w:val="002D57B5"/>
    <w:rsid w:val="002D62C3"/>
    <w:rsid w:val="002D6435"/>
    <w:rsid w:val="002D67C1"/>
    <w:rsid w:val="002D68AA"/>
    <w:rsid w:val="002D68BA"/>
    <w:rsid w:val="002D6914"/>
    <w:rsid w:val="002D6AAB"/>
    <w:rsid w:val="002D6B30"/>
    <w:rsid w:val="002D6F01"/>
    <w:rsid w:val="002D6F4A"/>
    <w:rsid w:val="002D7075"/>
    <w:rsid w:val="002D71FA"/>
    <w:rsid w:val="002D732C"/>
    <w:rsid w:val="002D765D"/>
    <w:rsid w:val="002D7668"/>
    <w:rsid w:val="002D7999"/>
    <w:rsid w:val="002D7B79"/>
    <w:rsid w:val="002D7BA8"/>
    <w:rsid w:val="002D7C18"/>
    <w:rsid w:val="002D7E0F"/>
    <w:rsid w:val="002E002F"/>
    <w:rsid w:val="002E024F"/>
    <w:rsid w:val="002E03F0"/>
    <w:rsid w:val="002E0554"/>
    <w:rsid w:val="002E0854"/>
    <w:rsid w:val="002E0BAB"/>
    <w:rsid w:val="002E0C82"/>
    <w:rsid w:val="002E0EC0"/>
    <w:rsid w:val="002E13B3"/>
    <w:rsid w:val="002E1606"/>
    <w:rsid w:val="002E18B6"/>
    <w:rsid w:val="002E18E6"/>
    <w:rsid w:val="002E2071"/>
    <w:rsid w:val="002E23D4"/>
    <w:rsid w:val="002E25E4"/>
    <w:rsid w:val="002E2FF2"/>
    <w:rsid w:val="002E30D4"/>
    <w:rsid w:val="002E3205"/>
    <w:rsid w:val="002E34DE"/>
    <w:rsid w:val="002E35A3"/>
    <w:rsid w:val="002E3ECA"/>
    <w:rsid w:val="002E3FAF"/>
    <w:rsid w:val="002E4159"/>
    <w:rsid w:val="002E4449"/>
    <w:rsid w:val="002E4578"/>
    <w:rsid w:val="002E4721"/>
    <w:rsid w:val="002E472B"/>
    <w:rsid w:val="002E4860"/>
    <w:rsid w:val="002E4AB8"/>
    <w:rsid w:val="002E4ABA"/>
    <w:rsid w:val="002E4AF6"/>
    <w:rsid w:val="002E4F5B"/>
    <w:rsid w:val="002E50EF"/>
    <w:rsid w:val="002E534B"/>
    <w:rsid w:val="002E5525"/>
    <w:rsid w:val="002E5677"/>
    <w:rsid w:val="002E5737"/>
    <w:rsid w:val="002E57FA"/>
    <w:rsid w:val="002E5C24"/>
    <w:rsid w:val="002E5E45"/>
    <w:rsid w:val="002E61E4"/>
    <w:rsid w:val="002E63DF"/>
    <w:rsid w:val="002E6A3A"/>
    <w:rsid w:val="002E6B3C"/>
    <w:rsid w:val="002E6CF5"/>
    <w:rsid w:val="002E6D3B"/>
    <w:rsid w:val="002E7037"/>
    <w:rsid w:val="002E7432"/>
    <w:rsid w:val="002E75ED"/>
    <w:rsid w:val="002E7837"/>
    <w:rsid w:val="002E7D90"/>
    <w:rsid w:val="002E7EFB"/>
    <w:rsid w:val="002F00A7"/>
    <w:rsid w:val="002F0145"/>
    <w:rsid w:val="002F04ED"/>
    <w:rsid w:val="002F069E"/>
    <w:rsid w:val="002F06BD"/>
    <w:rsid w:val="002F073F"/>
    <w:rsid w:val="002F0811"/>
    <w:rsid w:val="002F091B"/>
    <w:rsid w:val="002F09B9"/>
    <w:rsid w:val="002F0B17"/>
    <w:rsid w:val="002F0CB7"/>
    <w:rsid w:val="002F0D8D"/>
    <w:rsid w:val="002F0F7F"/>
    <w:rsid w:val="002F0FCD"/>
    <w:rsid w:val="002F101D"/>
    <w:rsid w:val="002F1080"/>
    <w:rsid w:val="002F137A"/>
    <w:rsid w:val="002F13CA"/>
    <w:rsid w:val="002F151E"/>
    <w:rsid w:val="002F1529"/>
    <w:rsid w:val="002F1700"/>
    <w:rsid w:val="002F182B"/>
    <w:rsid w:val="002F184C"/>
    <w:rsid w:val="002F194A"/>
    <w:rsid w:val="002F1A8E"/>
    <w:rsid w:val="002F1C4C"/>
    <w:rsid w:val="002F1D43"/>
    <w:rsid w:val="002F1DD3"/>
    <w:rsid w:val="002F1E3B"/>
    <w:rsid w:val="002F1E70"/>
    <w:rsid w:val="002F2392"/>
    <w:rsid w:val="002F2550"/>
    <w:rsid w:val="002F271E"/>
    <w:rsid w:val="002F2723"/>
    <w:rsid w:val="002F2743"/>
    <w:rsid w:val="002F2935"/>
    <w:rsid w:val="002F2A24"/>
    <w:rsid w:val="002F2C2C"/>
    <w:rsid w:val="002F2F3E"/>
    <w:rsid w:val="002F2FBE"/>
    <w:rsid w:val="002F2FF3"/>
    <w:rsid w:val="002F3602"/>
    <w:rsid w:val="002F388E"/>
    <w:rsid w:val="002F3A23"/>
    <w:rsid w:val="002F3A5D"/>
    <w:rsid w:val="002F3BC0"/>
    <w:rsid w:val="002F3DCC"/>
    <w:rsid w:val="002F3F01"/>
    <w:rsid w:val="002F4398"/>
    <w:rsid w:val="002F4417"/>
    <w:rsid w:val="002F454D"/>
    <w:rsid w:val="002F4674"/>
    <w:rsid w:val="002F4B7D"/>
    <w:rsid w:val="002F4F4E"/>
    <w:rsid w:val="002F5378"/>
    <w:rsid w:val="002F5885"/>
    <w:rsid w:val="002F5B15"/>
    <w:rsid w:val="002F5CA7"/>
    <w:rsid w:val="002F5D77"/>
    <w:rsid w:val="002F5E89"/>
    <w:rsid w:val="002F62BA"/>
    <w:rsid w:val="002F64BE"/>
    <w:rsid w:val="002F691F"/>
    <w:rsid w:val="002F6A9E"/>
    <w:rsid w:val="002F6BCA"/>
    <w:rsid w:val="002F6C9B"/>
    <w:rsid w:val="002F6E30"/>
    <w:rsid w:val="002F7254"/>
    <w:rsid w:val="002F72C6"/>
    <w:rsid w:val="002F731B"/>
    <w:rsid w:val="002F75CE"/>
    <w:rsid w:val="002F782A"/>
    <w:rsid w:val="002F788B"/>
    <w:rsid w:val="002F7AA6"/>
    <w:rsid w:val="002F7ACD"/>
    <w:rsid w:val="002F7DB9"/>
    <w:rsid w:val="00300126"/>
    <w:rsid w:val="003003CF"/>
    <w:rsid w:val="00300804"/>
    <w:rsid w:val="0030099F"/>
    <w:rsid w:val="00300AC7"/>
    <w:rsid w:val="00300C04"/>
    <w:rsid w:val="00300F03"/>
    <w:rsid w:val="00300FC3"/>
    <w:rsid w:val="0030107F"/>
    <w:rsid w:val="003015DD"/>
    <w:rsid w:val="0030168C"/>
    <w:rsid w:val="00301792"/>
    <w:rsid w:val="00301AB3"/>
    <w:rsid w:val="00301B25"/>
    <w:rsid w:val="00301CE2"/>
    <w:rsid w:val="00301D3E"/>
    <w:rsid w:val="00301EFC"/>
    <w:rsid w:val="00301F79"/>
    <w:rsid w:val="00302105"/>
    <w:rsid w:val="00302306"/>
    <w:rsid w:val="00302703"/>
    <w:rsid w:val="003027CD"/>
    <w:rsid w:val="00302869"/>
    <w:rsid w:val="0030298E"/>
    <w:rsid w:val="00302A2D"/>
    <w:rsid w:val="00302B02"/>
    <w:rsid w:val="00302CB1"/>
    <w:rsid w:val="00302E25"/>
    <w:rsid w:val="00302ED2"/>
    <w:rsid w:val="00302F28"/>
    <w:rsid w:val="0030310D"/>
    <w:rsid w:val="00303120"/>
    <w:rsid w:val="00303262"/>
    <w:rsid w:val="003032A1"/>
    <w:rsid w:val="003038CD"/>
    <w:rsid w:val="003039D8"/>
    <w:rsid w:val="00303ED1"/>
    <w:rsid w:val="003041B9"/>
    <w:rsid w:val="00304340"/>
    <w:rsid w:val="003043C9"/>
    <w:rsid w:val="00304784"/>
    <w:rsid w:val="003047AD"/>
    <w:rsid w:val="00304B4B"/>
    <w:rsid w:val="00304C42"/>
    <w:rsid w:val="00304D9F"/>
    <w:rsid w:val="00304F30"/>
    <w:rsid w:val="0030512A"/>
    <w:rsid w:val="00305545"/>
    <w:rsid w:val="00305689"/>
    <w:rsid w:val="0030575B"/>
    <w:rsid w:val="003059A8"/>
    <w:rsid w:val="003059D6"/>
    <w:rsid w:val="00305AE4"/>
    <w:rsid w:val="00305D04"/>
    <w:rsid w:val="00305DA2"/>
    <w:rsid w:val="00305F70"/>
    <w:rsid w:val="00306181"/>
    <w:rsid w:val="0030638B"/>
    <w:rsid w:val="003063F8"/>
    <w:rsid w:val="0030694C"/>
    <w:rsid w:val="00306962"/>
    <w:rsid w:val="003069F5"/>
    <w:rsid w:val="00306AB2"/>
    <w:rsid w:val="00306AD4"/>
    <w:rsid w:val="00306BC1"/>
    <w:rsid w:val="00306BD3"/>
    <w:rsid w:val="00306C32"/>
    <w:rsid w:val="00306C9C"/>
    <w:rsid w:val="00306DA2"/>
    <w:rsid w:val="00306FFE"/>
    <w:rsid w:val="0030762E"/>
    <w:rsid w:val="00307648"/>
    <w:rsid w:val="003077E9"/>
    <w:rsid w:val="00307A36"/>
    <w:rsid w:val="00307D2C"/>
    <w:rsid w:val="00307E38"/>
    <w:rsid w:val="00307F48"/>
    <w:rsid w:val="00310039"/>
    <w:rsid w:val="003101A8"/>
    <w:rsid w:val="00310318"/>
    <w:rsid w:val="003105EC"/>
    <w:rsid w:val="0031071A"/>
    <w:rsid w:val="00310783"/>
    <w:rsid w:val="00310AC8"/>
    <w:rsid w:val="00310D7C"/>
    <w:rsid w:val="00311734"/>
    <w:rsid w:val="00311D6C"/>
    <w:rsid w:val="00311DDE"/>
    <w:rsid w:val="0031233C"/>
    <w:rsid w:val="003124BB"/>
    <w:rsid w:val="003125B5"/>
    <w:rsid w:val="00312AF7"/>
    <w:rsid w:val="00312B76"/>
    <w:rsid w:val="00312BC9"/>
    <w:rsid w:val="00312C6D"/>
    <w:rsid w:val="00312C9C"/>
    <w:rsid w:val="00312EF0"/>
    <w:rsid w:val="00312F32"/>
    <w:rsid w:val="00312FD7"/>
    <w:rsid w:val="0031308A"/>
    <w:rsid w:val="0031345A"/>
    <w:rsid w:val="0031353B"/>
    <w:rsid w:val="00313544"/>
    <w:rsid w:val="00313835"/>
    <w:rsid w:val="00313A5E"/>
    <w:rsid w:val="00313F3C"/>
    <w:rsid w:val="00314187"/>
    <w:rsid w:val="003141E2"/>
    <w:rsid w:val="00314282"/>
    <w:rsid w:val="00314315"/>
    <w:rsid w:val="003143D9"/>
    <w:rsid w:val="003143E5"/>
    <w:rsid w:val="003145FF"/>
    <w:rsid w:val="0031488A"/>
    <w:rsid w:val="003148B1"/>
    <w:rsid w:val="003148D9"/>
    <w:rsid w:val="00314956"/>
    <w:rsid w:val="00314978"/>
    <w:rsid w:val="00314A75"/>
    <w:rsid w:val="00314F0B"/>
    <w:rsid w:val="00314FEE"/>
    <w:rsid w:val="00315211"/>
    <w:rsid w:val="00315228"/>
    <w:rsid w:val="003152D7"/>
    <w:rsid w:val="00315376"/>
    <w:rsid w:val="003153F8"/>
    <w:rsid w:val="003154A0"/>
    <w:rsid w:val="00315A45"/>
    <w:rsid w:val="00315BC2"/>
    <w:rsid w:val="003163F8"/>
    <w:rsid w:val="003165F5"/>
    <w:rsid w:val="003167DD"/>
    <w:rsid w:val="00316870"/>
    <w:rsid w:val="003168B4"/>
    <w:rsid w:val="00316B90"/>
    <w:rsid w:val="00316E05"/>
    <w:rsid w:val="00316F98"/>
    <w:rsid w:val="00316FBC"/>
    <w:rsid w:val="003170D6"/>
    <w:rsid w:val="003173AA"/>
    <w:rsid w:val="00317518"/>
    <w:rsid w:val="003176E0"/>
    <w:rsid w:val="00317978"/>
    <w:rsid w:val="0032007B"/>
    <w:rsid w:val="00320080"/>
    <w:rsid w:val="00320088"/>
    <w:rsid w:val="00320336"/>
    <w:rsid w:val="00320379"/>
    <w:rsid w:val="003205B7"/>
    <w:rsid w:val="0032080F"/>
    <w:rsid w:val="00320917"/>
    <w:rsid w:val="00320AE7"/>
    <w:rsid w:val="00320B88"/>
    <w:rsid w:val="00320BAF"/>
    <w:rsid w:val="00320C8A"/>
    <w:rsid w:val="00320D38"/>
    <w:rsid w:val="00320F75"/>
    <w:rsid w:val="0032117F"/>
    <w:rsid w:val="003217F0"/>
    <w:rsid w:val="00321957"/>
    <w:rsid w:val="00321A89"/>
    <w:rsid w:val="00321BC1"/>
    <w:rsid w:val="00321C1A"/>
    <w:rsid w:val="00321E8D"/>
    <w:rsid w:val="00321E91"/>
    <w:rsid w:val="00321FD3"/>
    <w:rsid w:val="00322228"/>
    <w:rsid w:val="0032239D"/>
    <w:rsid w:val="003226EB"/>
    <w:rsid w:val="0032272F"/>
    <w:rsid w:val="00322795"/>
    <w:rsid w:val="0032280C"/>
    <w:rsid w:val="00322813"/>
    <w:rsid w:val="00322851"/>
    <w:rsid w:val="00322D21"/>
    <w:rsid w:val="00322FE7"/>
    <w:rsid w:val="00323136"/>
    <w:rsid w:val="003232BD"/>
    <w:rsid w:val="0032332E"/>
    <w:rsid w:val="0032336E"/>
    <w:rsid w:val="0032353A"/>
    <w:rsid w:val="00323B93"/>
    <w:rsid w:val="00323F7D"/>
    <w:rsid w:val="00324010"/>
    <w:rsid w:val="0032418C"/>
    <w:rsid w:val="00324262"/>
    <w:rsid w:val="00324465"/>
    <w:rsid w:val="0032460F"/>
    <w:rsid w:val="00324654"/>
    <w:rsid w:val="003248DA"/>
    <w:rsid w:val="00324B4E"/>
    <w:rsid w:val="00324ECB"/>
    <w:rsid w:val="00324EDF"/>
    <w:rsid w:val="00324EE2"/>
    <w:rsid w:val="00324EE9"/>
    <w:rsid w:val="0032540D"/>
    <w:rsid w:val="003256A6"/>
    <w:rsid w:val="00325800"/>
    <w:rsid w:val="00325ED8"/>
    <w:rsid w:val="00326229"/>
    <w:rsid w:val="00326346"/>
    <w:rsid w:val="00326352"/>
    <w:rsid w:val="003264BA"/>
    <w:rsid w:val="0032673F"/>
    <w:rsid w:val="003267E3"/>
    <w:rsid w:val="00326B7F"/>
    <w:rsid w:val="00326C3B"/>
    <w:rsid w:val="00326D3D"/>
    <w:rsid w:val="00326DB1"/>
    <w:rsid w:val="00326DCF"/>
    <w:rsid w:val="00326FCA"/>
    <w:rsid w:val="0032711D"/>
    <w:rsid w:val="00327520"/>
    <w:rsid w:val="00327727"/>
    <w:rsid w:val="00327973"/>
    <w:rsid w:val="00327A1E"/>
    <w:rsid w:val="00327CF1"/>
    <w:rsid w:val="003300BA"/>
    <w:rsid w:val="003301FB"/>
    <w:rsid w:val="00330961"/>
    <w:rsid w:val="00330B2C"/>
    <w:rsid w:val="00330CA1"/>
    <w:rsid w:val="00330EE5"/>
    <w:rsid w:val="00330EFB"/>
    <w:rsid w:val="00330FB8"/>
    <w:rsid w:val="003310D6"/>
    <w:rsid w:val="0033122E"/>
    <w:rsid w:val="003312D3"/>
    <w:rsid w:val="003314A9"/>
    <w:rsid w:val="0033159D"/>
    <w:rsid w:val="00331658"/>
    <w:rsid w:val="0033172B"/>
    <w:rsid w:val="003318CE"/>
    <w:rsid w:val="00331957"/>
    <w:rsid w:val="00331B28"/>
    <w:rsid w:val="00331B64"/>
    <w:rsid w:val="00331BE9"/>
    <w:rsid w:val="00331BF8"/>
    <w:rsid w:val="00331C70"/>
    <w:rsid w:val="00331E21"/>
    <w:rsid w:val="00331F1D"/>
    <w:rsid w:val="003321A6"/>
    <w:rsid w:val="00332220"/>
    <w:rsid w:val="003324E9"/>
    <w:rsid w:val="0033251C"/>
    <w:rsid w:val="0033259B"/>
    <w:rsid w:val="003327A3"/>
    <w:rsid w:val="00332802"/>
    <w:rsid w:val="003328B4"/>
    <w:rsid w:val="0033291F"/>
    <w:rsid w:val="00332CB3"/>
    <w:rsid w:val="00332F78"/>
    <w:rsid w:val="00333348"/>
    <w:rsid w:val="0033336B"/>
    <w:rsid w:val="0033343E"/>
    <w:rsid w:val="00333543"/>
    <w:rsid w:val="00333723"/>
    <w:rsid w:val="00333820"/>
    <w:rsid w:val="00333904"/>
    <w:rsid w:val="00333973"/>
    <w:rsid w:val="00333B5C"/>
    <w:rsid w:val="00333F7F"/>
    <w:rsid w:val="0033403E"/>
    <w:rsid w:val="003341AF"/>
    <w:rsid w:val="003341E2"/>
    <w:rsid w:val="003346BB"/>
    <w:rsid w:val="00334857"/>
    <w:rsid w:val="003348B5"/>
    <w:rsid w:val="003348C8"/>
    <w:rsid w:val="00334968"/>
    <w:rsid w:val="003349C4"/>
    <w:rsid w:val="00334BB8"/>
    <w:rsid w:val="00334BD8"/>
    <w:rsid w:val="00334C18"/>
    <w:rsid w:val="00334CDB"/>
    <w:rsid w:val="00334FC3"/>
    <w:rsid w:val="003350A1"/>
    <w:rsid w:val="003351EC"/>
    <w:rsid w:val="003356A3"/>
    <w:rsid w:val="00335975"/>
    <w:rsid w:val="003359A3"/>
    <w:rsid w:val="003359C9"/>
    <w:rsid w:val="003359E6"/>
    <w:rsid w:val="00335CDD"/>
    <w:rsid w:val="00335CEE"/>
    <w:rsid w:val="00335FE8"/>
    <w:rsid w:val="0033633F"/>
    <w:rsid w:val="00336809"/>
    <w:rsid w:val="00336822"/>
    <w:rsid w:val="00336DDE"/>
    <w:rsid w:val="003370D4"/>
    <w:rsid w:val="0033735E"/>
    <w:rsid w:val="003373ED"/>
    <w:rsid w:val="00337978"/>
    <w:rsid w:val="00337A51"/>
    <w:rsid w:val="00337C36"/>
    <w:rsid w:val="00337D36"/>
    <w:rsid w:val="00337DEE"/>
    <w:rsid w:val="00337EF3"/>
    <w:rsid w:val="00340150"/>
    <w:rsid w:val="003404D9"/>
    <w:rsid w:val="00340782"/>
    <w:rsid w:val="003407E5"/>
    <w:rsid w:val="00340887"/>
    <w:rsid w:val="003408A3"/>
    <w:rsid w:val="003409FD"/>
    <w:rsid w:val="00340D80"/>
    <w:rsid w:val="00340DA6"/>
    <w:rsid w:val="0034103D"/>
    <w:rsid w:val="0034118B"/>
    <w:rsid w:val="00341533"/>
    <w:rsid w:val="003416D3"/>
    <w:rsid w:val="00341B98"/>
    <w:rsid w:val="00341E5E"/>
    <w:rsid w:val="0034203A"/>
    <w:rsid w:val="00342447"/>
    <w:rsid w:val="003424AA"/>
    <w:rsid w:val="003429EC"/>
    <w:rsid w:val="00342B51"/>
    <w:rsid w:val="00342C13"/>
    <w:rsid w:val="00342DB7"/>
    <w:rsid w:val="00342E38"/>
    <w:rsid w:val="00342E80"/>
    <w:rsid w:val="00343257"/>
    <w:rsid w:val="00343290"/>
    <w:rsid w:val="003432A9"/>
    <w:rsid w:val="00343331"/>
    <w:rsid w:val="003434B1"/>
    <w:rsid w:val="00343597"/>
    <w:rsid w:val="0034359C"/>
    <w:rsid w:val="0034392F"/>
    <w:rsid w:val="00343ADB"/>
    <w:rsid w:val="00343C35"/>
    <w:rsid w:val="00343CAC"/>
    <w:rsid w:val="00343E6D"/>
    <w:rsid w:val="00343F4B"/>
    <w:rsid w:val="003442DE"/>
    <w:rsid w:val="0034434A"/>
    <w:rsid w:val="00344473"/>
    <w:rsid w:val="003445D7"/>
    <w:rsid w:val="003449B5"/>
    <w:rsid w:val="00344A99"/>
    <w:rsid w:val="00344AD5"/>
    <w:rsid w:val="00344B4F"/>
    <w:rsid w:val="00344BA6"/>
    <w:rsid w:val="00344BE8"/>
    <w:rsid w:val="00345016"/>
    <w:rsid w:val="0034590D"/>
    <w:rsid w:val="00345AC3"/>
    <w:rsid w:val="00345EB5"/>
    <w:rsid w:val="00345EC6"/>
    <w:rsid w:val="00345F0E"/>
    <w:rsid w:val="003460DF"/>
    <w:rsid w:val="003462E8"/>
    <w:rsid w:val="00346425"/>
    <w:rsid w:val="00346510"/>
    <w:rsid w:val="0034665F"/>
    <w:rsid w:val="003468A3"/>
    <w:rsid w:val="00346905"/>
    <w:rsid w:val="00346D16"/>
    <w:rsid w:val="0034713F"/>
    <w:rsid w:val="003472E0"/>
    <w:rsid w:val="0034735F"/>
    <w:rsid w:val="00347618"/>
    <w:rsid w:val="003479F4"/>
    <w:rsid w:val="00347E1E"/>
    <w:rsid w:val="003500DE"/>
    <w:rsid w:val="003502CF"/>
    <w:rsid w:val="003502E2"/>
    <w:rsid w:val="00350DF9"/>
    <w:rsid w:val="00350E51"/>
    <w:rsid w:val="00350F43"/>
    <w:rsid w:val="0035119F"/>
    <w:rsid w:val="00351265"/>
    <w:rsid w:val="00351322"/>
    <w:rsid w:val="003515F2"/>
    <w:rsid w:val="00351B3C"/>
    <w:rsid w:val="00351BB3"/>
    <w:rsid w:val="00351BF6"/>
    <w:rsid w:val="00351E59"/>
    <w:rsid w:val="00351E78"/>
    <w:rsid w:val="00352247"/>
    <w:rsid w:val="003523BA"/>
    <w:rsid w:val="0035248F"/>
    <w:rsid w:val="00352557"/>
    <w:rsid w:val="003526A1"/>
    <w:rsid w:val="0035282C"/>
    <w:rsid w:val="00352908"/>
    <w:rsid w:val="00352D9F"/>
    <w:rsid w:val="00353025"/>
    <w:rsid w:val="00353277"/>
    <w:rsid w:val="00353707"/>
    <w:rsid w:val="003538DB"/>
    <w:rsid w:val="00353D87"/>
    <w:rsid w:val="00353F20"/>
    <w:rsid w:val="00353F6D"/>
    <w:rsid w:val="0035431F"/>
    <w:rsid w:val="003546B7"/>
    <w:rsid w:val="00354A06"/>
    <w:rsid w:val="00354A21"/>
    <w:rsid w:val="00354B92"/>
    <w:rsid w:val="00354C19"/>
    <w:rsid w:val="00354C41"/>
    <w:rsid w:val="00354CBA"/>
    <w:rsid w:val="00354DCB"/>
    <w:rsid w:val="00354E0F"/>
    <w:rsid w:val="0035500C"/>
    <w:rsid w:val="00355086"/>
    <w:rsid w:val="003550B5"/>
    <w:rsid w:val="0035512D"/>
    <w:rsid w:val="0035527D"/>
    <w:rsid w:val="00355332"/>
    <w:rsid w:val="003554B4"/>
    <w:rsid w:val="003556B0"/>
    <w:rsid w:val="0035572A"/>
    <w:rsid w:val="00355B97"/>
    <w:rsid w:val="00355C90"/>
    <w:rsid w:val="00355CE5"/>
    <w:rsid w:val="00355D05"/>
    <w:rsid w:val="00356166"/>
    <w:rsid w:val="0035624D"/>
    <w:rsid w:val="0035629D"/>
    <w:rsid w:val="0035660A"/>
    <w:rsid w:val="003566B0"/>
    <w:rsid w:val="00356782"/>
    <w:rsid w:val="00356794"/>
    <w:rsid w:val="003567FB"/>
    <w:rsid w:val="00356A24"/>
    <w:rsid w:val="00356E3D"/>
    <w:rsid w:val="00357115"/>
    <w:rsid w:val="003572AE"/>
    <w:rsid w:val="00357376"/>
    <w:rsid w:val="0035742B"/>
    <w:rsid w:val="00357540"/>
    <w:rsid w:val="0035761F"/>
    <w:rsid w:val="003576E8"/>
    <w:rsid w:val="003577C7"/>
    <w:rsid w:val="00357A39"/>
    <w:rsid w:val="00357AE6"/>
    <w:rsid w:val="00357D3B"/>
    <w:rsid w:val="00360585"/>
    <w:rsid w:val="003605F0"/>
    <w:rsid w:val="003606BE"/>
    <w:rsid w:val="0036083B"/>
    <w:rsid w:val="00360C8D"/>
    <w:rsid w:val="00360D17"/>
    <w:rsid w:val="00360DDE"/>
    <w:rsid w:val="00360F27"/>
    <w:rsid w:val="0036108B"/>
    <w:rsid w:val="003610E0"/>
    <w:rsid w:val="0036122D"/>
    <w:rsid w:val="0036153A"/>
    <w:rsid w:val="00361572"/>
    <w:rsid w:val="00361663"/>
    <w:rsid w:val="00361677"/>
    <w:rsid w:val="00361A05"/>
    <w:rsid w:val="00361A0F"/>
    <w:rsid w:val="00361C60"/>
    <w:rsid w:val="00361CCB"/>
    <w:rsid w:val="0036218B"/>
    <w:rsid w:val="003621D5"/>
    <w:rsid w:val="00362353"/>
    <w:rsid w:val="00362445"/>
    <w:rsid w:val="00362558"/>
    <w:rsid w:val="003625ED"/>
    <w:rsid w:val="003625FB"/>
    <w:rsid w:val="003626BE"/>
    <w:rsid w:val="00362B83"/>
    <w:rsid w:val="00362BAB"/>
    <w:rsid w:val="00362D76"/>
    <w:rsid w:val="00362FC7"/>
    <w:rsid w:val="00363665"/>
    <w:rsid w:val="003636EE"/>
    <w:rsid w:val="003637E2"/>
    <w:rsid w:val="0036397E"/>
    <w:rsid w:val="00363A74"/>
    <w:rsid w:val="00363C1C"/>
    <w:rsid w:val="00363EA0"/>
    <w:rsid w:val="003641CB"/>
    <w:rsid w:val="00364206"/>
    <w:rsid w:val="003642D7"/>
    <w:rsid w:val="0036432A"/>
    <w:rsid w:val="003643E8"/>
    <w:rsid w:val="003643FB"/>
    <w:rsid w:val="00364886"/>
    <w:rsid w:val="00364B3F"/>
    <w:rsid w:val="00364C44"/>
    <w:rsid w:val="003654F9"/>
    <w:rsid w:val="00365742"/>
    <w:rsid w:val="00365802"/>
    <w:rsid w:val="003658CD"/>
    <w:rsid w:val="00365A86"/>
    <w:rsid w:val="00365AE6"/>
    <w:rsid w:val="00365CB7"/>
    <w:rsid w:val="00365EEC"/>
    <w:rsid w:val="00365F31"/>
    <w:rsid w:val="003662FA"/>
    <w:rsid w:val="0036659C"/>
    <w:rsid w:val="0036661F"/>
    <w:rsid w:val="00366A6E"/>
    <w:rsid w:val="00366CA8"/>
    <w:rsid w:val="00366D7F"/>
    <w:rsid w:val="00366F8A"/>
    <w:rsid w:val="0036732D"/>
    <w:rsid w:val="0036734D"/>
    <w:rsid w:val="00367391"/>
    <w:rsid w:val="003674A2"/>
    <w:rsid w:val="003678EF"/>
    <w:rsid w:val="0036793C"/>
    <w:rsid w:val="00367B19"/>
    <w:rsid w:val="00367C1C"/>
    <w:rsid w:val="00367C65"/>
    <w:rsid w:val="00370232"/>
    <w:rsid w:val="003703ED"/>
    <w:rsid w:val="00370744"/>
    <w:rsid w:val="00370D2F"/>
    <w:rsid w:val="00370DD2"/>
    <w:rsid w:val="00371171"/>
    <w:rsid w:val="0037138C"/>
    <w:rsid w:val="003714CE"/>
    <w:rsid w:val="003718B6"/>
    <w:rsid w:val="00371C3E"/>
    <w:rsid w:val="00371F0D"/>
    <w:rsid w:val="00371F8E"/>
    <w:rsid w:val="003720B4"/>
    <w:rsid w:val="003720BE"/>
    <w:rsid w:val="003720CA"/>
    <w:rsid w:val="0037221E"/>
    <w:rsid w:val="003723F2"/>
    <w:rsid w:val="00372406"/>
    <w:rsid w:val="0037247D"/>
    <w:rsid w:val="00372999"/>
    <w:rsid w:val="00372A9A"/>
    <w:rsid w:val="00372B2D"/>
    <w:rsid w:val="00372B86"/>
    <w:rsid w:val="00372C24"/>
    <w:rsid w:val="00372C6D"/>
    <w:rsid w:val="00372E94"/>
    <w:rsid w:val="00373075"/>
    <w:rsid w:val="00373141"/>
    <w:rsid w:val="00373215"/>
    <w:rsid w:val="00373275"/>
    <w:rsid w:val="0037331C"/>
    <w:rsid w:val="0037333C"/>
    <w:rsid w:val="003734C2"/>
    <w:rsid w:val="00373805"/>
    <w:rsid w:val="003739A5"/>
    <w:rsid w:val="00373C8B"/>
    <w:rsid w:val="00373D87"/>
    <w:rsid w:val="00373F44"/>
    <w:rsid w:val="00374050"/>
    <w:rsid w:val="003741E6"/>
    <w:rsid w:val="00374327"/>
    <w:rsid w:val="0037492F"/>
    <w:rsid w:val="00374B88"/>
    <w:rsid w:val="00374BC3"/>
    <w:rsid w:val="00374C37"/>
    <w:rsid w:val="00374E51"/>
    <w:rsid w:val="00374EA8"/>
    <w:rsid w:val="003754D5"/>
    <w:rsid w:val="0037556F"/>
    <w:rsid w:val="00375874"/>
    <w:rsid w:val="00375AD4"/>
    <w:rsid w:val="00375B61"/>
    <w:rsid w:val="00376053"/>
    <w:rsid w:val="0037624E"/>
    <w:rsid w:val="00376255"/>
    <w:rsid w:val="00376447"/>
    <w:rsid w:val="00376747"/>
    <w:rsid w:val="003768FC"/>
    <w:rsid w:val="00376BC2"/>
    <w:rsid w:val="00376CBC"/>
    <w:rsid w:val="00376E69"/>
    <w:rsid w:val="003770FB"/>
    <w:rsid w:val="0037732C"/>
    <w:rsid w:val="00377803"/>
    <w:rsid w:val="0037789B"/>
    <w:rsid w:val="00377A39"/>
    <w:rsid w:val="00377A99"/>
    <w:rsid w:val="00377D6D"/>
    <w:rsid w:val="00377DF1"/>
    <w:rsid w:val="00377E47"/>
    <w:rsid w:val="00377EA9"/>
    <w:rsid w:val="00377F8C"/>
    <w:rsid w:val="00377FB9"/>
    <w:rsid w:val="0038015D"/>
    <w:rsid w:val="003801CB"/>
    <w:rsid w:val="003802C2"/>
    <w:rsid w:val="003802EA"/>
    <w:rsid w:val="00380435"/>
    <w:rsid w:val="003804E2"/>
    <w:rsid w:val="00380543"/>
    <w:rsid w:val="003805D7"/>
    <w:rsid w:val="00380686"/>
    <w:rsid w:val="00380CF2"/>
    <w:rsid w:val="00380E50"/>
    <w:rsid w:val="00380EFA"/>
    <w:rsid w:val="00380F2D"/>
    <w:rsid w:val="00380F76"/>
    <w:rsid w:val="00380F97"/>
    <w:rsid w:val="0038113E"/>
    <w:rsid w:val="00381309"/>
    <w:rsid w:val="003814E3"/>
    <w:rsid w:val="00381829"/>
    <w:rsid w:val="00381A51"/>
    <w:rsid w:val="00381CEE"/>
    <w:rsid w:val="00381FC4"/>
    <w:rsid w:val="003822BC"/>
    <w:rsid w:val="003825F6"/>
    <w:rsid w:val="0038271E"/>
    <w:rsid w:val="00382A16"/>
    <w:rsid w:val="00382BB2"/>
    <w:rsid w:val="00382DD1"/>
    <w:rsid w:val="00382FCA"/>
    <w:rsid w:val="003830AF"/>
    <w:rsid w:val="0038326D"/>
    <w:rsid w:val="003834FD"/>
    <w:rsid w:val="00383740"/>
    <w:rsid w:val="00383809"/>
    <w:rsid w:val="003838A7"/>
    <w:rsid w:val="00383B57"/>
    <w:rsid w:val="00383DD1"/>
    <w:rsid w:val="0038455D"/>
    <w:rsid w:val="0038462B"/>
    <w:rsid w:val="003846CE"/>
    <w:rsid w:val="00384904"/>
    <w:rsid w:val="00384A98"/>
    <w:rsid w:val="00384C2A"/>
    <w:rsid w:val="00384C5B"/>
    <w:rsid w:val="00384E13"/>
    <w:rsid w:val="0038532E"/>
    <w:rsid w:val="003853E8"/>
    <w:rsid w:val="00385AC2"/>
    <w:rsid w:val="00385B40"/>
    <w:rsid w:val="00385EC5"/>
    <w:rsid w:val="00386123"/>
    <w:rsid w:val="0038616C"/>
    <w:rsid w:val="0038622A"/>
    <w:rsid w:val="003867CE"/>
    <w:rsid w:val="003867F1"/>
    <w:rsid w:val="00386B67"/>
    <w:rsid w:val="00386E22"/>
    <w:rsid w:val="003871A8"/>
    <w:rsid w:val="003871FE"/>
    <w:rsid w:val="003873B9"/>
    <w:rsid w:val="003875EA"/>
    <w:rsid w:val="0038766B"/>
    <w:rsid w:val="0038778F"/>
    <w:rsid w:val="003878D4"/>
    <w:rsid w:val="00387A1C"/>
    <w:rsid w:val="00387FE5"/>
    <w:rsid w:val="0039046F"/>
    <w:rsid w:val="003909D7"/>
    <w:rsid w:val="00390F79"/>
    <w:rsid w:val="003913D3"/>
    <w:rsid w:val="003915C4"/>
    <w:rsid w:val="00391674"/>
    <w:rsid w:val="0039181E"/>
    <w:rsid w:val="0039188A"/>
    <w:rsid w:val="0039204C"/>
    <w:rsid w:val="003927B8"/>
    <w:rsid w:val="00392A01"/>
    <w:rsid w:val="00392D18"/>
    <w:rsid w:val="00392F7B"/>
    <w:rsid w:val="003930D3"/>
    <w:rsid w:val="00393794"/>
    <w:rsid w:val="00393AD0"/>
    <w:rsid w:val="00393F4D"/>
    <w:rsid w:val="003941FB"/>
    <w:rsid w:val="0039420C"/>
    <w:rsid w:val="0039444F"/>
    <w:rsid w:val="003945A4"/>
    <w:rsid w:val="00394864"/>
    <w:rsid w:val="00394880"/>
    <w:rsid w:val="00394A28"/>
    <w:rsid w:val="00394B8D"/>
    <w:rsid w:val="00394EA5"/>
    <w:rsid w:val="00395122"/>
    <w:rsid w:val="00395337"/>
    <w:rsid w:val="0039540D"/>
    <w:rsid w:val="003957B1"/>
    <w:rsid w:val="00395A27"/>
    <w:rsid w:val="00395AD3"/>
    <w:rsid w:val="00395BD4"/>
    <w:rsid w:val="00395D49"/>
    <w:rsid w:val="00395ECE"/>
    <w:rsid w:val="00395FC6"/>
    <w:rsid w:val="00396658"/>
    <w:rsid w:val="0039678B"/>
    <w:rsid w:val="003968D6"/>
    <w:rsid w:val="0039700E"/>
    <w:rsid w:val="003974B5"/>
    <w:rsid w:val="00397688"/>
    <w:rsid w:val="003976E8"/>
    <w:rsid w:val="0039773E"/>
    <w:rsid w:val="00397C4B"/>
    <w:rsid w:val="00397C5A"/>
    <w:rsid w:val="00397F1E"/>
    <w:rsid w:val="003A0164"/>
    <w:rsid w:val="003A01A3"/>
    <w:rsid w:val="003A0428"/>
    <w:rsid w:val="003A0577"/>
    <w:rsid w:val="003A0734"/>
    <w:rsid w:val="003A094D"/>
    <w:rsid w:val="003A0A34"/>
    <w:rsid w:val="003A0BC7"/>
    <w:rsid w:val="003A126F"/>
    <w:rsid w:val="003A1446"/>
    <w:rsid w:val="003A1DDF"/>
    <w:rsid w:val="003A1FD3"/>
    <w:rsid w:val="003A2027"/>
    <w:rsid w:val="003A236D"/>
    <w:rsid w:val="003A2474"/>
    <w:rsid w:val="003A2504"/>
    <w:rsid w:val="003A25D1"/>
    <w:rsid w:val="003A2C0B"/>
    <w:rsid w:val="003A2CAF"/>
    <w:rsid w:val="003A33B7"/>
    <w:rsid w:val="003A347F"/>
    <w:rsid w:val="003A365F"/>
    <w:rsid w:val="003A3820"/>
    <w:rsid w:val="003A393B"/>
    <w:rsid w:val="003A3A6A"/>
    <w:rsid w:val="003A3B21"/>
    <w:rsid w:val="003A3E33"/>
    <w:rsid w:val="003A3F09"/>
    <w:rsid w:val="003A40F9"/>
    <w:rsid w:val="003A41E0"/>
    <w:rsid w:val="003A49EF"/>
    <w:rsid w:val="003A4A3F"/>
    <w:rsid w:val="003A4A7A"/>
    <w:rsid w:val="003A4EC6"/>
    <w:rsid w:val="003A5355"/>
    <w:rsid w:val="003A55DB"/>
    <w:rsid w:val="003A5746"/>
    <w:rsid w:val="003A5B40"/>
    <w:rsid w:val="003A5C93"/>
    <w:rsid w:val="003A5CBA"/>
    <w:rsid w:val="003A5CF3"/>
    <w:rsid w:val="003A5F3D"/>
    <w:rsid w:val="003A6135"/>
    <w:rsid w:val="003A6285"/>
    <w:rsid w:val="003A6668"/>
    <w:rsid w:val="003A6682"/>
    <w:rsid w:val="003A6687"/>
    <w:rsid w:val="003A66BD"/>
    <w:rsid w:val="003A670F"/>
    <w:rsid w:val="003A675C"/>
    <w:rsid w:val="003A67C7"/>
    <w:rsid w:val="003A67D2"/>
    <w:rsid w:val="003A6A56"/>
    <w:rsid w:val="003A6AD9"/>
    <w:rsid w:val="003A6B50"/>
    <w:rsid w:val="003A6F8A"/>
    <w:rsid w:val="003A700F"/>
    <w:rsid w:val="003A708E"/>
    <w:rsid w:val="003A743C"/>
    <w:rsid w:val="003A74F3"/>
    <w:rsid w:val="003A78FF"/>
    <w:rsid w:val="003A7AC0"/>
    <w:rsid w:val="003A7EF6"/>
    <w:rsid w:val="003B024E"/>
    <w:rsid w:val="003B026A"/>
    <w:rsid w:val="003B05F5"/>
    <w:rsid w:val="003B0695"/>
    <w:rsid w:val="003B0769"/>
    <w:rsid w:val="003B090F"/>
    <w:rsid w:val="003B09A0"/>
    <w:rsid w:val="003B0B79"/>
    <w:rsid w:val="003B1011"/>
    <w:rsid w:val="003B1167"/>
    <w:rsid w:val="003B11F3"/>
    <w:rsid w:val="003B1553"/>
    <w:rsid w:val="003B15E5"/>
    <w:rsid w:val="003B183D"/>
    <w:rsid w:val="003B19E2"/>
    <w:rsid w:val="003B1B7F"/>
    <w:rsid w:val="003B1DCE"/>
    <w:rsid w:val="003B20B0"/>
    <w:rsid w:val="003B20B8"/>
    <w:rsid w:val="003B2734"/>
    <w:rsid w:val="003B27F5"/>
    <w:rsid w:val="003B2957"/>
    <w:rsid w:val="003B295A"/>
    <w:rsid w:val="003B2E6F"/>
    <w:rsid w:val="003B2ECD"/>
    <w:rsid w:val="003B2FC3"/>
    <w:rsid w:val="003B3074"/>
    <w:rsid w:val="003B3255"/>
    <w:rsid w:val="003B3403"/>
    <w:rsid w:val="003B3455"/>
    <w:rsid w:val="003B3462"/>
    <w:rsid w:val="003B3536"/>
    <w:rsid w:val="003B3727"/>
    <w:rsid w:val="003B3B91"/>
    <w:rsid w:val="003B3E92"/>
    <w:rsid w:val="003B3FB1"/>
    <w:rsid w:val="003B4399"/>
    <w:rsid w:val="003B470A"/>
    <w:rsid w:val="003B490B"/>
    <w:rsid w:val="003B4AC0"/>
    <w:rsid w:val="003B4B8C"/>
    <w:rsid w:val="003B4C0A"/>
    <w:rsid w:val="003B4F42"/>
    <w:rsid w:val="003B51A4"/>
    <w:rsid w:val="003B5296"/>
    <w:rsid w:val="003B5929"/>
    <w:rsid w:val="003B5A77"/>
    <w:rsid w:val="003B5AB3"/>
    <w:rsid w:val="003B5E3C"/>
    <w:rsid w:val="003B61BB"/>
    <w:rsid w:val="003B63A0"/>
    <w:rsid w:val="003B6445"/>
    <w:rsid w:val="003B65A8"/>
    <w:rsid w:val="003B67CE"/>
    <w:rsid w:val="003B67D5"/>
    <w:rsid w:val="003B6A87"/>
    <w:rsid w:val="003B6BC2"/>
    <w:rsid w:val="003B6E47"/>
    <w:rsid w:val="003B6E96"/>
    <w:rsid w:val="003B6F55"/>
    <w:rsid w:val="003B75EA"/>
    <w:rsid w:val="003B7668"/>
    <w:rsid w:val="003B78DF"/>
    <w:rsid w:val="003B7E52"/>
    <w:rsid w:val="003B7EEA"/>
    <w:rsid w:val="003C01E9"/>
    <w:rsid w:val="003C0640"/>
    <w:rsid w:val="003C0AE6"/>
    <w:rsid w:val="003C0C40"/>
    <w:rsid w:val="003C1187"/>
    <w:rsid w:val="003C13FB"/>
    <w:rsid w:val="003C169C"/>
    <w:rsid w:val="003C1727"/>
    <w:rsid w:val="003C19E4"/>
    <w:rsid w:val="003C1CE8"/>
    <w:rsid w:val="003C1E82"/>
    <w:rsid w:val="003C1FF7"/>
    <w:rsid w:val="003C2036"/>
    <w:rsid w:val="003C209D"/>
    <w:rsid w:val="003C20C6"/>
    <w:rsid w:val="003C22CB"/>
    <w:rsid w:val="003C2390"/>
    <w:rsid w:val="003C2476"/>
    <w:rsid w:val="003C24E0"/>
    <w:rsid w:val="003C2607"/>
    <w:rsid w:val="003C263C"/>
    <w:rsid w:val="003C2691"/>
    <w:rsid w:val="003C339A"/>
    <w:rsid w:val="003C3766"/>
    <w:rsid w:val="003C3916"/>
    <w:rsid w:val="003C3D72"/>
    <w:rsid w:val="003C3F4E"/>
    <w:rsid w:val="003C4007"/>
    <w:rsid w:val="003C4043"/>
    <w:rsid w:val="003C43D4"/>
    <w:rsid w:val="003C43DB"/>
    <w:rsid w:val="003C441F"/>
    <w:rsid w:val="003C471D"/>
    <w:rsid w:val="003C4731"/>
    <w:rsid w:val="003C488B"/>
    <w:rsid w:val="003C4905"/>
    <w:rsid w:val="003C4BF0"/>
    <w:rsid w:val="003C4CF7"/>
    <w:rsid w:val="003C4EA9"/>
    <w:rsid w:val="003C5349"/>
    <w:rsid w:val="003C5357"/>
    <w:rsid w:val="003C5390"/>
    <w:rsid w:val="003C545C"/>
    <w:rsid w:val="003C59D0"/>
    <w:rsid w:val="003C5A03"/>
    <w:rsid w:val="003C5C6C"/>
    <w:rsid w:val="003C5E60"/>
    <w:rsid w:val="003C6043"/>
    <w:rsid w:val="003C668A"/>
    <w:rsid w:val="003C6747"/>
    <w:rsid w:val="003C6A4A"/>
    <w:rsid w:val="003C7496"/>
    <w:rsid w:val="003C7938"/>
    <w:rsid w:val="003C7A60"/>
    <w:rsid w:val="003C7B86"/>
    <w:rsid w:val="003C7B98"/>
    <w:rsid w:val="003C7D4E"/>
    <w:rsid w:val="003D0004"/>
    <w:rsid w:val="003D0053"/>
    <w:rsid w:val="003D0186"/>
    <w:rsid w:val="003D024A"/>
    <w:rsid w:val="003D0259"/>
    <w:rsid w:val="003D03F5"/>
    <w:rsid w:val="003D05C2"/>
    <w:rsid w:val="003D090C"/>
    <w:rsid w:val="003D0B2D"/>
    <w:rsid w:val="003D0E86"/>
    <w:rsid w:val="003D0F0B"/>
    <w:rsid w:val="003D1359"/>
    <w:rsid w:val="003D1369"/>
    <w:rsid w:val="003D1873"/>
    <w:rsid w:val="003D19C3"/>
    <w:rsid w:val="003D19E7"/>
    <w:rsid w:val="003D1A8A"/>
    <w:rsid w:val="003D1D2A"/>
    <w:rsid w:val="003D1F21"/>
    <w:rsid w:val="003D218C"/>
    <w:rsid w:val="003D2193"/>
    <w:rsid w:val="003D2396"/>
    <w:rsid w:val="003D245C"/>
    <w:rsid w:val="003D267B"/>
    <w:rsid w:val="003D26AF"/>
    <w:rsid w:val="003D2836"/>
    <w:rsid w:val="003D283D"/>
    <w:rsid w:val="003D2986"/>
    <w:rsid w:val="003D301A"/>
    <w:rsid w:val="003D3267"/>
    <w:rsid w:val="003D3333"/>
    <w:rsid w:val="003D3799"/>
    <w:rsid w:val="003D380D"/>
    <w:rsid w:val="003D38DA"/>
    <w:rsid w:val="003D395E"/>
    <w:rsid w:val="003D4114"/>
    <w:rsid w:val="003D45C2"/>
    <w:rsid w:val="003D45C4"/>
    <w:rsid w:val="003D4607"/>
    <w:rsid w:val="003D46FC"/>
    <w:rsid w:val="003D47A3"/>
    <w:rsid w:val="003D4866"/>
    <w:rsid w:val="003D4A6A"/>
    <w:rsid w:val="003D4ACB"/>
    <w:rsid w:val="003D4DBC"/>
    <w:rsid w:val="003D4F1A"/>
    <w:rsid w:val="003D50E0"/>
    <w:rsid w:val="003D51D7"/>
    <w:rsid w:val="003D5583"/>
    <w:rsid w:val="003D5622"/>
    <w:rsid w:val="003D5884"/>
    <w:rsid w:val="003D5A0A"/>
    <w:rsid w:val="003D5AEA"/>
    <w:rsid w:val="003D5B46"/>
    <w:rsid w:val="003D5D0F"/>
    <w:rsid w:val="003D5F79"/>
    <w:rsid w:val="003D60CB"/>
    <w:rsid w:val="003D63AB"/>
    <w:rsid w:val="003D63EC"/>
    <w:rsid w:val="003D6480"/>
    <w:rsid w:val="003D64F2"/>
    <w:rsid w:val="003D657C"/>
    <w:rsid w:val="003D6922"/>
    <w:rsid w:val="003D6AAC"/>
    <w:rsid w:val="003D6B68"/>
    <w:rsid w:val="003D6CF1"/>
    <w:rsid w:val="003D6D6C"/>
    <w:rsid w:val="003D6E05"/>
    <w:rsid w:val="003D6E20"/>
    <w:rsid w:val="003D7002"/>
    <w:rsid w:val="003D7140"/>
    <w:rsid w:val="003D72EA"/>
    <w:rsid w:val="003D7378"/>
    <w:rsid w:val="003D78B4"/>
    <w:rsid w:val="003D7B4C"/>
    <w:rsid w:val="003D7C48"/>
    <w:rsid w:val="003D7C78"/>
    <w:rsid w:val="003E0044"/>
    <w:rsid w:val="003E046B"/>
    <w:rsid w:val="003E0660"/>
    <w:rsid w:val="003E079E"/>
    <w:rsid w:val="003E07B3"/>
    <w:rsid w:val="003E0C75"/>
    <w:rsid w:val="003E0E01"/>
    <w:rsid w:val="003E0FDC"/>
    <w:rsid w:val="003E101E"/>
    <w:rsid w:val="003E13C0"/>
    <w:rsid w:val="003E14C8"/>
    <w:rsid w:val="003E17E1"/>
    <w:rsid w:val="003E187A"/>
    <w:rsid w:val="003E1885"/>
    <w:rsid w:val="003E1950"/>
    <w:rsid w:val="003E1F46"/>
    <w:rsid w:val="003E1FC0"/>
    <w:rsid w:val="003E21B0"/>
    <w:rsid w:val="003E27B0"/>
    <w:rsid w:val="003E2870"/>
    <w:rsid w:val="003E3335"/>
    <w:rsid w:val="003E359A"/>
    <w:rsid w:val="003E3825"/>
    <w:rsid w:val="003E386E"/>
    <w:rsid w:val="003E38D5"/>
    <w:rsid w:val="003E391D"/>
    <w:rsid w:val="003E3A58"/>
    <w:rsid w:val="003E3C82"/>
    <w:rsid w:val="003E3D5C"/>
    <w:rsid w:val="003E3D6F"/>
    <w:rsid w:val="003E3DBB"/>
    <w:rsid w:val="003E437E"/>
    <w:rsid w:val="003E44A3"/>
    <w:rsid w:val="003E4862"/>
    <w:rsid w:val="003E48DB"/>
    <w:rsid w:val="003E48F2"/>
    <w:rsid w:val="003E496B"/>
    <w:rsid w:val="003E49C4"/>
    <w:rsid w:val="003E4B25"/>
    <w:rsid w:val="003E4C42"/>
    <w:rsid w:val="003E4FCF"/>
    <w:rsid w:val="003E5039"/>
    <w:rsid w:val="003E5230"/>
    <w:rsid w:val="003E57AA"/>
    <w:rsid w:val="003E58CB"/>
    <w:rsid w:val="003E58E1"/>
    <w:rsid w:val="003E58FA"/>
    <w:rsid w:val="003E5A52"/>
    <w:rsid w:val="003E5A80"/>
    <w:rsid w:val="003E5C32"/>
    <w:rsid w:val="003E5C58"/>
    <w:rsid w:val="003E608E"/>
    <w:rsid w:val="003E6175"/>
    <w:rsid w:val="003E628D"/>
    <w:rsid w:val="003E650F"/>
    <w:rsid w:val="003E6528"/>
    <w:rsid w:val="003E682F"/>
    <w:rsid w:val="003E6D10"/>
    <w:rsid w:val="003E6D72"/>
    <w:rsid w:val="003E6E77"/>
    <w:rsid w:val="003E727A"/>
    <w:rsid w:val="003E7510"/>
    <w:rsid w:val="003E7728"/>
    <w:rsid w:val="003E7862"/>
    <w:rsid w:val="003E7873"/>
    <w:rsid w:val="003E78F2"/>
    <w:rsid w:val="003E7BF9"/>
    <w:rsid w:val="003E7F3D"/>
    <w:rsid w:val="003E7F7F"/>
    <w:rsid w:val="003F00CE"/>
    <w:rsid w:val="003F0102"/>
    <w:rsid w:val="003F010F"/>
    <w:rsid w:val="003F023C"/>
    <w:rsid w:val="003F044B"/>
    <w:rsid w:val="003F0540"/>
    <w:rsid w:val="003F0717"/>
    <w:rsid w:val="003F0825"/>
    <w:rsid w:val="003F088F"/>
    <w:rsid w:val="003F0A0A"/>
    <w:rsid w:val="003F0CDE"/>
    <w:rsid w:val="003F0DCC"/>
    <w:rsid w:val="003F0E2A"/>
    <w:rsid w:val="003F0E35"/>
    <w:rsid w:val="003F0EA6"/>
    <w:rsid w:val="003F0ECF"/>
    <w:rsid w:val="003F11A2"/>
    <w:rsid w:val="003F12AE"/>
    <w:rsid w:val="003F150A"/>
    <w:rsid w:val="003F15BF"/>
    <w:rsid w:val="003F18B9"/>
    <w:rsid w:val="003F1957"/>
    <w:rsid w:val="003F19CD"/>
    <w:rsid w:val="003F1A6B"/>
    <w:rsid w:val="003F1CD5"/>
    <w:rsid w:val="003F219C"/>
    <w:rsid w:val="003F23DA"/>
    <w:rsid w:val="003F2425"/>
    <w:rsid w:val="003F28C1"/>
    <w:rsid w:val="003F2BCE"/>
    <w:rsid w:val="003F2DEB"/>
    <w:rsid w:val="003F31D1"/>
    <w:rsid w:val="003F329D"/>
    <w:rsid w:val="003F3659"/>
    <w:rsid w:val="003F38C4"/>
    <w:rsid w:val="003F3A67"/>
    <w:rsid w:val="003F3D48"/>
    <w:rsid w:val="003F3DBD"/>
    <w:rsid w:val="003F3E47"/>
    <w:rsid w:val="003F4408"/>
    <w:rsid w:val="003F465A"/>
    <w:rsid w:val="003F46FF"/>
    <w:rsid w:val="003F4DD3"/>
    <w:rsid w:val="003F4E3D"/>
    <w:rsid w:val="003F4F0A"/>
    <w:rsid w:val="003F51D8"/>
    <w:rsid w:val="003F520C"/>
    <w:rsid w:val="003F558E"/>
    <w:rsid w:val="003F55ED"/>
    <w:rsid w:val="003F5680"/>
    <w:rsid w:val="003F5749"/>
    <w:rsid w:val="003F57A2"/>
    <w:rsid w:val="003F589E"/>
    <w:rsid w:val="003F5902"/>
    <w:rsid w:val="003F5A1D"/>
    <w:rsid w:val="003F5A98"/>
    <w:rsid w:val="003F5C11"/>
    <w:rsid w:val="003F5C90"/>
    <w:rsid w:val="003F5D25"/>
    <w:rsid w:val="003F5EA9"/>
    <w:rsid w:val="003F5F70"/>
    <w:rsid w:val="003F6264"/>
    <w:rsid w:val="003F62F1"/>
    <w:rsid w:val="003F63BB"/>
    <w:rsid w:val="003F65BB"/>
    <w:rsid w:val="003F66F3"/>
    <w:rsid w:val="003F6926"/>
    <w:rsid w:val="003F696E"/>
    <w:rsid w:val="003F6A26"/>
    <w:rsid w:val="003F6B5A"/>
    <w:rsid w:val="003F6D86"/>
    <w:rsid w:val="003F70E9"/>
    <w:rsid w:val="003F74FD"/>
    <w:rsid w:val="003F75F5"/>
    <w:rsid w:val="003F7E35"/>
    <w:rsid w:val="00400157"/>
    <w:rsid w:val="00400367"/>
    <w:rsid w:val="00400533"/>
    <w:rsid w:val="004005FA"/>
    <w:rsid w:val="00400957"/>
    <w:rsid w:val="0040099B"/>
    <w:rsid w:val="00400B1A"/>
    <w:rsid w:val="00400DE8"/>
    <w:rsid w:val="00400F37"/>
    <w:rsid w:val="00401192"/>
    <w:rsid w:val="00401249"/>
    <w:rsid w:val="00401300"/>
    <w:rsid w:val="004016F7"/>
    <w:rsid w:val="004019D1"/>
    <w:rsid w:val="00401AE7"/>
    <w:rsid w:val="00401D8A"/>
    <w:rsid w:val="00401F1E"/>
    <w:rsid w:val="0040207B"/>
    <w:rsid w:val="00402326"/>
    <w:rsid w:val="00402353"/>
    <w:rsid w:val="004024F0"/>
    <w:rsid w:val="00402698"/>
    <w:rsid w:val="0040273E"/>
    <w:rsid w:val="00402BB2"/>
    <w:rsid w:val="00402D7E"/>
    <w:rsid w:val="00402DCF"/>
    <w:rsid w:val="00402E88"/>
    <w:rsid w:val="00403145"/>
    <w:rsid w:val="004032CB"/>
    <w:rsid w:val="0040359E"/>
    <w:rsid w:val="0040362A"/>
    <w:rsid w:val="0040381E"/>
    <w:rsid w:val="0040397F"/>
    <w:rsid w:val="00403B26"/>
    <w:rsid w:val="00403EB2"/>
    <w:rsid w:val="00404032"/>
    <w:rsid w:val="0040404D"/>
    <w:rsid w:val="004040B2"/>
    <w:rsid w:val="004042B6"/>
    <w:rsid w:val="004044C1"/>
    <w:rsid w:val="0040456F"/>
    <w:rsid w:val="00404635"/>
    <w:rsid w:val="004048B8"/>
    <w:rsid w:val="00404ACA"/>
    <w:rsid w:val="00404D2E"/>
    <w:rsid w:val="00404F18"/>
    <w:rsid w:val="00404F2F"/>
    <w:rsid w:val="00404F6E"/>
    <w:rsid w:val="00405204"/>
    <w:rsid w:val="0040533F"/>
    <w:rsid w:val="004053AF"/>
    <w:rsid w:val="004053BC"/>
    <w:rsid w:val="00405D5B"/>
    <w:rsid w:val="00406691"/>
    <w:rsid w:val="004067DC"/>
    <w:rsid w:val="004068E5"/>
    <w:rsid w:val="004069C9"/>
    <w:rsid w:val="00406A1C"/>
    <w:rsid w:val="00406A6C"/>
    <w:rsid w:val="00406B01"/>
    <w:rsid w:val="00406C37"/>
    <w:rsid w:val="00406D75"/>
    <w:rsid w:val="00407A4E"/>
    <w:rsid w:val="00407C4A"/>
    <w:rsid w:val="00407C73"/>
    <w:rsid w:val="00407D99"/>
    <w:rsid w:val="00407FFE"/>
    <w:rsid w:val="0041043A"/>
    <w:rsid w:val="00410490"/>
    <w:rsid w:val="004104B5"/>
    <w:rsid w:val="00410531"/>
    <w:rsid w:val="00410578"/>
    <w:rsid w:val="004106D2"/>
    <w:rsid w:val="0041099F"/>
    <w:rsid w:val="00410B5F"/>
    <w:rsid w:val="00410C68"/>
    <w:rsid w:val="00410E17"/>
    <w:rsid w:val="00410F03"/>
    <w:rsid w:val="00410F45"/>
    <w:rsid w:val="0041104A"/>
    <w:rsid w:val="00411507"/>
    <w:rsid w:val="00411606"/>
    <w:rsid w:val="00411892"/>
    <w:rsid w:val="0041194B"/>
    <w:rsid w:val="00411CE9"/>
    <w:rsid w:val="00411E33"/>
    <w:rsid w:val="00411F62"/>
    <w:rsid w:val="00412380"/>
    <w:rsid w:val="0041244E"/>
    <w:rsid w:val="00412652"/>
    <w:rsid w:val="0041267B"/>
    <w:rsid w:val="0041285F"/>
    <w:rsid w:val="00413027"/>
    <w:rsid w:val="00413804"/>
    <w:rsid w:val="00413906"/>
    <w:rsid w:val="00413AF6"/>
    <w:rsid w:val="00413B6E"/>
    <w:rsid w:val="00413EFE"/>
    <w:rsid w:val="00413F7D"/>
    <w:rsid w:val="004141CC"/>
    <w:rsid w:val="0041459E"/>
    <w:rsid w:val="0041459F"/>
    <w:rsid w:val="0041497F"/>
    <w:rsid w:val="00414BA8"/>
    <w:rsid w:val="00414BAD"/>
    <w:rsid w:val="00414E86"/>
    <w:rsid w:val="00414FBD"/>
    <w:rsid w:val="0041512D"/>
    <w:rsid w:val="00415315"/>
    <w:rsid w:val="0041539D"/>
    <w:rsid w:val="00415909"/>
    <w:rsid w:val="00415D12"/>
    <w:rsid w:val="00415D4A"/>
    <w:rsid w:val="00416009"/>
    <w:rsid w:val="004161AC"/>
    <w:rsid w:val="0041635D"/>
    <w:rsid w:val="00416E52"/>
    <w:rsid w:val="00416F7D"/>
    <w:rsid w:val="00417105"/>
    <w:rsid w:val="0041710E"/>
    <w:rsid w:val="0041713D"/>
    <w:rsid w:val="00417572"/>
    <w:rsid w:val="0041767A"/>
    <w:rsid w:val="00417875"/>
    <w:rsid w:val="00417D8D"/>
    <w:rsid w:val="00417ECD"/>
    <w:rsid w:val="00417ED4"/>
    <w:rsid w:val="00420420"/>
    <w:rsid w:val="004204E0"/>
    <w:rsid w:val="00420667"/>
    <w:rsid w:val="004209B5"/>
    <w:rsid w:val="004209B8"/>
    <w:rsid w:val="004209D5"/>
    <w:rsid w:val="00420E8F"/>
    <w:rsid w:val="00420EF4"/>
    <w:rsid w:val="00420FA8"/>
    <w:rsid w:val="00420FA9"/>
    <w:rsid w:val="00421075"/>
    <w:rsid w:val="00421142"/>
    <w:rsid w:val="0042147F"/>
    <w:rsid w:val="004218EB"/>
    <w:rsid w:val="00421925"/>
    <w:rsid w:val="00421C78"/>
    <w:rsid w:val="00421FCB"/>
    <w:rsid w:val="0042223A"/>
    <w:rsid w:val="00422386"/>
    <w:rsid w:val="0042252A"/>
    <w:rsid w:val="004227A9"/>
    <w:rsid w:val="00422814"/>
    <w:rsid w:val="004229A8"/>
    <w:rsid w:val="004229CF"/>
    <w:rsid w:val="00422AD2"/>
    <w:rsid w:val="00422DDF"/>
    <w:rsid w:val="00422E69"/>
    <w:rsid w:val="0042302A"/>
    <w:rsid w:val="0042338B"/>
    <w:rsid w:val="0042343C"/>
    <w:rsid w:val="004238DC"/>
    <w:rsid w:val="00423957"/>
    <w:rsid w:val="00423DC0"/>
    <w:rsid w:val="00424051"/>
    <w:rsid w:val="004241B8"/>
    <w:rsid w:val="00424297"/>
    <w:rsid w:val="0042490B"/>
    <w:rsid w:val="00424988"/>
    <w:rsid w:val="00424C68"/>
    <w:rsid w:val="00425921"/>
    <w:rsid w:val="004259F6"/>
    <w:rsid w:val="00425C65"/>
    <w:rsid w:val="00425D2B"/>
    <w:rsid w:val="00425FA0"/>
    <w:rsid w:val="004260E8"/>
    <w:rsid w:val="004262B8"/>
    <w:rsid w:val="004263BC"/>
    <w:rsid w:val="0042644B"/>
    <w:rsid w:val="00426511"/>
    <w:rsid w:val="00427064"/>
    <w:rsid w:val="00427324"/>
    <w:rsid w:val="004277E9"/>
    <w:rsid w:val="0042782A"/>
    <w:rsid w:val="00427983"/>
    <w:rsid w:val="00427C01"/>
    <w:rsid w:val="00427CA9"/>
    <w:rsid w:val="00427E53"/>
    <w:rsid w:val="00427EF4"/>
    <w:rsid w:val="0043026E"/>
    <w:rsid w:val="00430346"/>
    <w:rsid w:val="0043046D"/>
    <w:rsid w:val="0043056C"/>
    <w:rsid w:val="00430C8F"/>
    <w:rsid w:val="00430E45"/>
    <w:rsid w:val="00430E5B"/>
    <w:rsid w:val="0043104E"/>
    <w:rsid w:val="004310E4"/>
    <w:rsid w:val="0043114E"/>
    <w:rsid w:val="00431225"/>
    <w:rsid w:val="00431666"/>
    <w:rsid w:val="00431ABB"/>
    <w:rsid w:val="0043204D"/>
    <w:rsid w:val="004320EC"/>
    <w:rsid w:val="004321FD"/>
    <w:rsid w:val="00432484"/>
    <w:rsid w:val="004324CA"/>
    <w:rsid w:val="0043263D"/>
    <w:rsid w:val="0043265C"/>
    <w:rsid w:val="00432B98"/>
    <w:rsid w:val="00432B9C"/>
    <w:rsid w:val="00432C7E"/>
    <w:rsid w:val="00432D5D"/>
    <w:rsid w:val="00432EC9"/>
    <w:rsid w:val="004332A0"/>
    <w:rsid w:val="0043330D"/>
    <w:rsid w:val="00433491"/>
    <w:rsid w:val="004335EC"/>
    <w:rsid w:val="004336D5"/>
    <w:rsid w:val="004338A6"/>
    <w:rsid w:val="00433B4E"/>
    <w:rsid w:val="00433D52"/>
    <w:rsid w:val="00433E9D"/>
    <w:rsid w:val="00433EE3"/>
    <w:rsid w:val="0043404F"/>
    <w:rsid w:val="004341B1"/>
    <w:rsid w:val="00434333"/>
    <w:rsid w:val="0043452F"/>
    <w:rsid w:val="0043455C"/>
    <w:rsid w:val="004345AA"/>
    <w:rsid w:val="004347A1"/>
    <w:rsid w:val="00434B2B"/>
    <w:rsid w:val="00434C2C"/>
    <w:rsid w:val="004350CB"/>
    <w:rsid w:val="004351BF"/>
    <w:rsid w:val="00435249"/>
    <w:rsid w:val="0043547C"/>
    <w:rsid w:val="00435492"/>
    <w:rsid w:val="004356F6"/>
    <w:rsid w:val="004357AF"/>
    <w:rsid w:val="0043594F"/>
    <w:rsid w:val="00435E59"/>
    <w:rsid w:val="00435E79"/>
    <w:rsid w:val="00435E83"/>
    <w:rsid w:val="00435EC0"/>
    <w:rsid w:val="0043614B"/>
    <w:rsid w:val="004363E7"/>
    <w:rsid w:val="00436A4E"/>
    <w:rsid w:val="00436A68"/>
    <w:rsid w:val="00436A6E"/>
    <w:rsid w:val="00436CAE"/>
    <w:rsid w:val="00436EC3"/>
    <w:rsid w:val="00436F35"/>
    <w:rsid w:val="0043740F"/>
    <w:rsid w:val="00437775"/>
    <w:rsid w:val="004377A7"/>
    <w:rsid w:val="00437B80"/>
    <w:rsid w:val="00437EC3"/>
    <w:rsid w:val="00437F43"/>
    <w:rsid w:val="0044013B"/>
    <w:rsid w:val="00440458"/>
    <w:rsid w:val="00440559"/>
    <w:rsid w:val="004405EC"/>
    <w:rsid w:val="00440AD3"/>
    <w:rsid w:val="00440BC4"/>
    <w:rsid w:val="00440CD5"/>
    <w:rsid w:val="00440D14"/>
    <w:rsid w:val="00441383"/>
    <w:rsid w:val="004414C9"/>
    <w:rsid w:val="00441628"/>
    <w:rsid w:val="00441674"/>
    <w:rsid w:val="004418AE"/>
    <w:rsid w:val="00441D27"/>
    <w:rsid w:val="00442213"/>
    <w:rsid w:val="004422E7"/>
    <w:rsid w:val="004428DB"/>
    <w:rsid w:val="00442B4B"/>
    <w:rsid w:val="00442BA5"/>
    <w:rsid w:val="00442C6A"/>
    <w:rsid w:val="00442EF0"/>
    <w:rsid w:val="004431A6"/>
    <w:rsid w:val="00443224"/>
    <w:rsid w:val="004432DB"/>
    <w:rsid w:val="00443386"/>
    <w:rsid w:val="004434AB"/>
    <w:rsid w:val="00443EE6"/>
    <w:rsid w:val="00443FCC"/>
    <w:rsid w:val="00444435"/>
    <w:rsid w:val="004444BD"/>
    <w:rsid w:val="00444502"/>
    <w:rsid w:val="00444A70"/>
    <w:rsid w:val="00444B36"/>
    <w:rsid w:val="00444CC7"/>
    <w:rsid w:val="00444CD5"/>
    <w:rsid w:val="00444DFE"/>
    <w:rsid w:val="00444E65"/>
    <w:rsid w:val="00444E8F"/>
    <w:rsid w:val="00444F5D"/>
    <w:rsid w:val="00444F86"/>
    <w:rsid w:val="004451D1"/>
    <w:rsid w:val="004451F8"/>
    <w:rsid w:val="0044523C"/>
    <w:rsid w:val="0044567D"/>
    <w:rsid w:val="004457F2"/>
    <w:rsid w:val="00445DD9"/>
    <w:rsid w:val="00445E88"/>
    <w:rsid w:val="00445EF9"/>
    <w:rsid w:val="00446088"/>
    <w:rsid w:val="004460BB"/>
    <w:rsid w:val="0044681F"/>
    <w:rsid w:val="004468A3"/>
    <w:rsid w:val="00446A41"/>
    <w:rsid w:val="00446AB5"/>
    <w:rsid w:val="00446ACF"/>
    <w:rsid w:val="00446D2D"/>
    <w:rsid w:val="00446ED9"/>
    <w:rsid w:val="00446F27"/>
    <w:rsid w:val="00446FC9"/>
    <w:rsid w:val="00447034"/>
    <w:rsid w:val="0044738D"/>
    <w:rsid w:val="00447612"/>
    <w:rsid w:val="00447625"/>
    <w:rsid w:val="0044765C"/>
    <w:rsid w:val="00447700"/>
    <w:rsid w:val="00447786"/>
    <w:rsid w:val="00447BD6"/>
    <w:rsid w:val="00447FB3"/>
    <w:rsid w:val="004500B1"/>
    <w:rsid w:val="004502A0"/>
    <w:rsid w:val="004503EF"/>
    <w:rsid w:val="00450842"/>
    <w:rsid w:val="00450937"/>
    <w:rsid w:val="0045097D"/>
    <w:rsid w:val="00450D7F"/>
    <w:rsid w:val="00450DF2"/>
    <w:rsid w:val="004510FD"/>
    <w:rsid w:val="00451103"/>
    <w:rsid w:val="004513BA"/>
    <w:rsid w:val="004514FE"/>
    <w:rsid w:val="0045190D"/>
    <w:rsid w:val="0045199E"/>
    <w:rsid w:val="00451BE4"/>
    <w:rsid w:val="00451C23"/>
    <w:rsid w:val="00451E05"/>
    <w:rsid w:val="00451E32"/>
    <w:rsid w:val="00451F4E"/>
    <w:rsid w:val="00452024"/>
    <w:rsid w:val="004523DE"/>
    <w:rsid w:val="004523E2"/>
    <w:rsid w:val="004528D8"/>
    <w:rsid w:val="00452A1D"/>
    <w:rsid w:val="00452E8E"/>
    <w:rsid w:val="00453047"/>
    <w:rsid w:val="004530C3"/>
    <w:rsid w:val="00453315"/>
    <w:rsid w:val="00453328"/>
    <w:rsid w:val="0045343D"/>
    <w:rsid w:val="004535C4"/>
    <w:rsid w:val="0045374E"/>
    <w:rsid w:val="00453826"/>
    <w:rsid w:val="0045384E"/>
    <w:rsid w:val="004539F4"/>
    <w:rsid w:val="00453F14"/>
    <w:rsid w:val="0045406F"/>
    <w:rsid w:val="00454207"/>
    <w:rsid w:val="00454405"/>
    <w:rsid w:val="0045441C"/>
    <w:rsid w:val="0045453D"/>
    <w:rsid w:val="00454611"/>
    <w:rsid w:val="004547AA"/>
    <w:rsid w:val="00454A2F"/>
    <w:rsid w:val="00454CB4"/>
    <w:rsid w:val="00454E4D"/>
    <w:rsid w:val="00454EDE"/>
    <w:rsid w:val="00454EFB"/>
    <w:rsid w:val="00455138"/>
    <w:rsid w:val="00455177"/>
    <w:rsid w:val="004551F3"/>
    <w:rsid w:val="00455229"/>
    <w:rsid w:val="00455765"/>
    <w:rsid w:val="004557EC"/>
    <w:rsid w:val="00455AB3"/>
    <w:rsid w:val="00455F59"/>
    <w:rsid w:val="004560CB"/>
    <w:rsid w:val="0045616D"/>
    <w:rsid w:val="00456172"/>
    <w:rsid w:val="0045617D"/>
    <w:rsid w:val="004562DC"/>
    <w:rsid w:val="00456375"/>
    <w:rsid w:val="00456824"/>
    <w:rsid w:val="00456867"/>
    <w:rsid w:val="00456D9B"/>
    <w:rsid w:val="00456E79"/>
    <w:rsid w:val="00456F01"/>
    <w:rsid w:val="00457209"/>
    <w:rsid w:val="00457330"/>
    <w:rsid w:val="004574DB"/>
    <w:rsid w:val="004575CA"/>
    <w:rsid w:val="004579A0"/>
    <w:rsid w:val="00457A1C"/>
    <w:rsid w:val="00457A90"/>
    <w:rsid w:val="00457B25"/>
    <w:rsid w:val="00457C4C"/>
    <w:rsid w:val="00457D5E"/>
    <w:rsid w:val="004605BF"/>
    <w:rsid w:val="00460FC7"/>
    <w:rsid w:val="00460FC8"/>
    <w:rsid w:val="00461207"/>
    <w:rsid w:val="0046163C"/>
    <w:rsid w:val="00461AEB"/>
    <w:rsid w:val="00461B7E"/>
    <w:rsid w:val="00461BA7"/>
    <w:rsid w:val="00461BC1"/>
    <w:rsid w:val="00461CE7"/>
    <w:rsid w:val="0046220C"/>
    <w:rsid w:val="0046224B"/>
    <w:rsid w:val="004626B9"/>
    <w:rsid w:val="00462799"/>
    <w:rsid w:val="00462A38"/>
    <w:rsid w:val="00462D94"/>
    <w:rsid w:val="00462EDB"/>
    <w:rsid w:val="00463074"/>
    <w:rsid w:val="00463A63"/>
    <w:rsid w:val="00463B01"/>
    <w:rsid w:val="00463F15"/>
    <w:rsid w:val="004642A5"/>
    <w:rsid w:val="004642C7"/>
    <w:rsid w:val="00464420"/>
    <w:rsid w:val="00464433"/>
    <w:rsid w:val="004649AD"/>
    <w:rsid w:val="00464D56"/>
    <w:rsid w:val="00465070"/>
    <w:rsid w:val="004651C1"/>
    <w:rsid w:val="004654AA"/>
    <w:rsid w:val="004655B8"/>
    <w:rsid w:val="004656DC"/>
    <w:rsid w:val="004658C4"/>
    <w:rsid w:val="00465B13"/>
    <w:rsid w:val="00465C38"/>
    <w:rsid w:val="00465FBB"/>
    <w:rsid w:val="00465FF9"/>
    <w:rsid w:val="0046661C"/>
    <w:rsid w:val="00466715"/>
    <w:rsid w:val="00466729"/>
    <w:rsid w:val="004668CA"/>
    <w:rsid w:val="00466903"/>
    <w:rsid w:val="0046694C"/>
    <w:rsid w:val="00466AB0"/>
    <w:rsid w:val="00466C5C"/>
    <w:rsid w:val="00466F6A"/>
    <w:rsid w:val="00466FAF"/>
    <w:rsid w:val="004672BE"/>
    <w:rsid w:val="004675A6"/>
    <w:rsid w:val="0046765A"/>
    <w:rsid w:val="00467A78"/>
    <w:rsid w:val="00467B22"/>
    <w:rsid w:val="00467CD1"/>
    <w:rsid w:val="00467DD4"/>
    <w:rsid w:val="0047016C"/>
    <w:rsid w:val="004701FE"/>
    <w:rsid w:val="00470223"/>
    <w:rsid w:val="00470328"/>
    <w:rsid w:val="00470438"/>
    <w:rsid w:val="00470628"/>
    <w:rsid w:val="004707D1"/>
    <w:rsid w:val="0047099A"/>
    <w:rsid w:val="00470B9F"/>
    <w:rsid w:val="00470C1B"/>
    <w:rsid w:val="00470C1E"/>
    <w:rsid w:val="00470FEC"/>
    <w:rsid w:val="004710B9"/>
    <w:rsid w:val="00471112"/>
    <w:rsid w:val="0047114C"/>
    <w:rsid w:val="004713E4"/>
    <w:rsid w:val="00471406"/>
    <w:rsid w:val="004714AB"/>
    <w:rsid w:val="00471761"/>
    <w:rsid w:val="004717C5"/>
    <w:rsid w:val="00471867"/>
    <w:rsid w:val="00471897"/>
    <w:rsid w:val="00471A74"/>
    <w:rsid w:val="00471B8A"/>
    <w:rsid w:val="00471BB0"/>
    <w:rsid w:val="00471BF6"/>
    <w:rsid w:val="00471FBA"/>
    <w:rsid w:val="0047218D"/>
    <w:rsid w:val="0047228F"/>
    <w:rsid w:val="004723A8"/>
    <w:rsid w:val="004725EF"/>
    <w:rsid w:val="004727AA"/>
    <w:rsid w:val="004728E2"/>
    <w:rsid w:val="00472907"/>
    <w:rsid w:val="00472AD9"/>
    <w:rsid w:val="00472AF0"/>
    <w:rsid w:val="00472EAD"/>
    <w:rsid w:val="00472EE8"/>
    <w:rsid w:val="004732ED"/>
    <w:rsid w:val="004734A9"/>
    <w:rsid w:val="00473559"/>
    <w:rsid w:val="0047358A"/>
    <w:rsid w:val="00473887"/>
    <w:rsid w:val="004738C6"/>
    <w:rsid w:val="00473AA2"/>
    <w:rsid w:val="00473BEC"/>
    <w:rsid w:val="00473C28"/>
    <w:rsid w:val="00473DE9"/>
    <w:rsid w:val="0047400A"/>
    <w:rsid w:val="0047408E"/>
    <w:rsid w:val="00474B98"/>
    <w:rsid w:val="00474CF7"/>
    <w:rsid w:val="00474D33"/>
    <w:rsid w:val="00474DFC"/>
    <w:rsid w:val="00475287"/>
    <w:rsid w:val="00475919"/>
    <w:rsid w:val="0047592C"/>
    <w:rsid w:val="00475BF2"/>
    <w:rsid w:val="00475D81"/>
    <w:rsid w:val="00475F99"/>
    <w:rsid w:val="00476009"/>
    <w:rsid w:val="004764E5"/>
    <w:rsid w:val="0047675A"/>
    <w:rsid w:val="0047688E"/>
    <w:rsid w:val="00476C33"/>
    <w:rsid w:val="00476F14"/>
    <w:rsid w:val="00476FBB"/>
    <w:rsid w:val="0047705E"/>
    <w:rsid w:val="004775AE"/>
    <w:rsid w:val="0047789F"/>
    <w:rsid w:val="00477F13"/>
    <w:rsid w:val="0048017A"/>
    <w:rsid w:val="004801F1"/>
    <w:rsid w:val="0048036D"/>
    <w:rsid w:val="0048040C"/>
    <w:rsid w:val="00480454"/>
    <w:rsid w:val="00480A9E"/>
    <w:rsid w:val="00480C70"/>
    <w:rsid w:val="00480DDF"/>
    <w:rsid w:val="00480FC2"/>
    <w:rsid w:val="00481005"/>
    <w:rsid w:val="0048113B"/>
    <w:rsid w:val="00481207"/>
    <w:rsid w:val="00481445"/>
    <w:rsid w:val="0048167B"/>
    <w:rsid w:val="00481CB5"/>
    <w:rsid w:val="00481D3A"/>
    <w:rsid w:val="00481D4E"/>
    <w:rsid w:val="00481E0B"/>
    <w:rsid w:val="00481E5C"/>
    <w:rsid w:val="00481FDC"/>
    <w:rsid w:val="004820AF"/>
    <w:rsid w:val="00482A23"/>
    <w:rsid w:val="00482B72"/>
    <w:rsid w:val="004830A2"/>
    <w:rsid w:val="004831C8"/>
    <w:rsid w:val="00483413"/>
    <w:rsid w:val="004838A1"/>
    <w:rsid w:val="004838EC"/>
    <w:rsid w:val="004839F5"/>
    <w:rsid w:val="00483A90"/>
    <w:rsid w:val="00483AC0"/>
    <w:rsid w:val="00483B72"/>
    <w:rsid w:val="00483BBC"/>
    <w:rsid w:val="00483BF3"/>
    <w:rsid w:val="00483CBF"/>
    <w:rsid w:val="00483D5C"/>
    <w:rsid w:val="00484208"/>
    <w:rsid w:val="004843C1"/>
    <w:rsid w:val="0048483B"/>
    <w:rsid w:val="0048485D"/>
    <w:rsid w:val="004849BE"/>
    <w:rsid w:val="004849F3"/>
    <w:rsid w:val="00484AF5"/>
    <w:rsid w:val="00484BAF"/>
    <w:rsid w:val="00484D6E"/>
    <w:rsid w:val="00484E55"/>
    <w:rsid w:val="00484E9D"/>
    <w:rsid w:val="00485013"/>
    <w:rsid w:val="00485127"/>
    <w:rsid w:val="0048544C"/>
    <w:rsid w:val="004854E0"/>
    <w:rsid w:val="004855D2"/>
    <w:rsid w:val="00485845"/>
    <w:rsid w:val="004859AD"/>
    <w:rsid w:val="00485B13"/>
    <w:rsid w:val="00485BD9"/>
    <w:rsid w:val="00485EBF"/>
    <w:rsid w:val="00486010"/>
    <w:rsid w:val="00486132"/>
    <w:rsid w:val="0048620F"/>
    <w:rsid w:val="004863C0"/>
    <w:rsid w:val="0048665F"/>
    <w:rsid w:val="00486693"/>
    <w:rsid w:val="004868B5"/>
    <w:rsid w:val="0048690D"/>
    <w:rsid w:val="004869CD"/>
    <w:rsid w:val="00486CA3"/>
    <w:rsid w:val="00486D46"/>
    <w:rsid w:val="00486D77"/>
    <w:rsid w:val="00486D8A"/>
    <w:rsid w:val="00486FBE"/>
    <w:rsid w:val="00486FCD"/>
    <w:rsid w:val="004870AD"/>
    <w:rsid w:val="00487467"/>
    <w:rsid w:val="00487530"/>
    <w:rsid w:val="00487563"/>
    <w:rsid w:val="004875C4"/>
    <w:rsid w:val="00487888"/>
    <w:rsid w:val="00487999"/>
    <w:rsid w:val="00487F4E"/>
    <w:rsid w:val="00490016"/>
    <w:rsid w:val="00490021"/>
    <w:rsid w:val="0049004C"/>
    <w:rsid w:val="00490247"/>
    <w:rsid w:val="00490472"/>
    <w:rsid w:val="0049051B"/>
    <w:rsid w:val="00490734"/>
    <w:rsid w:val="0049095A"/>
    <w:rsid w:val="00490993"/>
    <w:rsid w:val="00490C14"/>
    <w:rsid w:val="00490F30"/>
    <w:rsid w:val="00491479"/>
    <w:rsid w:val="00491593"/>
    <w:rsid w:val="004918F9"/>
    <w:rsid w:val="004919FE"/>
    <w:rsid w:val="00491B12"/>
    <w:rsid w:val="00491C86"/>
    <w:rsid w:val="00492323"/>
    <w:rsid w:val="004923D8"/>
    <w:rsid w:val="0049261B"/>
    <w:rsid w:val="00492724"/>
    <w:rsid w:val="004927CF"/>
    <w:rsid w:val="0049296A"/>
    <w:rsid w:val="00492970"/>
    <w:rsid w:val="00492BD8"/>
    <w:rsid w:val="00492C7E"/>
    <w:rsid w:val="00492DB8"/>
    <w:rsid w:val="004932E6"/>
    <w:rsid w:val="0049335E"/>
    <w:rsid w:val="00493C15"/>
    <w:rsid w:val="00493EDC"/>
    <w:rsid w:val="004940EF"/>
    <w:rsid w:val="00494973"/>
    <w:rsid w:val="004949D9"/>
    <w:rsid w:val="00494B21"/>
    <w:rsid w:val="00494B8E"/>
    <w:rsid w:val="00494EEA"/>
    <w:rsid w:val="00495195"/>
    <w:rsid w:val="004954DF"/>
    <w:rsid w:val="004954E9"/>
    <w:rsid w:val="004954FD"/>
    <w:rsid w:val="0049557E"/>
    <w:rsid w:val="00495746"/>
    <w:rsid w:val="00495753"/>
    <w:rsid w:val="00495924"/>
    <w:rsid w:val="00495F7E"/>
    <w:rsid w:val="0049602F"/>
    <w:rsid w:val="0049616A"/>
    <w:rsid w:val="00496278"/>
    <w:rsid w:val="004962E2"/>
    <w:rsid w:val="0049656F"/>
    <w:rsid w:val="0049687E"/>
    <w:rsid w:val="00496B8B"/>
    <w:rsid w:val="00496F06"/>
    <w:rsid w:val="00497799"/>
    <w:rsid w:val="00497C6D"/>
    <w:rsid w:val="00497D30"/>
    <w:rsid w:val="00497FCA"/>
    <w:rsid w:val="004A007D"/>
    <w:rsid w:val="004A01AA"/>
    <w:rsid w:val="004A01F9"/>
    <w:rsid w:val="004A0240"/>
    <w:rsid w:val="004A0265"/>
    <w:rsid w:val="004A029A"/>
    <w:rsid w:val="004A05FF"/>
    <w:rsid w:val="004A0721"/>
    <w:rsid w:val="004A08B0"/>
    <w:rsid w:val="004A0D0B"/>
    <w:rsid w:val="004A0DA8"/>
    <w:rsid w:val="004A0FBD"/>
    <w:rsid w:val="004A0FF3"/>
    <w:rsid w:val="004A11E7"/>
    <w:rsid w:val="004A158C"/>
    <w:rsid w:val="004A15BD"/>
    <w:rsid w:val="004A1847"/>
    <w:rsid w:val="004A1A40"/>
    <w:rsid w:val="004A1B5D"/>
    <w:rsid w:val="004A2340"/>
    <w:rsid w:val="004A240C"/>
    <w:rsid w:val="004A24F8"/>
    <w:rsid w:val="004A25BE"/>
    <w:rsid w:val="004A2915"/>
    <w:rsid w:val="004A29C2"/>
    <w:rsid w:val="004A2D49"/>
    <w:rsid w:val="004A2D86"/>
    <w:rsid w:val="004A2E50"/>
    <w:rsid w:val="004A3094"/>
    <w:rsid w:val="004A3135"/>
    <w:rsid w:val="004A317D"/>
    <w:rsid w:val="004A31C3"/>
    <w:rsid w:val="004A3215"/>
    <w:rsid w:val="004A34E5"/>
    <w:rsid w:val="004A434D"/>
    <w:rsid w:val="004A4467"/>
    <w:rsid w:val="004A4479"/>
    <w:rsid w:val="004A45F8"/>
    <w:rsid w:val="004A46CD"/>
    <w:rsid w:val="004A4B77"/>
    <w:rsid w:val="004A5987"/>
    <w:rsid w:val="004A59C8"/>
    <w:rsid w:val="004A5A8F"/>
    <w:rsid w:val="004A5CD1"/>
    <w:rsid w:val="004A5D1A"/>
    <w:rsid w:val="004A5D7A"/>
    <w:rsid w:val="004A5DD9"/>
    <w:rsid w:val="004A5FA3"/>
    <w:rsid w:val="004A5FB1"/>
    <w:rsid w:val="004A62CF"/>
    <w:rsid w:val="004A6978"/>
    <w:rsid w:val="004A69A6"/>
    <w:rsid w:val="004A6AF7"/>
    <w:rsid w:val="004A6B55"/>
    <w:rsid w:val="004A6CF3"/>
    <w:rsid w:val="004A6DE0"/>
    <w:rsid w:val="004A700D"/>
    <w:rsid w:val="004A7019"/>
    <w:rsid w:val="004A793F"/>
    <w:rsid w:val="004A7C02"/>
    <w:rsid w:val="004A7E9F"/>
    <w:rsid w:val="004A7F8B"/>
    <w:rsid w:val="004B0545"/>
    <w:rsid w:val="004B05AE"/>
    <w:rsid w:val="004B08C0"/>
    <w:rsid w:val="004B0CDA"/>
    <w:rsid w:val="004B0D5E"/>
    <w:rsid w:val="004B0E13"/>
    <w:rsid w:val="004B0F76"/>
    <w:rsid w:val="004B0FE4"/>
    <w:rsid w:val="004B0FEA"/>
    <w:rsid w:val="004B127F"/>
    <w:rsid w:val="004B1414"/>
    <w:rsid w:val="004B1554"/>
    <w:rsid w:val="004B15C4"/>
    <w:rsid w:val="004B1629"/>
    <w:rsid w:val="004B1B37"/>
    <w:rsid w:val="004B1E93"/>
    <w:rsid w:val="004B1EB4"/>
    <w:rsid w:val="004B1EBD"/>
    <w:rsid w:val="004B2057"/>
    <w:rsid w:val="004B2084"/>
    <w:rsid w:val="004B20F3"/>
    <w:rsid w:val="004B2138"/>
    <w:rsid w:val="004B2365"/>
    <w:rsid w:val="004B24DD"/>
    <w:rsid w:val="004B282A"/>
    <w:rsid w:val="004B2A7A"/>
    <w:rsid w:val="004B2A9C"/>
    <w:rsid w:val="004B2B42"/>
    <w:rsid w:val="004B30CB"/>
    <w:rsid w:val="004B3256"/>
    <w:rsid w:val="004B37F8"/>
    <w:rsid w:val="004B39C5"/>
    <w:rsid w:val="004B3CA5"/>
    <w:rsid w:val="004B3D30"/>
    <w:rsid w:val="004B3F02"/>
    <w:rsid w:val="004B40E0"/>
    <w:rsid w:val="004B413E"/>
    <w:rsid w:val="004B4410"/>
    <w:rsid w:val="004B4544"/>
    <w:rsid w:val="004B47E1"/>
    <w:rsid w:val="004B48A3"/>
    <w:rsid w:val="004B495E"/>
    <w:rsid w:val="004B4978"/>
    <w:rsid w:val="004B4BD3"/>
    <w:rsid w:val="004B5DFC"/>
    <w:rsid w:val="004B5E2E"/>
    <w:rsid w:val="004B611F"/>
    <w:rsid w:val="004B66E1"/>
    <w:rsid w:val="004B675D"/>
    <w:rsid w:val="004B6764"/>
    <w:rsid w:val="004B67B8"/>
    <w:rsid w:val="004B68E6"/>
    <w:rsid w:val="004B6906"/>
    <w:rsid w:val="004B6BB0"/>
    <w:rsid w:val="004B6D05"/>
    <w:rsid w:val="004B6DE3"/>
    <w:rsid w:val="004B6E22"/>
    <w:rsid w:val="004B6F93"/>
    <w:rsid w:val="004B6FE3"/>
    <w:rsid w:val="004B7231"/>
    <w:rsid w:val="004B729B"/>
    <w:rsid w:val="004B7543"/>
    <w:rsid w:val="004B7548"/>
    <w:rsid w:val="004B77C1"/>
    <w:rsid w:val="004B7840"/>
    <w:rsid w:val="004B7C6C"/>
    <w:rsid w:val="004C009C"/>
    <w:rsid w:val="004C00C5"/>
    <w:rsid w:val="004C0141"/>
    <w:rsid w:val="004C0250"/>
    <w:rsid w:val="004C02C8"/>
    <w:rsid w:val="004C04A2"/>
    <w:rsid w:val="004C066D"/>
    <w:rsid w:val="004C0724"/>
    <w:rsid w:val="004C09E8"/>
    <w:rsid w:val="004C0A35"/>
    <w:rsid w:val="004C0AC4"/>
    <w:rsid w:val="004C0DA0"/>
    <w:rsid w:val="004C0E94"/>
    <w:rsid w:val="004C103F"/>
    <w:rsid w:val="004C1096"/>
    <w:rsid w:val="004C11CA"/>
    <w:rsid w:val="004C12DE"/>
    <w:rsid w:val="004C1357"/>
    <w:rsid w:val="004C1651"/>
    <w:rsid w:val="004C195F"/>
    <w:rsid w:val="004C19BE"/>
    <w:rsid w:val="004C1D28"/>
    <w:rsid w:val="004C1DB2"/>
    <w:rsid w:val="004C1E1C"/>
    <w:rsid w:val="004C1F33"/>
    <w:rsid w:val="004C211E"/>
    <w:rsid w:val="004C228E"/>
    <w:rsid w:val="004C2299"/>
    <w:rsid w:val="004C23C0"/>
    <w:rsid w:val="004C242E"/>
    <w:rsid w:val="004C24B1"/>
    <w:rsid w:val="004C2553"/>
    <w:rsid w:val="004C2856"/>
    <w:rsid w:val="004C2A2F"/>
    <w:rsid w:val="004C2D8D"/>
    <w:rsid w:val="004C2DEA"/>
    <w:rsid w:val="004C3839"/>
    <w:rsid w:val="004C38D2"/>
    <w:rsid w:val="004C3B3C"/>
    <w:rsid w:val="004C3B95"/>
    <w:rsid w:val="004C418B"/>
    <w:rsid w:val="004C44AB"/>
    <w:rsid w:val="004C4612"/>
    <w:rsid w:val="004C4678"/>
    <w:rsid w:val="004C47D0"/>
    <w:rsid w:val="004C484E"/>
    <w:rsid w:val="004C4B29"/>
    <w:rsid w:val="004C4E34"/>
    <w:rsid w:val="004C5240"/>
    <w:rsid w:val="004C5616"/>
    <w:rsid w:val="004C56AE"/>
    <w:rsid w:val="004C5774"/>
    <w:rsid w:val="004C5AB7"/>
    <w:rsid w:val="004C5D40"/>
    <w:rsid w:val="004C5E09"/>
    <w:rsid w:val="004C603F"/>
    <w:rsid w:val="004C62B6"/>
    <w:rsid w:val="004C65F4"/>
    <w:rsid w:val="004C6794"/>
    <w:rsid w:val="004C67AD"/>
    <w:rsid w:val="004C6A54"/>
    <w:rsid w:val="004C6A56"/>
    <w:rsid w:val="004C6BFB"/>
    <w:rsid w:val="004C6E22"/>
    <w:rsid w:val="004C6E76"/>
    <w:rsid w:val="004C6F42"/>
    <w:rsid w:val="004C6F9F"/>
    <w:rsid w:val="004C74E2"/>
    <w:rsid w:val="004C756E"/>
    <w:rsid w:val="004C762A"/>
    <w:rsid w:val="004C7694"/>
    <w:rsid w:val="004C770B"/>
    <w:rsid w:val="004C7AA4"/>
    <w:rsid w:val="004C7BB3"/>
    <w:rsid w:val="004C7C7A"/>
    <w:rsid w:val="004C7D06"/>
    <w:rsid w:val="004C7EB3"/>
    <w:rsid w:val="004D000C"/>
    <w:rsid w:val="004D019B"/>
    <w:rsid w:val="004D0AD1"/>
    <w:rsid w:val="004D0ED2"/>
    <w:rsid w:val="004D109A"/>
    <w:rsid w:val="004D132C"/>
    <w:rsid w:val="004D1667"/>
    <w:rsid w:val="004D1A9E"/>
    <w:rsid w:val="004D1BD6"/>
    <w:rsid w:val="004D1C85"/>
    <w:rsid w:val="004D1D32"/>
    <w:rsid w:val="004D1EDA"/>
    <w:rsid w:val="004D1F27"/>
    <w:rsid w:val="004D20FA"/>
    <w:rsid w:val="004D21DE"/>
    <w:rsid w:val="004D2206"/>
    <w:rsid w:val="004D2247"/>
    <w:rsid w:val="004D23D6"/>
    <w:rsid w:val="004D2AF1"/>
    <w:rsid w:val="004D2B98"/>
    <w:rsid w:val="004D2F47"/>
    <w:rsid w:val="004D2FBE"/>
    <w:rsid w:val="004D32BA"/>
    <w:rsid w:val="004D3486"/>
    <w:rsid w:val="004D34C0"/>
    <w:rsid w:val="004D3549"/>
    <w:rsid w:val="004D377C"/>
    <w:rsid w:val="004D37E7"/>
    <w:rsid w:val="004D3F03"/>
    <w:rsid w:val="004D3F80"/>
    <w:rsid w:val="004D3F85"/>
    <w:rsid w:val="004D4084"/>
    <w:rsid w:val="004D4CC4"/>
    <w:rsid w:val="004D4D93"/>
    <w:rsid w:val="004D4ED0"/>
    <w:rsid w:val="004D4F64"/>
    <w:rsid w:val="004D5538"/>
    <w:rsid w:val="004D562C"/>
    <w:rsid w:val="004D5A5D"/>
    <w:rsid w:val="004D5B2C"/>
    <w:rsid w:val="004D5BB1"/>
    <w:rsid w:val="004D5BE1"/>
    <w:rsid w:val="004D5D4D"/>
    <w:rsid w:val="004D5F2A"/>
    <w:rsid w:val="004D5FF3"/>
    <w:rsid w:val="004D6106"/>
    <w:rsid w:val="004D6147"/>
    <w:rsid w:val="004D63E7"/>
    <w:rsid w:val="004D642D"/>
    <w:rsid w:val="004D64E4"/>
    <w:rsid w:val="004D6650"/>
    <w:rsid w:val="004D67BB"/>
    <w:rsid w:val="004D6AAD"/>
    <w:rsid w:val="004D6AF7"/>
    <w:rsid w:val="004D6CB3"/>
    <w:rsid w:val="004D6FBE"/>
    <w:rsid w:val="004D7708"/>
    <w:rsid w:val="004D7DCD"/>
    <w:rsid w:val="004D7F39"/>
    <w:rsid w:val="004E0006"/>
    <w:rsid w:val="004E0376"/>
    <w:rsid w:val="004E0380"/>
    <w:rsid w:val="004E05CE"/>
    <w:rsid w:val="004E0612"/>
    <w:rsid w:val="004E07D7"/>
    <w:rsid w:val="004E0CFE"/>
    <w:rsid w:val="004E114B"/>
    <w:rsid w:val="004E12B6"/>
    <w:rsid w:val="004E1557"/>
    <w:rsid w:val="004E15B2"/>
    <w:rsid w:val="004E1675"/>
    <w:rsid w:val="004E1A2C"/>
    <w:rsid w:val="004E1B7F"/>
    <w:rsid w:val="004E1CA1"/>
    <w:rsid w:val="004E1CFF"/>
    <w:rsid w:val="004E1D99"/>
    <w:rsid w:val="004E1E1B"/>
    <w:rsid w:val="004E1FC5"/>
    <w:rsid w:val="004E2049"/>
    <w:rsid w:val="004E22B4"/>
    <w:rsid w:val="004E2346"/>
    <w:rsid w:val="004E268A"/>
    <w:rsid w:val="004E269C"/>
    <w:rsid w:val="004E2AB1"/>
    <w:rsid w:val="004E2BAD"/>
    <w:rsid w:val="004E2D98"/>
    <w:rsid w:val="004E2E60"/>
    <w:rsid w:val="004E2F3D"/>
    <w:rsid w:val="004E3170"/>
    <w:rsid w:val="004E37DA"/>
    <w:rsid w:val="004E3847"/>
    <w:rsid w:val="004E39C3"/>
    <w:rsid w:val="004E3AD6"/>
    <w:rsid w:val="004E3D40"/>
    <w:rsid w:val="004E3D93"/>
    <w:rsid w:val="004E3FC1"/>
    <w:rsid w:val="004E4098"/>
    <w:rsid w:val="004E4367"/>
    <w:rsid w:val="004E43A6"/>
    <w:rsid w:val="004E440B"/>
    <w:rsid w:val="004E4566"/>
    <w:rsid w:val="004E4868"/>
    <w:rsid w:val="004E4959"/>
    <w:rsid w:val="004E4AEC"/>
    <w:rsid w:val="004E4C88"/>
    <w:rsid w:val="004E4DFC"/>
    <w:rsid w:val="004E5290"/>
    <w:rsid w:val="004E5353"/>
    <w:rsid w:val="004E583B"/>
    <w:rsid w:val="004E5A1A"/>
    <w:rsid w:val="004E5A9C"/>
    <w:rsid w:val="004E5AC3"/>
    <w:rsid w:val="004E5B44"/>
    <w:rsid w:val="004E5C37"/>
    <w:rsid w:val="004E5CF5"/>
    <w:rsid w:val="004E5D20"/>
    <w:rsid w:val="004E5E92"/>
    <w:rsid w:val="004E614A"/>
    <w:rsid w:val="004E64F2"/>
    <w:rsid w:val="004E6B2F"/>
    <w:rsid w:val="004E6C31"/>
    <w:rsid w:val="004E6C3A"/>
    <w:rsid w:val="004E6F24"/>
    <w:rsid w:val="004E70DE"/>
    <w:rsid w:val="004E72C3"/>
    <w:rsid w:val="004E731C"/>
    <w:rsid w:val="004E73F0"/>
    <w:rsid w:val="004E7436"/>
    <w:rsid w:val="004E75FB"/>
    <w:rsid w:val="004E76BD"/>
    <w:rsid w:val="004E77BA"/>
    <w:rsid w:val="004E7DD1"/>
    <w:rsid w:val="004E7DF2"/>
    <w:rsid w:val="004E7DF6"/>
    <w:rsid w:val="004E7F9D"/>
    <w:rsid w:val="004E7FD5"/>
    <w:rsid w:val="004E7FEE"/>
    <w:rsid w:val="004F00A7"/>
    <w:rsid w:val="004F028E"/>
    <w:rsid w:val="004F035C"/>
    <w:rsid w:val="004F04FC"/>
    <w:rsid w:val="004F059A"/>
    <w:rsid w:val="004F0CFF"/>
    <w:rsid w:val="004F0EE6"/>
    <w:rsid w:val="004F0F1E"/>
    <w:rsid w:val="004F0F32"/>
    <w:rsid w:val="004F10EE"/>
    <w:rsid w:val="004F1795"/>
    <w:rsid w:val="004F1A7C"/>
    <w:rsid w:val="004F1A9F"/>
    <w:rsid w:val="004F1AAC"/>
    <w:rsid w:val="004F1CC6"/>
    <w:rsid w:val="004F1E68"/>
    <w:rsid w:val="004F1F04"/>
    <w:rsid w:val="004F202E"/>
    <w:rsid w:val="004F21CD"/>
    <w:rsid w:val="004F21DB"/>
    <w:rsid w:val="004F22C6"/>
    <w:rsid w:val="004F258F"/>
    <w:rsid w:val="004F29E7"/>
    <w:rsid w:val="004F2C8E"/>
    <w:rsid w:val="004F2D6B"/>
    <w:rsid w:val="004F2DF5"/>
    <w:rsid w:val="004F3113"/>
    <w:rsid w:val="004F33A2"/>
    <w:rsid w:val="004F383C"/>
    <w:rsid w:val="004F3B40"/>
    <w:rsid w:val="004F3D04"/>
    <w:rsid w:val="004F3D11"/>
    <w:rsid w:val="004F3E8C"/>
    <w:rsid w:val="004F437A"/>
    <w:rsid w:val="004F4446"/>
    <w:rsid w:val="004F4506"/>
    <w:rsid w:val="004F4562"/>
    <w:rsid w:val="004F469D"/>
    <w:rsid w:val="004F470D"/>
    <w:rsid w:val="004F4971"/>
    <w:rsid w:val="004F4A84"/>
    <w:rsid w:val="004F4AB7"/>
    <w:rsid w:val="004F4BE5"/>
    <w:rsid w:val="004F4D0F"/>
    <w:rsid w:val="004F4E3A"/>
    <w:rsid w:val="004F4ED1"/>
    <w:rsid w:val="004F4EE7"/>
    <w:rsid w:val="004F5066"/>
    <w:rsid w:val="004F5223"/>
    <w:rsid w:val="004F52C9"/>
    <w:rsid w:val="004F53CB"/>
    <w:rsid w:val="004F5420"/>
    <w:rsid w:val="004F5694"/>
    <w:rsid w:val="004F58C8"/>
    <w:rsid w:val="004F5D0D"/>
    <w:rsid w:val="004F5EFB"/>
    <w:rsid w:val="004F5F77"/>
    <w:rsid w:val="004F641B"/>
    <w:rsid w:val="004F6512"/>
    <w:rsid w:val="004F65A6"/>
    <w:rsid w:val="004F65A7"/>
    <w:rsid w:val="004F6693"/>
    <w:rsid w:val="004F679E"/>
    <w:rsid w:val="004F6A41"/>
    <w:rsid w:val="004F6EE5"/>
    <w:rsid w:val="004F6F83"/>
    <w:rsid w:val="004F71A8"/>
    <w:rsid w:val="004F7272"/>
    <w:rsid w:val="004F73D3"/>
    <w:rsid w:val="004F75AD"/>
    <w:rsid w:val="004F77BA"/>
    <w:rsid w:val="004F78F6"/>
    <w:rsid w:val="004F7B75"/>
    <w:rsid w:val="004F7CB4"/>
    <w:rsid w:val="004F7DE7"/>
    <w:rsid w:val="004F7E5A"/>
    <w:rsid w:val="004F7EF5"/>
    <w:rsid w:val="004F7FBE"/>
    <w:rsid w:val="0050001B"/>
    <w:rsid w:val="0050012A"/>
    <w:rsid w:val="00500138"/>
    <w:rsid w:val="00500760"/>
    <w:rsid w:val="0050095A"/>
    <w:rsid w:val="00500DDD"/>
    <w:rsid w:val="005011D9"/>
    <w:rsid w:val="00501327"/>
    <w:rsid w:val="005014D5"/>
    <w:rsid w:val="005015DC"/>
    <w:rsid w:val="00501A1D"/>
    <w:rsid w:val="00501C1C"/>
    <w:rsid w:val="00501D49"/>
    <w:rsid w:val="00501DA2"/>
    <w:rsid w:val="00501DB2"/>
    <w:rsid w:val="00501F62"/>
    <w:rsid w:val="00502433"/>
    <w:rsid w:val="0050271D"/>
    <w:rsid w:val="0050281E"/>
    <w:rsid w:val="00502C76"/>
    <w:rsid w:val="00502DE1"/>
    <w:rsid w:val="00502E0A"/>
    <w:rsid w:val="0050302A"/>
    <w:rsid w:val="00503153"/>
    <w:rsid w:val="00503154"/>
    <w:rsid w:val="005032F7"/>
    <w:rsid w:val="005034A7"/>
    <w:rsid w:val="005036B4"/>
    <w:rsid w:val="00503ADF"/>
    <w:rsid w:val="00503C2F"/>
    <w:rsid w:val="00503EBB"/>
    <w:rsid w:val="005042AE"/>
    <w:rsid w:val="005042FF"/>
    <w:rsid w:val="005043AE"/>
    <w:rsid w:val="00504834"/>
    <w:rsid w:val="00504972"/>
    <w:rsid w:val="00504A59"/>
    <w:rsid w:val="00504A86"/>
    <w:rsid w:val="00504AB5"/>
    <w:rsid w:val="00504AE3"/>
    <w:rsid w:val="00504CCA"/>
    <w:rsid w:val="00504D6C"/>
    <w:rsid w:val="00504E3E"/>
    <w:rsid w:val="00504EE4"/>
    <w:rsid w:val="00505112"/>
    <w:rsid w:val="00505222"/>
    <w:rsid w:val="00505345"/>
    <w:rsid w:val="00505C6E"/>
    <w:rsid w:val="00505D3D"/>
    <w:rsid w:val="00505E1A"/>
    <w:rsid w:val="00505F35"/>
    <w:rsid w:val="00506079"/>
    <w:rsid w:val="0050610D"/>
    <w:rsid w:val="0050624A"/>
    <w:rsid w:val="00506269"/>
    <w:rsid w:val="005066B7"/>
    <w:rsid w:val="005067E2"/>
    <w:rsid w:val="005067EC"/>
    <w:rsid w:val="005068B8"/>
    <w:rsid w:val="00506B79"/>
    <w:rsid w:val="00506C7C"/>
    <w:rsid w:val="00506CC3"/>
    <w:rsid w:val="00506D11"/>
    <w:rsid w:val="00506F7A"/>
    <w:rsid w:val="00506FAF"/>
    <w:rsid w:val="00507393"/>
    <w:rsid w:val="005073A0"/>
    <w:rsid w:val="005073C8"/>
    <w:rsid w:val="00507AD0"/>
    <w:rsid w:val="00507AF8"/>
    <w:rsid w:val="00507BC0"/>
    <w:rsid w:val="00507C64"/>
    <w:rsid w:val="00507C71"/>
    <w:rsid w:val="00507C9B"/>
    <w:rsid w:val="00507D5E"/>
    <w:rsid w:val="00507F2A"/>
    <w:rsid w:val="00507FCA"/>
    <w:rsid w:val="005101A7"/>
    <w:rsid w:val="00510210"/>
    <w:rsid w:val="00510342"/>
    <w:rsid w:val="00510732"/>
    <w:rsid w:val="00510756"/>
    <w:rsid w:val="00510987"/>
    <w:rsid w:val="005109C7"/>
    <w:rsid w:val="00510D47"/>
    <w:rsid w:val="00510E43"/>
    <w:rsid w:val="00510FEB"/>
    <w:rsid w:val="00511128"/>
    <w:rsid w:val="00511595"/>
    <w:rsid w:val="005115BA"/>
    <w:rsid w:val="00511695"/>
    <w:rsid w:val="005118EE"/>
    <w:rsid w:val="00511E4B"/>
    <w:rsid w:val="00511EA9"/>
    <w:rsid w:val="00512049"/>
    <w:rsid w:val="005123D9"/>
    <w:rsid w:val="005125FC"/>
    <w:rsid w:val="00512AEA"/>
    <w:rsid w:val="00512B24"/>
    <w:rsid w:val="00512BB6"/>
    <w:rsid w:val="00512E4D"/>
    <w:rsid w:val="00512E71"/>
    <w:rsid w:val="00512FC8"/>
    <w:rsid w:val="00513103"/>
    <w:rsid w:val="00513129"/>
    <w:rsid w:val="00513133"/>
    <w:rsid w:val="00513339"/>
    <w:rsid w:val="00513409"/>
    <w:rsid w:val="00513743"/>
    <w:rsid w:val="005137B2"/>
    <w:rsid w:val="00513843"/>
    <w:rsid w:val="005139F2"/>
    <w:rsid w:val="00513DCD"/>
    <w:rsid w:val="005141AC"/>
    <w:rsid w:val="005141CE"/>
    <w:rsid w:val="00514355"/>
    <w:rsid w:val="005143D9"/>
    <w:rsid w:val="0051446E"/>
    <w:rsid w:val="0051448C"/>
    <w:rsid w:val="00514671"/>
    <w:rsid w:val="00514924"/>
    <w:rsid w:val="00514CF4"/>
    <w:rsid w:val="00514EEC"/>
    <w:rsid w:val="00515128"/>
    <w:rsid w:val="005151AE"/>
    <w:rsid w:val="0051544F"/>
    <w:rsid w:val="00515495"/>
    <w:rsid w:val="00515600"/>
    <w:rsid w:val="0051560E"/>
    <w:rsid w:val="005159AE"/>
    <w:rsid w:val="00515A89"/>
    <w:rsid w:val="00515B22"/>
    <w:rsid w:val="00515F96"/>
    <w:rsid w:val="00515FE1"/>
    <w:rsid w:val="00516047"/>
    <w:rsid w:val="0051635A"/>
    <w:rsid w:val="0051645E"/>
    <w:rsid w:val="005166F3"/>
    <w:rsid w:val="0051698B"/>
    <w:rsid w:val="005169D5"/>
    <w:rsid w:val="00516B6C"/>
    <w:rsid w:val="00516BD2"/>
    <w:rsid w:val="00516D85"/>
    <w:rsid w:val="00516EC6"/>
    <w:rsid w:val="00516F0E"/>
    <w:rsid w:val="00516F85"/>
    <w:rsid w:val="00517139"/>
    <w:rsid w:val="005171A2"/>
    <w:rsid w:val="005171AE"/>
    <w:rsid w:val="005171EF"/>
    <w:rsid w:val="005172D1"/>
    <w:rsid w:val="00517452"/>
    <w:rsid w:val="00517567"/>
    <w:rsid w:val="005175B4"/>
    <w:rsid w:val="00517769"/>
    <w:rsid w:val="00517CCF"/>
    <w:rsid w:val="00517EE3"/>
    <w:rsid w:val="00517F44"/>
    <w:rsid w:val="0052014C"/>
    <w:rsid w:val="005204E0"/>
    <w:rsid w:val="00520515"/>
    <w:rsid w:val="00520661"/>
    <w:rsid w:val="005206F9"/>
    <w:rsid w:val="0052073C"/>
    <w:rsid w:val="005207B3"/>
    <w:rsid w:val="0052086E"/>
    <w:rsid w:val="00520C70"/>
    <w:rsid w:val="00520DD3"/>
    <w:rsid w:val="00520DEE"/>
    <w:rsid w:val="00520FF4"/>
    <w:rsid w:val="005210C7"/>
    <w:rsid w:val="00521196"/>
    <w:rsid w:val="0052124E"/>
    <w:rsid w:val="005212C6"/>
    <w:rsid w:val="005215B8"/>
    <w:rsid w:val="00521702"/>
    <w:rsid w:val="00521B2A"/>
    <w:rsid w:val="00521B6E"/>
    <w:rsid w:val="00521C69"/>
    <w:rsid w:val="00521C74"/>
    <w:rsid w:val="00521F11"/>
    <w:rsid w:val="00521F5B"/>
    <w:rsid w:val="00521F6E"/>
    <w:rsid w:val="00522283"/>
    <w:rsid w:val="0052287F"/>
    <w:rsid w:val="00522A16"/>
    <w:rsid w:val="00522A9B"/>
    <w:rsid w:val="00522C24"/>
    <w:rsid w:val="00522CE5"/>
    <w:rsid w:val="00522F4E"/>
    <w:rsid w:val="00522FD8"/>
    <w:rsid w:val="00523211"/>
    <w:rsid w:val="005232C5"/>
    <w:rsid w:val="005234FB"/>
    <w:rsid w:val="005235ED"/>
    <w:rsid w:val="00523602"/>
    <w:rsid w:val="005236D1"/>
    <w:rsid w:val="00523864"/>
    <w:rsid w:val="005238AF"/>
    <w:rsid w:val="00523BE5"/>
    <w:rsid w:val="005240A2"/>
    <w:rsid w:val="00524183"/>
    <w:rsid w:val="005241CC"/>
    <w:rsid w:val="00524412"/>
    <w:rsid w:val="0052453F"/>
    <w:rsid w:val="00524813"/>
    <w:rsid w:val="00524904"/>
    <w:rsid w:val="00524976"/>
    <w:rsid w:val="005249CE"/>
    <w:rsid w:val="00524D5D"/>
    <w:rsid w:val="0052519F"/>
    <w:rsid w:val="0052540C"/>
    <w:rsid w:val="0052567C"/>
    <w:rsid w:val="00525883"/>
    <w:rsid w:val="00525C3D"/>
    <w:rsid w:val="00525C4D"/>
    <w:rsid w:val="00525D9D"/>
    <w:rsid w:val="00525E1D"/>
    <w:rsid w:val="00525E53"/>
    <w:rsid w:val="00525E76"/>
    <w:rsid w:val="00525F14"/>
    <w:rsid w:val="0052634B"/>
    <w:rsid w:val="00526454"/>
    <w:rsid w:val="00526517"/>
    <w:rsid w:val="005269F5"/>
    <w:rsid w:val="00526CAC"/>
    <w:rsid w:val="00526D4C"/>
    <w:rsid w:val="00526E56"/>
    <w:rsid w:val="00527006"/>
    <w:rsid w:val="0052712E"/>
    <w:rsid w:val="00527248"/>
    <w:rsid w:val="00527553"/>
    <w:rsid w:val="0052759A"/>
    <w:rsid w:val="0052762E"/>
    <w:rsid w:val="005276EB"/>
    <w:rsid w:val="00527796"/>
    <w:rsid w:val="00527A08"/>
    <w:rsid w:val="00527E85"/>
    <w:rsid w:val="00527EF6"/>
    <w:rsid w:val="00527F23"/>
    <w:rsid w:val="00530077"/>
    <w:rsid w:val="0053019D"/>
    <w:rsid w:val="00530276"/>
    <w:rsid w:val="0053030C"/>
    <w:rsid w:val="005305A3"/>
    <w:rsid w:val="0053076F"/>
    <w:rsid w:val="005307D6"/>
    <w:rsid w:val="00530972"/>
    <w:rsid w:val="00530999"/>
    <w:rsid w:val="00530AAF"/>
    <w:rsid w:val="0053108E"/>
    <w:rsid w:val="005312F1"/>
    <w:rsid w:val="0053144B"/>
    <w:rsid w:val="00531465"/>
    <w:rsid w:val="00531AF8"/>
    <w:rsid w:val="00531F1E"/>
    <w:rsid w:val="00531FC5"/>
    <w:rsid w:val="00532056"/>
    <w:rsid w:val="00532557"/>
    <w:rsid w:val="005325FB"/>
    <w:rsid w:val="0053267C"/>
    <w:rsid w:val="0053279B"/>
    <w:rsid w:val="005328D6"/>
    <w:rsid w:val="00532B7F"/>
    <w:rsid w:val="00532D1A"/>
    <w:rsid w:val="00532E97"/>
    <w:rsid w:val="005332D0"/>
    <w:rsid w:val="005333AF"/>
    <w:rsid w:val="00533C04"/>
    <w:rsid w:val="00533C8F"/>
    <w:rsid w:val="00533DC5"/>
    <w:rsid w:val="00533FA2"/>
    <w:rsid w:val="005340AA"/>
    <w:rsid w:val="0053468C"/>
    <w:rsid w:val="005346D3"/>
    <w:rsid w:val="00534889"/>
    <w:rsid w:val="00534949"/>
    <w:rsid w:val="00534AD6"/>
    <w:rsid w:val="00534BCE"/>
    <w:rsid w:val="00534BF7"/>
    <w:rsid w:val="00534C85"/>
    <w:rsid w:val="00534D25"/>
    <w:rsid w:val="00534F3D"/>
    <w:rsid w:val="00534F7E"/>
    <w:rsid w:val="005351E3"/>
    <w:rsid w:val="00535632"/>
    <w:rsid w:val="005358B7"/>
    <w:rsid w:val="005358D7"/>
    <w:rsid w:val="00535955"/>
    <w:rsid w:val="005359A9"/>
    <w:rsid w:val="005362A8"/>
    <w:rsid w:val="00536651"/>
    <w:rsid w:val="00536731"/>
    <w:rsid w:val="005367D9"/>
    <w:rsid w:val="005368B0"/>
    <w:rsid w:val="00536AA0"/>
    <w:rsid w:val="00536EF5"/>
    <w:rsid w:val="005374CA"/>
    <w:rsid w:val="005374FD"/>
    <w:rsid w:val="0053752B"/>
    <w:rsid w:val="00537698"/>
    <w:rsid w:val="0053780E"/>
    <w:rsid w:val="00537A02"/>
    <w:rsid w:val="00537B15"/>
    <w:rsid w:val="00537B83"/>
    <w:rsid w:val="00537BE0"/>
    <w:rsid w:val="00537D29"/>
    <w:rsid w:val="00540131"/>
    <w:rsid w:val="0054043A"/>
    <w:rsid w:val="00540504"/>
    <w:rsid w:val="005405DB"/>
    <w:rsid w:val="00540650"/>
    <w:rsid w:val="00540D48"/>
    <w:rsid w:val="00540D64"/>
    <w:rsid w:val="0054105E"/>
    <w:rsid w:val="005413B7"/>
    <w:rsid w:val="00541407"/>
    <w:rsid w:val="00541676"/>
    <w:rsid w:val="005417A5"/>
    <w:rsid w:val="00541827"/>
    <w:rsid w:val="00541932"/>
    <w:rsid w:val="00541A29"/>
    <w:rsid w:val="00541EF7"/>
    <w:rsid w:val="00542657"/>
    <w:rsid w:val="00542A75"/>
    <w:rsid w:val="00542ACB"/>
    <w:rsid w:val="00542BDC"/>
    <w:rsid w:val="00542C9E"/>
    <w:rsid w:val="00542D07"/>
    <w:rsid w:val="00542E58"/>
    <w:rsid w:val="00543413"/>
    <w:rsid w:val="005435FD"/>
    <w:rsid w:val="005436FD"/>
    <w:rsid w:val="00543764"/>
    <w:rsid w:val="00543868"/>
    <w:rsid w:val="005438C1"/>
    <w:rsid w:val="005439DC"/>
    <w:rsid w:val="00543A5D"/>
    <w:rsid w:val="00543BD8"/>
    <w:rsid w:val="00543EE7"/>
    <w:rsid w:val="00543F7F"/>
    <w:rsid w:val="00544020"/>
    <w:rsid w:val="00544B0B"/>
    <w:rsid w:val="00544B7D"/>
    <w:rsid w:val="00544C97"/>
    <w:rsid w:val="00544D1A"/>
    <w:rsid w:val="00544D88"/>
    <w:rsid w:val="00544D89"/>
    <w:rsid w:val="00544DA4"/>
    <w:rsid w:val="00544DAD"/>
    <w:rsid w:val="00544EB0"/>
    <w:rsid w:val="00544EDA"/>
    <w:rsid w:val="00544F36"/>
    <w:rsid w:val="005453BE"/>
    <w:rsid w:val="00545549"/>
    <w:rsid w:val="00545611"/>
    <w:rsid w:val="00545653"/>
    <w:rsid w:val="00545738"/>
    <w:rsid w:val="00545838"/>
    <w:rsid w:val="00545AEF"/>
    <w:rsid w:val="005460A1"/>
    <w:rsid w:val="00546170"/>
    <w:rsid w:val="00546526"/>
    <w:rsid w:val="005467DD"/>
    <w:rsid w:val="00546B18"/>
    <w:rsid w:val="00547300"/>
    <w:rsid w:val="00547652"/>
    <w:rsid w:val="00547822"/>
    <w:rsid w:val="00547828"/>
    <w:rsid w:val="00547A24"/>
    <w:rsid w:val="00547A38"/>
    <w:rsid w:val="00547C60"/>
    <w:rsid w:val="00547D9B"/>
    <w:rsid w:val="00547DE1"/>
    <w:rsid w:val="00547EFA"/>
    <w:rsid w:val="00547FA5"/>
    <w:rsid w:val="0055012C"/>
    <w:rsid w:val="00550228"/>
    <w:rsid w:val="0055028A"/>
    <w:rsid w:val="005502BE"/>
    <w:rsid w:val="0055064F"/>
    <w:rsid w:val="00550685"/>
    <w:rsid w:val="00550C49"/>
    <w:rsid w:val="00551121"/>
    <w:rsid w:val="005513B8"/>
    <w:rsid w:val="005513C5"/>
    <w:rsid w:val="00551563"/>
    <w:rsid w:val="0055158F"/>
    <w:rsid w:val="00551980"/>
    <w:rsid w:val="00551C26"/>
    <w:rsid w:val="00551C53"/>
    <w:rsid w:val="00551D6C"/>
    <w:rsid w:val="00551EEF"/>
    <w:rsid w:val="00551F6D"/>
    <w:rsid w:val="00552037"/>
    <w:rsid w:val="005520FA"/>
    <w:rsid w:val="00552116"/>
    <w:rsid w:val="0055295B"/>
    <w:rsid w:val="00552A20"/>
    <w:rsid w:val="00553386"/>
    <w:rsid w:val="0055364C"/>
    <w:rsid w:val="005537AB"/>
    <w:rsid w:val="0055391C"/>
    <w:rsid w:val="005539EF"/>
    <w:rsid w:val="00553B89"/>
    <w:rsid w:val="00553B9D"/>
    <w:rsid w:val="00554234"/>
    <w:rsid w:val="00554665"/>
    <w:rsid w:val="005546F4"/>
    <w:rsid w:val="005547EF"/>
    <w:rsid w:val="00554908"/>
    <w:rsid w:val="00554B5A"/>
    <w:rsid w:val="00554BC6"/>
    <w:rsid w:val="00554C7A"/>
    <w:rsid w:val="00555152"/>
    <w:rsid w:val="0055531D"/>
    <w:rsid w:val="00555591"/>
    <w:rsid w:val="0055560D"/>
    <w:rsid w:val="00555921"/>
    <w:rsid w:val="00555AD4"/>
    <w:rsid w:val="00555B2B"/>
    <w:rsid w:val="00555C3B"/>
    <w:rsid w:val="00555DA0"/>
    <w:rsid w:val="00555E4E"/>
    <w:rsid w:val="005560FA"/>
    <w:rsid w:val="0055617E"/>
    <w:rsid w:val="005561F1"/>
    <w:rsid w:val="00556360"/>
    <w:rsid w:val="00556588"/>
    <w:rsid w:val="00556732"/>
    <w:rsid w:val="00556CC5"/>
    <w:rsid w:val="00556F3C"/>
    <w:rsid w:val="00556F6C"/>
    <w:rsid w:val="00557053"/>
    <w:rsid w:val="0055710F"/>
    <w:rsid w:val="00557238"/>
    <w:rsid w:val="0055733C"/>
    <w:rsid w:val="00557520"/>
    <w:rsid w:val="00557618"/>
    <w:rsid w:val="00557726"/>
    <w:rsid w:val="00557AD0"/>
    <w:rsid w:val="00557C20"/>
    <w:rsid w:val="00557C66"/>
    <w:rsid w:val="00557C80"/>
    <w:rsid w:val="00557CAD"/>
    <w:rsid w:val="00557D89"/>
    <w:rsid w:val="00557F16"/>
    <w:rsid w:val="005603C7"/>
    <w:rsid w:val="00560704"/>
    <w:rsid w:val="005608A8"/>
    <w:rsid w:val="00560907"/>
    <w:rsid w:val="00560988"/>
    <w:rsid w:val="00560A70"/>
    <w:rsid w:val="00560AC3"/>
    <w:rsid w:val="00560ADD"/>
    <w:rsid w:val="00560B67"/>
    <w:rsid w:val="00560C1D"/>
    <w:rsid w:val="00560D5E"/>
    <w:rsid w:val="00560E30"/>
    <w:rsid w:val="00561207"/>
    <w:rsid w:val="005612FA"/>
    <w:rsid w:val="0056132C"/>
    <w:rsid w:val="005613EE"/>
    <w:rsid w:val="00561445"/>
    <w:rsid w:val="0056153A"/>
    <w:rsid w:val="005615E1"/>
    <w:rsid w:val="00561761"/>
    <w:rsid w:val="00561771"/>
    <w:rsid w:val="00561B46"/>
    <w:rsid w:val="00561D43"/>
    <w:rsid w:val="00561D4E"/>
    <w:rsid w:val="00561EA5"/>
    <w:rsid w:val="00561EF4"/>
    <w:rsid w:val="00561EF7"/>
    <w:rsid w:val="00562147"/>
    <w:rsid w:val="005621FF"/>
    <w:rsid w:val="0056220E"/>
    <w:rsid w:val="00562392"/>
    <w:rsid w:val="005623A7"/>
    <w:rsid w:val="005624B9"/>
    <w:rsid w:val="00562574"/>
    <w:rsid w:val="00562AE0"/>
    <w:rsid w:val="00562B00"/>
    <w:rsid w:val="00562D7E"/>
    <w:rsid w:val="00562F01"/>
    <w:rsid w:val="00563193"/>
    <w:rsid w:val="00563381"/>
    <w:rsid w:val="00563442"/>
    <w:rsid w:val="00563522"/>
    <w:rsid w:val="005635F0"/>
    <w:rsid w:val="0056365A"/>
    <w:rsid w:val="0056367D"/>
    <w:rsid w:val="00563700"/>
    <w:rsid w:val="005637A5"/>
    <w:rsid w:val="005638DE"/>
    <w:rsid w:val="00564336"/>
    <w:rsid w:val="00564362"/>
    <w:rsid w:val="0056438E"/>
    <w:rsid w:val="0056440C"/>
    <w:rsid w:val="005646FB"/>
    <w:rsid w:val="005649C5"/>
    <w:rsid w:val="00564B07"/>
    <w:rsid w:val="00564BFA"/>
    <w:rsid w:val="00565282"/>
    <w:rsid w:val="00565409"/>
    <w:rsid w:val="0056561A"/>
    <w:rsid w:val="00565634"/>
    <w:rsid w:val="005657A0"/>
    <w:rsid w:val="005657B9"/>
    <w:rsid w:val="0056595A"/>
    <w:rsid w:val="00565BCE"/>
    <w:rsid w:val="00565CE0"/>
    <w:rsid w:val="00565E19"/>
    <w:rsid w:val="005662D0"/>
    <w:rsid w:val="00566770"/>
    <w:rsid w:val="0056677C"/>
    <w:rsid w:val="00566887"/>
    <w:rsid w:val="00566950"/>
    <w:rsid w:val="00566A5A"/>
    <w:rsid w:val="00566C14"/>
    <w:rsid w:val="00566F67"/>
    <w:rsid w:val="0056759B"/>
    <w:rsid w:val="005675B8"/>
    <w:rsid w:val="0056768D"/>
    <w:rsid w:val="005676F7"/>
    <w:rsid w:val="00567855"/>
    <w:rsid w:val="0056788D"/>
    <w:rsid w:val="00567B3F"/>
    <w:rsid w:val="00567B4E"/>
    <w:rsid w:val="00567B70"/>
    <w:rsid w:val="00567D71"/>
    <w:rsid w:val="0057025E"/>
    <w:rsid w:val="0057032D"/>
    <w:rsid w:val="00570348"/>
    <w:rsid w:val="005703C3"/>
    <w:rsid w:val="00570466"/>
    <w:rsid w:val="00570615"/>
    <w:rsid w:val="005706B5"/>
    <w:rsid w:val="00570716"/>
    <w:rsid w:val="00570A4D"/>
    <w:rsid w:val="00570B20"/>
    <w:rsid w:val="00570B34"/>
    <w:rsid w:val="0057102A"/>
    <w:rsid w:val="0057130E"/>
    <w:rsid w:val="0057153F"/>
    <w:rsid w:val="0057155A"/>
    <w:rsid w:val="00571794"/>
    <w:rsid w:val="00571C64"/>
    <w:rsid w:val="00571D68"/>
    <w:rsid w:val="00571F47"/>
    <w:rsid w:val="00571F62"/>
    <w:rsid w:val="00572293"/>
    <w:rsid w:val="005723DA"/>
    <w:rsid w:val="00572526"/>
    <w:rsid w:val="00572637"/>
    <w:rsid w:val="005727EA"/>
    <w:rsid w:val="00572808"/>
    <w:rsid w:val="00572987"/>
    <w:rsid w:val="00572DEC"/>
    <w:rsid w:val="0057303E"/>
    <w:rsid w:val="0057329F"/>
    <w:rsid w:val="005735ED"/>
    <w:rsid w:val="0057369E"/>
    <w:rsid w:val="00573AC4"/>
    <w:rsid w:val="00573BAB"/>
    <w:rsid w:val="00573CF5"/>
    <w:rsid w:val="00573FDD"/>
    <w:rsid w:val="00573FF3"/>
    <w:rsid w:val="005741EE"/>
    <w:rsid w:val="00574360"/>
    <w:rsid w:val="00574434"/>
    <w:rsid w:val="0057450C"/>
    <w:rsid w:val="00574840"/>
    <w:rsid w:val="00574C06"/>
    <w:rsid w:val="00574CD4"/>
    <w:rsid w:val="0057529A"/>
    <w:rsid w:val="005754E6"/>
    <w:rsid w:val="0057554C"/>
    <w:rsid w:val="005755B9"/>
    <w:rsid w:val="0057588E"/>
    <w:rsid w:val="00575B7D"/>
    <w:rsid w:val="00575EC8"/>
    <w:rsid w:val="00575ECC"/>
    <w:rsid w:val="00575F8C"/>
    <w:rsid w:val="00576304"/>
    <w:rsid w:val="005763F3"/>
    <w:rsid w:val="00576651"/>
    <w:rsid w:val="005767A4"/>
    <w:rsid w:val="005767AF"/>
    <w:rsid w:val="00576BB4"/>
    <w:rsid w:val="00576C39"/>
    <w:rsid w:val="00576F93"/>
    <w:rsid w:val="005774AE"/>
    <w:rsid w:val="00577568"/>
    <w:rsid w:val="005776AB"/>
    <w:rsid w:val="005778A1"/>
    <w:rsid w:val="00577943"/>
    <w:rsid w:val="00577C68"/>
    <w:rsid w:val="00577D54"/>
    <w:rsid w:val="00580014"/>
    <w:rsid w:val="0058033F"/>
    <w:rsid w:val="00580403"/>
    <w:rsid w:val="0058053A"/>
    <w:rsid w:val="00580826"/>
    <w:rsid w:val="005809F3"/>
    <w:rsid w:val="00580A22"/>
    <w:rsid w:val="00580D9B"/>
    <w:rsid w:val="00580DBC"/>
    <w:rsid w:val="00580E35"/>
    <w:rsid w:val="00580F6A"/>
    <w:rsid w:val="00581518"/>
    <w:rsid w:val="0058155C"/>
    <w:rsid w:val="00581B0E"/>
    <w:rsid w:val="00581B27"/>
    <w:rsid w:val="00581EB2"/>
    <w:rsid w:val="00582254"/>
    <w:rsid w:val="005825B9"/>
    <w:rsid w:val="00582655"/>
    <w:rsid w:val="00582754"/>
    <w:rsid w:val="005829D0"/>
    <w:rsid w:val="00582DD9"/>
    <w:rsid w:val="00582E67"/>
    <w:rsid w:val="00583132"/>
    <w:rsid w:val="00583415"/>
    <w:rsid w:val="00583748"/>
    <w:rsid w:val="005837D3"/>
    <w:rsid w:val="00583816"/>
    <w:rsid w:val="00583AD8"/>
    <w:rsid w:val="00583BE4"/>
    <w:rsid w:val="00583CDC"/>
    <w:rsid w:val="0058425F"/>
    <w:rsid w:val="00584390"/>
    <w:rsid w:val="00584A3C"/>
    <w:rsid w:val="00584AA7"/>
    <w:rsid w:val="00584CD3"/>
    <w:rsid w:val="00584D31"/>
    <w:rsid w:val="00584F86"/>
    <w:rsid w:val="00585073"/>
    <w:rsid w:val="00585162"/>
    <w:rsid w:val="005851B3"/>
    <w:rsid w:val="005852B4"/>
    <w:rsid w:val="00585506"/>
    <w:rsid w:val="00585660"/>
    <w:rsid w:val="0058576B"/>
    <w:rsid w:val="005857AA"/>
    <w:rsid w:val="00585868"/>
    <w:rsid w:val="0058599D"/>
    <w:rsid w:val="00585C88"/>
    <w:rsid w:val="005862C8"/>
    <w:rsid w:val="00586644"/>
    <w:rsid w:val="0058676D"/>
    <w:rsid w:val="0058676E"/>
    <w:rsid w:val="00586825"/>
    <w:rsid w:val="00586A17"/>
    <w:rsid w:val="00586B9E"/>
    <w:rsid w:val="00586BC2"/>
    <w:rsid w:val="00586C6C"/>
    <w:rsid w:val="0058731D"/>
    <w:rsid w:val="0058783F"/>
    <w:rsid w:val="005878C4"/>
    <w:rsid w:val="00587A71"/>
    <w:rsid w:val="00587AFC"/>
    <w:rsid w:val="00587B71"/>
    <w:rsid w:val="00587E3E"/>
    <w:rsid w:val="005901C5"/>
    <w:rsid w:val="005904CA"/>
    <w:rsid w:val="00590652"/>
    <w:rsid w:val="005908E5"/>
    <w:rsid w:val="00590AA7"/>
    <w:rsid w:val="00590AB2"/>
    <w:rsid w:val="00590BA7"/>
    <w:rsid w:val="00590BF3"/>
    <w:rsid w:val="00590E34"/>
    <w:rsid w:val="0059109B"/>
    <w:rsid w:val="00591138"/>
    <w:rsid w:val="00591237"/>
    <w:rsid w:val="00591355"/>
    <w:rsid w:val="00591429"/>
    <w:rsid w:val="0059155A"/>
    <w:rsid w:val="005917CE"/>
    <w:rsid w:val="005917D5"/>
    <w:rsid w:val="005917DA"/>
    <w:rsid w:val="0059186B"/>
    <w:rsid w:val="00591948"/>
    <w:rsid w:val="00591DF5"/>
    <w:rsid w:val="00591E8E"/>
    <w:rsid w:val="00591F51"/>
    <w:rsid w:val="00591FB0"/>
    <w:rsid w:val="00592220"/>
    <w:rsid w:val="00592853"/>
    <w:rsid w:val="00592CEF"/>
    <w:rsid w:val="00592E8E"/>
    <w:rsid w:val="00593282"/>
    <w:rsid w:val="005939C5"/>
    <w:rsid w:val="00593D9F"/>
    <w:rsid w:val="00593DC9"/>
    <w:rsid w:val="00593DFC"/>
    <w:rsid w:val="00593E32"/>
    <w:rsid w:val="005941BF"/>
    <w:rsid w:val="005943E0"/>
    <w:rsid w:val="0059466C"/>
    <w:rsid w:val="005946AD"/>
    <w:rsid w:val="005947B4"/>
    <w:rsid w:val="005947F0"/>
    <w:rsid w:val="00594968"/>
    <w:rsid w:val="00594A62"/>
    <w:rsid w:val="00594F09"/>
    <w:rsid w:val="00595FF2"/>
    <w:rsid w:val="00596127"/>
    <w:rsid w:val="005961E7"/>
    <w:rsid w:val="00596290"/>
    <w:rsid w:val="0059632E"/>
    <w:rsid w:val="00596654"/>
    <w:rsid w:val="0059679E"/>
    <w:rsid w:val="00596E7B"/>
    <w:rsid w:val="0059713E"/>
    <w:rsid w:val="005971EE"/>
    <w:rsid w:val="005971F6"/>
    <w:rsid w:val="00597246"/>
    <w:rsid w:val="0059729E"/>
    <w:rsid w:val="00597418"/>
    <w:rsid w:val="0059760B"/>
    <w:rsid w:val="005976E3"/>
    <w:rsid w:val="00597896"/>
    <w:rsid w:val="0059790D"/>
    <w:rsid w:val="00597AF5"/>
    <w:rsid w:val="00597B1A"/>
    <w:rsid w:val="00597D23"/>
    <w:rsid w:val="005A0115"/>
    <w:rsid w:val="005A0131"/>
    <w:rsid w:val="005A0936"/>
    <w:rsid w:val="005A0B6D"/>
    <w:rsid w:val="005A0C5F"/>
    <w:rsid w:val="005A0E72"/>
    <w:rsid w:val="005A15B4"/>
    <w:rsid w:val="005A17AA"/>
    <w:rsid w:val="005A197E"/>
    <w:rsid w:val="005A1B1A"/>
    <w:rsid w:val="005A1F83"/>
    <w:rsid w:val="005A1FC8"/>
    <w:rsid w:val="005A201F"/>
    <w:rsid w:val="005A20A0"/>
    <w:rsid w:val="005A2226"/>
    <w:rsid w:val="005A22A5"/>
    <w:rsid w:val="005A2341"/>
    <w:rsid w:val="005A24FA"/>
    <w:rsid w:val="005A2518"/>
    <w:rsid w:val="005A25B4"/>
    <w:rsid w:val="005A268C"/>
    <w:rsid w:val="005A2878"/>
    <w:rsid w:val="005A2B73"/>
    <w:rsid w:val="005A2C00"/>
    <w:rsid w:val="005A2D03"/>
    <w:rsid w:val="005A30D3"/>
    <w:rsid w:val="005A30F9"/>
    <w:rsid w:val="005A32AB"/>
    <w:rsid w:val="005A32C8"/>
    <w:rsid w:val="005A3584"/>
    <w:rsid w:val="005A37BD"/>
    <w:rsid w:val="005A3872"/>
    <w:rsid w:val="005A3F30"/>
    <w:rsid w:val="005A40A5"/>
    <w:rsid w:val="005A41DB"/>
    <w:rsid w:val="005A42F0"/>
    <w:rsid w:val="005A4577"/>
    <w:rsid w:val="005A47CC"/>
    <w:rsid w:val="005A494A"/>
    <w:rsid w:val="005A4A47"/>
    <w:rsid w:val="005A4B5B"/>
    <w:rsid w:val="005A4C9D"/>
    <w:rsid w:val="005A4EA2"/>
    <w:rsid w:val="005A5068"/>
    <w:rsid w:val="005A5093"/>
    <w:rsid w:val="005A51F0"/>
    <w:rsid w:val="005A534E"/>
    <w:rsid w:val="005A55E1"/>
    <w:rsid w:val="005A56AE"/>
    <w:rsid w:val="005A56C0"/>
    <w:rsid w:val="005A5BC1"/>
    <w:rsid w:val="005A5F2B"/>
    <w:rsid w:val="005A6065"/>
    <w:rsid w:val="005A6380"/>
    <w:rsid w:val="005A638C"/>
    <w:rsid w:val="005A6B63"/>
    <w:rsid w:val="005A6B82"/>
    <w:rsid w:val="005A6BC2"/>
    <w:rsid w:val="005A6BDD"/>
    <w:rsid w:val="005A6F7F"/>
    <w:rsid w:val="005A6FD7"/>
    <w:rsid w:val="005A705C"/>
    <w:rsid w:val="005A7231"/>
    <w:rsid w:val="005A74E4"/>
    <w:rsid w:val="005A75DF"/>
    <w:rsid w:val="005A77E4"/>
    <w:rsid w:val="005A79FD"/>
    <w:rsid w:val="005A7AF2"/>
    <w:rsid w:val="005A7B75"/>
    <w:rsid w:val="005A7C11"/>
    <w:rsid w:val="005A7D17"/>
    <w:rsid w:val="005A7D5B"/>
    <w:rsid w:val="005A7E98"/>
    <w:rsid w:val="005B0080"/>
    <w:rsid w:val="005B01B8"/>
    <w:rsid w:val="005B0307"/>
    <w:rsid w:val="005B042E"/>
    <w:rsid w:val="005B06D4"/>
    <w:rsid w:val="005B0778"/>
    <w:rsid w:val="005B07AD"/>
    <w:rsid w:val="005B0851"/>
    <w:rsid w:val="005B08BC"/>
    <w:rsid w:val="005B0903"/>
    <w:rsid w:val="005B09D5"/>
    <w:rsid w:val="005B09ED"/>
    <w:rsid w:val="005B0A43"/>
    <w:rsid w:val="005B0ADF"/>
    <w:rsid w:val="005B0BBA"/>
    <w:rsid w:val="005B0E32"/>
    <w:rsid w:val="005B126D"/>
    <w:rsid w:val="005B1428"/>
    <w:rsid w:val="005B1481"/>
    <w:rsid w:val="005B15B5"/>
    <w:rsid w:val="005B1854"/>
    <w:rsid w:val="005B1B4E"/>
    <w:rsid w:val="005B1C37"/>
    <w:rsid w:val="005B2333"/>
    <w:rsid w:val="005B276A"/>
    <w:rsid w:val="005B28E9"/>
    <w:rsid w:val="005B29C5"/>
    <w:rsid w:val="005B2C35"/>
    <w:rsid w:val="005B2DCA"/>
    <w:rsid w:val="005B322E"/>
    <w:rsid w:val="005B335E"/>
    <w:rsid w:val="005B33D0"/>
    <w:rsid w:val="005B34FB"/>
    <w:rsid w:val="005B368F"/>
    <w:rsid w:val="005B3B33"/>
    <w:rsid w:val="005B3CDC"/>
    <w:rsid w:val="005B3E68"/>
    <w:rsid w:val="005B40D4"/>
    <w:rsid w:val="005B40EE"/>
    <w:rsid w:val="005B4845"/>
    <w:rsid w:val="005B4A88"/>
    <w:rsid w:val="005B4B32"/>
    <w:rsid w:val="005B4BAF"/>
    <w:rsid w:val="005B4DC0"/>
    <w:rsid w:val="005B50C2"/>
    <w:rsid w:val="005B52CF"/>
    <w:rsid w:val="005B52D1"/>
    <w:rsid w:val="005B5414"/>
    <w:rsid w:val="005B5C27"/>
    <w:rsid w:val="005B5C2D"/>
    <w:rsid w:val="005B6150"/>
    <w:rsid w:val="005B61A5"/>
    <w:rsid w:val="005B6341"/>
    <w:rsid w:val="005B638C"/>
    <w:rsid w:val="005B642E"/>
    <w:rsid w:val="005B64F4"/>
    <w:rsid w:val="005B6931"/>
    <w:rsid w:val="005B69F3"/>
    <w:rsid w:val="005B69FE"/>
    <w:rsid w:val="005B6AF0"/>
    <w:rsid w:val="005B6B2D"/>
    <w:rsid w:val="005B6BFE"/>
    <w:rsid w:val="005B6F18"/>
    <w:rsid w:val="005B70C6"/>
    <w:rsid w:val="005B740F"/>
    <w:rsid w:val="005B7572"/>
    <w:rsid w:val="005B775B"/>
    <w:rsid w:val="005B77A2"/>
    <w:rsid w:val="005B77A9"/>
    <w:rsid w:val="005B7A82"/>
    <w:rsid w:val="005B7C12"/>
    <w:rsid w:val="005B7F0E"/>
    <w:rsid w:val="005C0199"/>
    <w:rsid w:val="005C037E"/>
    <w:rsid w:val="005C047F"/>
    <w:rsid w:val="005C04FD"/>
    <w:rsid w:val="005C0539"/>
    <w:rsid w:val="005C07BE"/>
    <w:rsid w:val="005C07C3"/>
    <w:rsid w:val="005C09B3"/>
    <w:rsid w:val="005C0AB2"/>
    <w:rsid w:val="005C0CA4"/>
    <w:rsid w:val="005C0CC6"/>
    <w:rsid w:val="005C0D1A"/>
    <w:rsid w:val="005C1137"/>
    <w:rsid w:val="005C12A5"/>
    <w:rsid w:val="005C142E"/>
    <w:rsid w:val="005C1556"/>
    <w:rsid w:val="005C1630"/>
    <w:rsid w:val="005C16C5"/>
    <w:rsid w:val="005C16D5"/>
    <w:rsid w:val="005C1738"/>
    <w:rsid w:val="005C1C16"/>
    <w:rsid w:val="005C1F8E"/>
    <w:rsid w:val="005C2120"/>
    <w:rsid w:val="005C2A4F"/>
    <w:rsid w:val="005C2B04"/>
    <w:rsid w:val="005C2CF1"/>
    <w:rsid w:val="005C2E29"/>
    <w:rsid w:val="005C324D"/>
    <w:rsid w:val="005C32A3"/>
    <w:rsid w:val="005C32F5"/>
    <w:rsid w:val="005C33EF"/>
    <w:rsid w:val="005C3656"/>
    <w:rsid w:val="005C3B30"/>
    <w:rsid w:val="005C3DE7"/>
    <w:rsid w:val="005C3FC5"/>
    <w:rsid w:val="005C40B3"/>
    <w:rsid w:val="005C42C0"/>
    <w:rsid w:val="005C46C7"/>
    <w:rsid w:val="005C49A8"/>
    <w:rsid w:val="005C4A63"/>
    <w:rsid w:val="005C4A8E"/>
    <w:rsid w:val="005C4CCB"/>
    <w:rsid w:val="005C5111"/>
    <w:rsid w:val="005C5425"/>
    <w:rsid w:val="005C5524"/>
    <w:rsid w:val="005C56AA"/>
    <w:rsid w:val="005C5A1B"/>
    <w:rsid w:val="005C5C1B"/>
    <w:rsid w:val="005C5E0F"/>
    <w:rsid w:val="005C5E1A"/>
    <w:rsid w:val="005C5FE0"/>
    <w:rsid w:val="005C62EA"/>
    <w:rsid w:val="005C6305"/>
    <w:rsid w:val="005C6320"/>
    <w:rsid w:val="005C64ED"/>
    <w:rsid w:val="005C664A"/>
    <w:rsid w:val="005C68C6"/>
    <w:rsid w:val="005C693A"/>
    <w:rsid w:val="005C6B3B"/>
    <w:rsid w:val="005C6D4A"/>
    <w:rsid w:val="005C6E19"/>
    <w:rsid w:val="005C6EF9"/>
    <w:rsid w:val="005C71AC"/>
    <w:rsid w:val="005C7269"/>
    <w:rsid w:val="005C743A"/>
    <w:rsid w:val="005C76C4"/>
    <w:rsid w:val="005C7A2E"/>
    <w:rsid w:val="005C7AE4"/>
    <w:rsid w:val="005C7C74"/>
    <w:rsid w:val="005C7D4B"/>
    <w:rsid w:val="005D0443"/>
    <w:rsid w:val="005D0453"/>
    <w:rsid w:val="005D06DD"/>
    <w:rsid w:val="005D084A"/>
    <w:rsid w:val="005D0A1E"/>
    <w:rsid w:val="005D0A7F"/>
    <w:rsid w:val="005D0F55"/>
    <w:rsid w:val="005D0F80"/>
    <w:rsid w:val="005D0FEB"/>
    <w:rsid w:val="005D1098"/>
    <w:rsid w:val="005D1236"/>
    <w:rsid w:val="005D128F"/>
    <w:rsid w:val="005D16D2"/>
    <w:rsid w:val="005D17C0"/>
    <w:rsid w:val="005D1900"/>
    <w:rsid w:val="005D19CB"/>
    <w:rsid w:val="005D1A99"/>
    <w:rsid w:val="005D1DD5"/>
    <w:rsid w:val="005D1F4D"/>
    <w:rsid w:val="005D22D9"/>
    <w:rsid w:val="005D23BF"/>
    <w:rsid w:val="005D2482"/>
    <w:rsid w:val="005D2547"/>
    <w:rsid w:val="005D2593"/>
    <w:rsid w:val="005D2646"/>
    <w:rsid w:val="005D27E6"/>
    <w:rsid w:val="005D2C6C"/>
    <w:rsid w:val="005D2C91"/>
    <w:rsid w:val="005D2CBA"/>
    <w:rsid w:val="005D2EDF"/>
    <w:rsid w:val="005D2F76"/>
    <w:rsid w:val="005D331F"/>
    <w:rsid w:val="005D3968"/>
    <w:rsid w:val="005D3D7D"/>
    <w:rsid w:val="005D3DB7"/>
    <w:rsid w:val="005D3FCE"/>
    <w:rsid w:val="005D45D6"/>
    <w:rsid w:val="005D4666"/>
    <w:rsid w:val="005D485B"/>
    <w:rsid w:val="005D4A3C"/>
    <w:rsid w:val="005D4BA2"/>
    <w:rsid w:val="005D4ECE"/>
    <w:rsid w:val="005D4EE4"/>
    <w:rsid w:val="005D50BA"/>
    <w:rsid w:val="005D557B"/>
    <w:rsid w:val="005D5684"/>
    <w:rsid w:val="005D58A3"/>
    <w:rsid w:val="005D5940"/>
    <w:rsid w:val="005D5BF4"/>
    <w:rsid w:val="005D5E40"/>
    <w:rsid w:val="005D6052"/>
    <w:rsid w:val="005D6198"/>
    <w:rsid w:val="005D6366"/>
    <w:rsid w:val="005D64AB"/>
    <w:rsid w:val="005D64F3"/>
    <w:rsid w:val="005D66A9"/>
    <w:rsid w:val="005D672D"/>
    <w:rsid w:val="005D6779"/>
    <w:rsid w:val="005D692C"/>
    <w:rsid w:val="005D6F9D"/>
    <w:rsid w:val="005D72EE"/>
    <w:rsid w:val="005D7510"/>
    <w:rsid w:val="005D7637"/>
    <w:rsid w:val="005D7814"/>
    <w:rsid w:val="005D799C"/>
    <w:rsid w:val="005D79EE"/>
    <w:rsid w:val="005D79F3"/>
    <w:rsid w:val="005D7A27"/>
    <w:rsid w:val="005D7AA6"/>
    <w:rsid w:val="005D7AF7"/>
    <w:rsid w:val="005D7BD1"/>
    <w:rsid w:val="005D7E90"/>
    <w:rsid w:val="005E00C9"/>
    <w:rsid w:val="005E00D3"/>
    <w:rsid w:val="005E01C4"/>
    <w:rsid w:val="005E023C"/>
    <w:rsid w:val="005E08BE"/>
    <w:rsid w:val="005E09A5"/>
    <w:rsid w:val="005E0A23"/>
    <w:rsid w:val="005E0C97"/>
    <w:rsid w:val="005E0DA8"/>
    <w:rsid w:val="005E0DD3"/>
    <w:rsid w:val="005E10B4"/>
    <w:rsid w:val="005E118F"/>
    <w:rsid w:val="005E18CE"/>
    <w:rsid w:val="005E1A85"/>
    <w:rsid w:val="005E1BEF"/>
    <w:rsid w:val="005E22B6"/>
    <w:rsid w:val="005E24CB"/>
    <w:rsid w:val="005E2C71"/>
    <w:rsid w:val="005E2C76"/>
    <w:rsid w:val="005E2CD3"/>
    <w:rsid w:val="005E2CFB"/>
    <w:rsid w:val="005E2E6F"/>
    <w:rsid w:val="005E329D"/>
    <w:rsid w:val="005E337B"/>
    <w:rsid w:val="005E34C9"/>
    <w:rsid w:val="005E362E"/>
    <w:rsid w:val="005E3717"/>
    <w:rsid w:val="005E3884"/>
    <w:rsid w:val="005E3EC2"/>
    <w:rsid w:val="005E3FFC"/>
    <w:rsid w:val="005E4432"/>
    <w:rsid w:val="005E4521"/>
    <w:rsid w:val="005E4728"/>
    <w:rsid w:val="005E4A50"/>
    <w:rsid w:val="005E4D2B"/>
    <w:rsid w:val="005E4ECA"/>
    <w:rsid w:val="005E51F8"/>
    <w:rsid w:val="005E5583"/>
    <w:rsid w:val="005E589F"/>
    <w:rsid w:val="005E58D1"/>
    <w:rsid w:val="005E5A02"/>
    <w:rsid w:val="005E5B5E"/>
    <w:rsid w:val="005E5BF7"/>
    <w:rsid w:val="005E5C10"/>
    <w:rsid w:val="005E5DE6"/>
    <w:rsid w:val="005E5E3C"/>
    <w:rsid w:val="005E5F36"/>
    <w:rsid w:val="005E6074"/>
    <w:rsid w:val="005E6182"/>
    <w:rsid w:val="005E6885"/>
    <w:rsid w:val="005E6BDC"/>
    <w:rsid w:val="005E6D15"/>
    <w:rsid w:val="005E6DBA"/>
    <w:rsid w:val="005E6FAC"/>
    <w:rsid w:val="005E72C8"/>
    <w:rsid w:val="005E7586"/>
    <w:rsid w:val="005E76DA"/>
    <w:rsid w:val="005E7761"/>
    <w:rsid w:val="005E7B06"/>
    <w:rsid w:val="005E7C89"/>
    <w:rsid w:val="005E7E9F"/>
    <w:rsid w:val="005F00FB"/>
    <w:rsid w:val="005F041B"/>
    <w:rsid w:val="005F049D"/>
    <w:rsid w:val="005F0755"/>
    <w:rsid w:val="005F0861"/>
    <w:rsid w:val="005F0932"/>
    <w:rsid w:val="005F0948"/>
    <w:rsid w:val="005F0968"/>
    <w:rsid w:val="005F0A25"/>
    <w:rsid w:val="005F0B2B"/>
    <w:rsid w:val="005F0B71"/>
    <w:rsid w:val="005F0D0F"/>
    <w:rsid w:val="005F0E17"/>
    <w:rsid w:val="005F105C"/>
    <w:rsid w:val="005F105F"/>
    <w:rsid w:val="005F1354"/>
    <w:rsid w:val="005F13CC"/>
    <w:rsid w:val="005F1474"/>
    <w:rsid w:val="005F15CD"/>
    <w:rsid w:val="005F160E"/>
    <w:rsid w:val="005F1707"/>
    <w:rsid w:val="005F172F"/>
    <w:rsid w:val="005F1775"/>
    <w:rsid w:val="005F1915"/>
    <w:rsid w:val="005F1AEE"/>
    <w:rsid w:val="005F1BBF"/>
    <w:rsid w:val="005F22FD"/>
    <w:rsid w:val="005F25D2"/>
    <w:rsid w:val="005F279F"/>
    <w:rsid w:val="005F2AED"/>
    <w:rsid w:val="005F2C4E"/>
    <w:rsid w:val="005F2F2B"/>
    <w:rsid w:val="005F334C"/>
    <w:rsid w:val="005F3460"/>
    <w:rsid w:val="005F3636"/>
    <w:rsid w:val="005F366A"/>
    <w:rsid w:val="005F3701"/>
    <w:rsid w:val="005F37C3"/>
    <w:rsid w:val="005F3E49"/>
    <w:rsid w:val="005F405D"/>
    <w:rsid w:val="005F40D7"/>
    <w:rsid w:val="005F4139"/>
    <w:rsid w:val="005F434B"/>
    <w:rsid w:val="005F4476"/>
    <w:rsid w:val="005F4525"/>
    <w:rsid w:val="005F475F"/>
    <w:rsid w:val="005F47C3"/>
    <w:rsid w:val="005F4919"/>
    <w:rsid w:val="005F4967"/>
    <w:rsid w:val="005F4970"/>
    <w:rsid w:val="005F4E60"/>
    <w:rsid w:val="005F552E"/>
    <w:rsid w:val="005F57AA"/>
    <w:rsid w:val="005F5B20"/>
    <w:rsid w:val="005F5CE0"/>
    <w:rsid w:val="005F5E04"/>
    <w:rsid w:val="005F5F6F"/>
    <w:rsid w:val="005F6068"/>
    <w:rsid w:val="005F647E"/>
    <w:rsid w:val="005F6581"/>
    <w:rsid w:val="005F687C"/>
    <w:rsid w:val="005F74E0"/>
    <w:rsid w:val="005F75CF"/>
    <w:rsid w:val="005F75D2"/>
    <w:rsid w:val="005F7945"/>
    <w:rsid w:val="005F7AD4"/>
    <w:rsid w:val="005F7DE6"/>
    <w:rsid w:val="005F7E8A"/>
    <w:rsid w:val="006000D9"/>
    <w:rsid w:val="006001BF"/>
    <w:rsid w:val="0060030C"/>
    <w:rsid w:val="006007D4"/>
    <w:rsid w:val="006008E9"/>
    <w:rsid w:val="00600916"/>
    <w:rsid w:val="006009EE"/>
    <w:rsid w:val="00600A27"/>
    <w:rsid w:val="00600B83"/>
    <w:rsid w:val="00600DBA"/>
    <w:rsid w:val="00601295"/>
    <w:rsid w:val="006013B6"/>
    <w:rsid w:val="006014AB"/>
    <w:rsid w:val="0060175B"/>
    <w:rsid w:val="006017DE"/>
    <w:rsid w:val="0060188E"/>
    <w:rsid w:val="006019A0"/>
    <w:rsid w:val="00601DC9"/>
    <w:rsid w:val="006020FD"/>
    <w:rsid w:val="00602299"/>
    <w:rsid w:val="00602517"/>
    <w:rsid w:val="0060251C"/>
    <w:rsid w:val="0060271B"/>
    <w:rsid w:val="006027BC"/>
    <w:rsid w:val="0060284A"/>
    <w:rsid w:val="00602905"/>
    <w:rsid w:val="00602C3E"/>
    <w:rsid w:val="00602D45"/>
    <w:rsid w:val="0060331C"/>
    <w:rsid w:val="006034D2"/>
    <w:rsid w:val="006035CC"/>
    <w:rsid w:val="006036DA"/>
    <w:rsid w:val="00603B38"/>
    <w:rsid w:val="00603E04"/>
    <w:rsid w:val="00603EDA"/>
    <w:rsid w:val="0060429F"/>
    <w:rsid w:val="006042D4"/>
    <w:rsid w:val="006043EE"/>
    <w:rsid w:val="006048DE"/>
    <w:rsid w:val="006048EA"/>
    <w:rsid w:val="006049ED"/>
    <w:rsid w:val="00604A01"/>
    <w:rsid w:val="00604F31"/>
    <w:rsid w:val="00604FA8"/>
    <w:rsid w:val="00604FDB"/>
    <w:rsid w:val="006050FC"/>
    <w:rsid w:val="006052AF"/>
    <w:rsid w:val="0060535B"/>
    <w:rsid w:val="00605542"/>
    <w:rsid w:val="006057C1"/>
    <w:rsid w:val="00605889"/>
    <w:rsid w:val="00606023"/>
    <w:rsid w:val="00606480"/>
    <w:rsid w:val="006067B5"/>
    <w:rsid w:val="00606AF6"/>
    <w:rsid w:val="00606B88"/>
    <w:rsid w:val="00606CB1"/>
    <w:rsid w:val="00606F6A"/>
    <w:rsid w:val="00606F9E"/>
    <w:rsid w:val="00607395"/>
    <w:rsid w:val="006074FF"/>
    <w:rsid w:val="0060756A"/>
    <w:rsid w:val="006077F8"/>
    <w:rsid w:val="00607A12"/>
    <w:rsid w:val="00607AF0"/>
    <w:rsid w:val="0061039D"/>
    <w:rsid w:val="00610645"/>
    <w:rsid w:val="006106BE"/>
    <w:rsid w:val="00610756"/>
    <w:rsid w:val="00610822"/>
    <w:rsid w:val="006109CC"/>
    <w:rsid w:val="00610C37"/>
    <w:rsid w:val="00610D34"/>
    <w:rsid w:val="00610D6F"/>
    <w:rsid w:val="00610EBA"/>
    <w:rsid w:val="0061125D"/>
    <w:rsid w:val="006113D4"/>
    <w:rsid w:val="00611455"/>
    <w:rsid w:val="0061161D"/>
    <w:rsid w:val="00611C1C"/>
    <w:rsid w:val="00611C2E"/>
    <w:rsid w:val="00611FAC"/>
    <w:rsid w:val="00612016"/>
    <w:rsid w:val="00612064"/>
    <w:rsid w:val="006120E7"/>
    <w:rsid w:val="0061210A"/>
    <w:rsid w:val="006121F2"/>
    <w:rsid w:val="006123A9"/>
    <w:rsid w:val="00612418"/>
    <w:rsid w:val="00612617"/>
    <w:rsid w:val="0061264F"/>
    <w:rsid w:val="00612843"/>
    <w:rsid w:val="00612953"/>
    <w:rsid w:val="006129F8"/>
    <w:rsid w:val="00612AE2"/>
    <w:rsid w:val="00612F0E"/>
    <w:rsid w:val="00613241"/>
    <w:rsid w:val="00613361"/>
    <w:rsid w:val="00613484"/>
    <w:rsid w:val="00613580"/>
    <w:rsid w:val="006136D0"/>
    <w:rsid w:val="0061371E"/>
    <w:rsid w:val="006139CB"/>
    <w:rsid w:val="00613AA2"/>
    <w:rsid w:val="00613AC9"/>
    <w:rsid w:val="00613C04"/>
    <w:rsid w:val="00613E35"/>
    <w:rsid w:val="00613FD5"/>
    <w:rsid w:val="00614200"/>
    <w:rsid w:val="0061440F"/>
    <w:rsid w:val="00614506"/>
    <w:rsid w:val="006145A8"/>
    <w:rsid w:val="006149D5"/>
    <w:rsid w:val="00614CD9"/>
    <w:rsid w:val="00614E1B"/>
    <w:rsid w:val="0061523E"/>
    <w:rsid w:val="0061547B"/>
    <w:rsid w:val="006157FF"/>
    <w:rsid w:val="00615884"/>
    <w:rsid w:val="00615B5D"/>
    <w:rsid w:val="00615C49"/>
    <w:rsid w:val="00615C5A"/>
    <w:rsid w:val="00615DFD"/>
    <w:rsid w:val="00615E59"/>
    <w:rsid w:val="00616040"/>
    <w:rsid w:val="00616192"/>
    <w:rsid w:val="00616246"/>
    <w:rsid w:val="006162DB"/>
    <w:rsid w:val="006166D0"/>
    <w:rsid w:val="006167A1"/>
    <w:rsid w:val="006169DB"/>
    <w:rsid w:val="00616A0C"/>
    <w:rsid w:val="00616C82"/>
    <w:rsid w:val="00616DA0"/>
    <w:rsid w:val="00616E53"/>
    <w:rsid w:val="00616F1A"/>
    <w:rsid w:val="0061705E"/>
    <w:rsid w:val="00617AF4"/>
    <w:rsid w:val="00617C03"/>
    <w:rsid w:val="00617D13"/>
    <w:rsid w:val="00617F97"/>
    <w:rsid w:val="00620001"/>
    <w:rsid w:val="0062001C"/>
    <w:rsid w:val="006202C3"/>
    <w:rsid w:val="006202E6"/>
    <w:rsid w:val="0062043C"/>
    <w:rsid w:val="00620483"/>
    <w:rsid w:val="00620766"/>
    <w:rsid w:val="00620768"/>
    <w:rsid w:val="00620863"/>
    <w:rsid w:val="0062088A"/>
    <w:rsid w:val="00620BDE"/>
    <w:rsid w:val="0062102B"/>
    <w:rsid w:val="00621127"/>
    <w:rsid w:val="00621342"/>
    <w:rsid w:val="00621498"/>
    <w:rsid w:val="00621584"/>
    <w:rsid w:val="0062163E"/>
    <w:rsid w:val="0062192E"/>
    <w:rsid w:val="00621D16"/>
    <w:rsid w:val="00621D57"/>
    <w:rsid w:val="0062247A"/>
    <w:rsid w:val="006225A4"/>
    <w:rsid w:val="0062280E"/>
    <w:rsid w:val="006229D4"/>
    <w:rsid w:val="00622C69"/>
    <w:rsid w:val="00622CF8"/>
    <w:rsid w:val="00622D57"/>
    <w:rsid w:val="00623220"/>
    <w:rsid w:val="0062330F"/>
    <w:rsid w:val="006235C8"/>
    <w:rsid w:val="006235DE"/>
    <w:rsid w:val="00623639"/>
    <w:rsid w:val="00623882"/>
    <w:rsid w:val="00623A84"/>
    <w:rsid w:val="00623AFD"/>
    <w:rsid w:val="00623B8C"/>
    <w:rsid w:val="00623BAE"/>
    <w:rsid w:val="00623CAC"/>
    <w:rsid w:val="00623E65"/>
    <w:rsid w:val="00623ECF"/>
    <w:rsid w:val="0062421C"/>
    <w:rsid w:val="0062427D"/>
    <w:rsid w:val="006242C8"/>
    <w:rsid w:val="006242CA"/>
    <w:rsid w:val="006243B8"/>
    <w:rsid w:val="00624460"/>
    <w:rsid w:val="0062472D"/>
    <w:rsid w:val="00624A5F"/>
    <w:rsid w:val="00624C49"/>
    <w:rsid w:val="00624D13"/>
    <w:rsid w:val="00624DF4"/>
    <w:rsid w:val="00624E2A"/>
    <w:rsid w:val="006251DF"/>
    <w:rsid w:val="006253D1"/>
    <w:rsid w:val="00625402"/>
    <w:rsid w:val="006254FC"/>
    <w:rsid w:val="006256CA"/>
    <w:rsid w:val="00625AE1"/>
    <w:rsid w:val="00625BD2"/>
    <w:rsid w:val="00625D08"/>
    <w:rsid w:val="00625D88"/>
    <w:rsid w:val="00626001"/>
    <w:rsid w:val="00626306"/>
    <w:rsid w:val="006264FA"/>
    <w:rsid w:val="00626870"/>
    <w:rsid w:val="00626941"/>
    <w:rsid w:val="00626AC9"/>
    <w:rsid w:val="00626FB4"/>
    <w:rsid w:val="00627106"/>
    <w:rsid w:val="006271A8"/>
    <w:rsid w:val="006276BC"/>
    <w:rsid w:val="00627991"/>
    <w:rsid w:val="00627A74"/>
    <w:rsid w:val="00627B3F"/>
    <w:rsid w:val="00627C71"/>
    <w:rsid w:val="00627EA4"/>
    <w:rsid w:val="00627FFC"/>
    <w:rsid w:val="006300BF"/>
    <w:rsid w:val="0063029C"/>
    <w:rsid w:val="006303EF"/>
    <w:rsid w:val="00630453"/>
    <w:rsid w:val="006304F7"/>
    <w:rsid w:val="0063069C"/>
    <w:rsid w:val="006306A1"/>
    <w:rsid w:val="0063073B"/>
    <w:rsid w:val="00630777"/>
    <w:rsid w:val="006308AD"/>
    <w:rsid w:val="006309D9"/>
    <w:rsid w:val="00630E1B"/>
    <w:rsid w:val="00631181"/>
    <w:rsid w:val="006311B2"/>
    <w:rsid w:val="00631516"/>
    <w:rsid w:val="00631944"/>
    <w:rsid w:val="006319A5"/>
    <w:rsid w:val="00631AAF"/>
    <w:rsid w:val="00631DA2"/>
    <w:rsid w:val="00631EA1"/>
    <w:rsid w:val="00631F37"/>
    <w:rsid w:val="0063204C"/>
    <w:rsid w:val="0063218D"/>
    <w:rsid w:val="00632403"/>
    <w:rsid w:val="006326D7"/>
    <w:rsid w:val="006328E2"/>
    <w:rsid w:val="00632C44"/>
    <w:rsid w:val="00632C92"/>
    <w:rsid w:val="00632C98"/>
    <w:rsid w:val="00633048"/>
    <w:rsid w:val="00633202"/>
    <w:rsid w:val="0063329F"/>
    <w:rsid w:val="00633443"/>
    <w:rsid w:val="006334CE"/>
    <w:rsid w:val="0063359C"/>
    <w:rsid w:val="00633751"/>
    <w:rsid w:val="00633DA0"/>
    <w:rsid w:val="00633DDB"/>
    <w:rsid w:val="0063404B"/>
    <w:rsid w:val="00634066"/>
    <w:rsid w:val="006340B1"/>
    <w:rsid w:val="0063454D"/>
    <w:rsid w:val="0063480A"/>
    <w:rsid w:val="00634BBA"/>
    <w:rsid w:val="00634D7D"/>
    <w:rsid w:val="00634F57"/>
    <w:rsid w:val="00635286"/>
    <w:rsid w:val="0063543E"/>
    <w:rsid w:val="006356B0"/>
    <w:rsid w:val="006356CD"/>
    <w:rsid w:val="006359C4"/>
    <w:rsid w:val="00635A3C"/>
    <w:rsid w:val="00635AB1"/>
    <w:rsid w:val="00635C9D"/>
    <w:rsid w:val="00635D5D"/>
    <w:rsid w:val="00635DE8"/>
    <w:rsid w:val="006362BC"/>
    <w:rsid w:val="00636A5A"/>
    <w:rsid w:val="00636C35"/>
    <w:rsid w:val="00636C79"/>
    <w:rsid w:val="00636E36"/>
    <w:rsid w:val="00636E5E"/>
    <w:rsid w:val="006373BD"/>
    <w:rsid w:val="00637B16"/>
    <w:rsid w:val="00637F1C"/>
    <w:rsid w:val="00640039"/>
    <w:rsid w:val="00640078"/>
    <w:rsid w:val="00640138"/>
    <w:rsid w:val="00640157"/>
    <w:rsid w:val="006402AC"/>
    <w:rsid w:val="006403E2"/>
    <w:rsid w:val="0064074A"/>
    <w:rsid w:val="00640836"/>
    <w:rsid w:val="006408E1"/>
    <w:rsid w:val="00640ACF"/>
    <w:rsid w:val="00640AEE"/>
    <w:rsid w:val="00640B5E"/>
    <w:rsid w:val="00640C3C"/>
    <w:rsid w:val="00640FE5"/>
    <w:rsid w:val="006413E0"/>
    <w:rsid w:val="00641653"/>
    <w:rsid w:val="006419DB"/>
    <w:rsid w:val="00641B14"/>
    <w:rsid w:val="00641D2A"/>
    <w:rsid w:val="00641EC5"/>
    <w:rsid w:val="00641F54"/>
    <w:rsid w:val="006420C7"/>
    <w:rsid w:val="0064215D"/>
    <w:rsid w:val="00642258"/>
    <w:rsid w:val="00642298"/>
    <w:rsid w:val="00642393"/>
    <w:rsid w:val="006424B0"/>
    <w:rsid w:val="0064262D"/>
    <w:rsid w:val="00642C6C"/>
    <w:rsid w:val="00642E0D"/>
    <w:rsid w:val="00643197"/>
    <w:rsid w:val="0064326E"/>
    <w:rsid w:val="0064329A"/>
    <w:rsid w:val="0064351D"/>
    <w:rsid w:val="00643658"/>
    <w:rsid w:val="00643698"/>
    <w:rsid w:val="00643AA4"/>
    <w:rsid w:val="00643B5E"/>
    <w:rsid w:val="00643F7C"/>
    <w:rsid w:val="006444CC"/>
    <w:rsid w:val="00644BAA"/>
    <w:rsid w:val="00644D92"/>
    <w:rsid w:val="00644F17"/>
    <w:rsid w:val="00644F1B"/>
    <w:rsid w:val="00645182"/>
    <w:rsid w:val="00645417"/>
    <w:rsid w:val="006454B0"/>
    <w:rsid w:val="006454E1"/>
    <w:rsid w:val="006456FB"/>
    <w:rsid w:val="0064577A"/>
    <w:rsid w:val="00645B63"/>
    <w:rsid w:val="006464D5"/>
    <w:rsid w:val="006468F1"/>
    <w:rsid w:val="006469B8"/>
    <w:rsid w:val="00646A69"/>
    <w:rsid w:val="00646AA1"/>
    <w:rsid w:val="00646F7C"/>
    <w:rsid w:val="00646FB2"/>
    <w:rsid w:val="0064720A"/>
    <w:rsid w:val="0064726A"/>
    <w:rsid w:val="00647642"/>
    <w:rsid w:val="006477E6"/>
    <w:rsid w:val="00647B4E"/>
    <w:rsid w:val="00647F41"/>
    <w:rsid w:val="00650093"/>
    <w:rsid w:val="00650227"/>
    <w:rsid w:val="006504DB"/>
    <w:rsid w:val="006506BB"/>
    <w:rsid w:val="00650926"/>
    <w:rsid w:val="00650DAE"/>
    <w:rsid w:val="006511AE"/>
    <w:rsid w:val="006514A0"/>
    <w:rsid w:val="006518A6"/>
    <w:rsid w:val="006518D2"/>
    <w:rsid w:val="00651939"/>
    <w:rsid w:val="006519FA"/>
    <w:rsid w:val="00651C14"/>
    <w:rsid w:val="00651D13"/>
    <w:rsid w:val="00651E1E"/>
    <w:rsid w:val="00651F6B"/>
    <w:rsid w:val="00651F7D"/>
    <w:rsid w:val="00652262"/>
    <w:rsid w:val="00652538"/>
    <w:rsid w:val="00652582"/>
    <w:rsid w:val="00652698"/>
    <w:rsid w:val="006527C2"/>
    <w:rsid w:val="006528D1"/>
    <w:rsid w:val="0065297F"/>
    <w:rsid w:val="00652A66"/>
    <w:rsid w:val="00652B1A"/>
    <w:rsid w:val="00652DF6"/>
    <w:rsid w:val="0065308A"/>
    <w:rsid w:val="00653240"/>
    <w:rsid w:val="006534E7"/>
    <w:rsid w:val="0065360F"/>
    <w:rsid w:val="006536ED"/>
    <w:rsid w:val="00653820"/>
    <w:rsid w:val="0065382A"/>
    <w:rsid w:val="00653956"/>
    <w:rsid w:val="00653C51"/>
    <w:rsid w:val="00653CF0"/>
    <w:rsid w:val="00653DD3"/>
    <w:rsid w:val="00653ED6"/>
    <w:rsid w:val="00653FB5"/>
    <w:rsid w:val="00654265"/>
    <w:rsid w:val="00654363"/>
    <w:rsid w:val="0065440B"/>
    <w:rsid w:val="0065480F"/>
    <w:rsid w:val="0065485F"/>
    <w:rsid w:val="0065487A"/>
    <w:rsid w:val="00654CA0"/>
    <w:rsid w:val="006552A4"/>
    <w:rsid w:val="006552C7"/>
    <w:rsid w:val="00655418"/>
    <w:rsid w:val="00655826"/>
    <w:rsid w:val="00655AF0"/>
    <w:rsid w:val="00655B6E"/>
    <w:rsid w:val="00655D2E"/>
    <w:rsid w:val="00655F5C"/>
    <w:rsid w:val="00655F8B"/>
    <w:rsid w:val="00656013"/>
    <w:rsid w:val="006564A2"/>
    <w:rsid w:val="006566E0"/>
    <w:rsid w:val="00656746"/>
    <w:rsid w:val="006567E5"/>
    <w:rsid w:val="0065683A"/>
    <w:rsid w:val="00656B3E"/>
    <w:rsid w:val="00656BCB"/>
    <w:rsid w:val="00656C15"/>
    <w:rsid w:val="00656D9D"/>
    <w:rsid w:val="00656E27"/>
    <w:rsid w:val="00656E8A"/>
    <w:rsid w:val="00656EA8"/>
    <w:rsid w:val="00656ED4"/>
    <w:rsid w:val="00656F67"/>
    <w:rsid w:val="0065710D"/>
    <w:rsid w:val="00657403"/>
    <w:rsid w:val="00657473"/>
    <w:rsid w:val="006574D9"/>
    <w:rsid w:val="00657680"/>
    <w:rsid w:val="006579D3"/>
    <w:rsid w:val="00657D3C"/>
    <w:rsid w:val="00657D3F"/>
    <w:rsid w:val="00657F27"/>
    <w:rsid w:val="006600ED"/>
    <w:rsid w:val="0066019B"/>
    <w:rsid w:val="006603FF"/>
    <w:rsid w:val="0066040D"/>
    <w:rsid w:val="00660560"/>
    <w:rsid w:val="006609C9"/>
    <w:rsid w:val="006609E4"/>
    <w:rsid w:val="00660F98"/>
    <w:rsid w:val="006610ED"/>
    <w:rsid w:val="006610F2"/>
    <w:rsid w:val="00661238"/>
    <w:rsid w:val="006612BE"/>
    <w:rsid w:val="00661352"/>
    <w:rsid w:val="00661483"/>
    <w:rsid w:val="0066188F"/>
    <w:rsid w:val="006619C1"/>
    <w:rsid w:val="00661B9C"/>
    <w:rsid w:val="00661FCE"/>
    <w:rsid w:val="0066228C"/>
    <w:rsid w:val="006626DA"/>
    <w:rsid w:val="00662F3B"/>
    <w:rsid w:val="0066306A"/>
    <w:rsid w:val="00663419"/>
    <w:rsid w:val="00663726"/>
    <w:rsid w:val="00663764"/>
    <w:rsid w:val="00663891"/>
    <w:rsid w:val="006638B4"/>
    <w:rsid w:val="00663952"/>
    <w:rsid w:val="006639C3"/>
    <w:rsid w:val="006639CF"/>
    <w:rsid w:val="006639F2"/>
    <w:rsid w:val="00663B18"/>
    <w:rsid w:val="00663C65"/>
    <w:rsid w:val="00663D09"/>
    <w:rsid w:val="00663ECC"/>
    <w:rsid w:val="00663EE7"/>
    <w:rsid w:val="0066400D"/>
    <w:rsid w:val="00664463"/>
    <w:rsid w:val="006644E1"/>
    <w:rsid w:val="00664722"/>
    <w:rsid w:val="00664AE0"/>
    <w:rsid w:val="00664AF1"/>
    <w:rsid w:val="00664DB3"/>
    <w:rsid w:val="00665136"/>
    <w:rsid w:val="006653A7"/>
    <w:rsid w:val="006657AB"/>
    <w:rsid w:val="00665830"/>
    <w:rsid w:val="00665831"/>
    <w:rsid w:val="00665B5B"/>
    <w:rsid w:val="00665D40"/>
    <w:rsid w:val="0066639A"/>
    <w:rsid w:val="006663D5"/>
    <w:rsid w:val="006669A3"/>
    <w:rsid w:val="00666C0D"/>
    <w:rsid w:val="00666FD1"/>
    <w:rsid w:val="00667381"/>
    <w:rsid w:val="0066739B"/>
    <w:rsid w:val="0066741E"/>
    <w:rsid w:val="006676A8"/>
    <w:rsid w:val="006677E8"/>
    <w:rsid w:val="006677F6"/>
    <w:rsid w:val="006679B4"/>
    <w:rsid w:val="00667AF8"/>
    <w:rsid w:val="00667B2C"/>
    <w:rsid w:val="00667C01"/>
    <w:rsid w:val="00667F5C"/>
    <w:rsid w:val="0067004E"/>
    <w:rsid w:val="0067006D"/>
    <w:rsid w:val="00670328"/>
    <w:rsid w:val="00670A75"/>
    <w:rsid w:val="00670B74"/>
    <w:rsid w:val="00670E70"/>
    <w:rsid w:val="00670E79"/>
    <w:rsid w:val="00671068"/>
    <w:rsid w:val="006712F1"/>
    <w:rsid w:val="00671591"/>
    <w:rsid w:val="00671939"/>
    <w:rsid w:val="0067199E"/>
    <w:rsid w:val="006719D2"/>
    <w:rsid w:val="00671E22"/>
    <w:rsid w:val="00671E3A"/>
    <w:rsid w:val="00671E48"/>
    <w:rsid w:val="00671EC4"/>
    <w:rsid w:val="00671F87"/>
    <w:rsid w:val="00671FCC"/>
    <w:rsid w:val="006721DD"/>
    <w:rsid w:val="0067240C"/>
    <w:rsid w:val="0067244F"/>
    <w:rsid w:val="00672961"/>
    <w:rsid w:val="00672C7A"/>
    <w:rsid w:val="00672CB0"/>
    <w:rsid w:val="0067300D"/>
    <w:rsid w:val="00673132"/>
    <w:rsid w:val="00673284"/>
    <w:rsid w:val="006732A5"/>
    <w:rsid w:val="006735A1"/>
    <w:rsid w:val="006738DA"/>
    <w:rsid w:val="00673985"/>
    <w:rsid w:val="00673BE0"/>
    <w:rsid w:val="00673E20"/>
    <w:rsid w:val="00673F18"/>
    <w:rsid w:val="0067447A"/>
    <w:rsid w:val="0067466F"/>
    <w:rsid w:val="00674849"/>
    <w:rsid w:val="006748A4"/>
    <w:rsid w:val="00674921"/>
    <w:rsid w:val="00674976"/>
    <w:rsid w:val="00674A1C"/>
    <w:rsid w:val="00674B4C"/>
    <w:rsid w:val="00674D01"/>
    <w:rsid w:val="00674E91"/>
    <w:rsid w:val="00674F09"/>
    <w:rsid w:val="00674FA5"/>
    <w:rsid w:val="00675066"/>
    <w:rsid w:val="00675339"/>
    <w:rsid w:val="00675682"/>
    <w:rsid w:val="00675858"/>
    <w:rsid w:val="00675916"/>
    <w:rsid w:val="006759EA"/>
    <w:rsid w:val="00675AF4"/>
    <w:rsid w:val="00675C24"/>
    <w:rsid w:val="00675D6D"/>
    <w:rsid w:val="00675EFD"/>
    <w:rsid w:val="0067608A"/>
    <w:rsid w:val="00676283"/>
    <w:rsid w:val="0067635C"/>
    <w:rsid w:val="00676556"/>
    <w:rsid w:val="00676694"/>
    <w:rsid w:val="00676AE3"/>
    <w:rsid w:val="00676B37"/>
    <w:rsid w:val="00676C71"/>
    <w:rsid w:val="00676CCE"/>
    <w:rsid w:val="00677448"/>
    <w:rsid w:val="00677476"/>
    <w:rsid w:val="00677629"/>
    <w:rsid w:val="0067774D"/>
    <w:rsid w:val="00677AB0"/>
    <w:rsid w:val="00677BAF"/>
    <w:rsid w:val="00677EF8"/>
    <w:rsid w:val="00677F89"/>
    <w:rsid w:val="00677FAB"/>
    <w:rsid w:val="0068056E"/>
    <w:rsid w:val="006805AB"/>
    <w:rsid w:val="0068061F"/>
    <w:rsid w:val="00680C7E"/>
    <w:rsid w:val="00680C9D"/>
    <w:rsid w:val="00680CCF"/>
    <w:rsid w:val="00680E92"/>
    <w:rsid w:val="00680F4E"/>
    <w:rsid w:val="00680FB8"/>
    <w:rsid w:val="00681304"/>
    <w:rsid w:val="0068177A"/>
    <w:rsid w:val="00681E7F"/>
    <w:rsid w:val="006822D8"/>
    <w:rsid w:val="0068250D"/>
    <w:rsid w:val="006825C5"/>
    <w:rsid w:val="0068264A"/>
    <w:rsid w:val="006828FC"/>
    <w:rsid w:val="0068293D"/>
    <w:rsid w:val="00682972"/>
    <w:rsid w:val="00682BF8"/>
    <w:rsid w:val="00682C4A"/>
    <w:rsid w:val="00682F99"/>
    <w:rsid w:val="006834F4"/>
    <w:rsid w:val="00683ACE"/>
    <w:rsid w:val="00683F45"/>
    <w:rsid w:val="00683F67"/>
    <w:rsid w:val="006841DF"/>
    <w:rsid w:val="00684214"/>
    <w:rsid w:val="00684273"/>
    <w:rsid w:val="00684280"/>
    <w:rsid w:val="00684715"/>
    <w:rsid w:val="0068475C"/>
    <w:rsid w:val="006847BD"/>
    <w:rsid w:val="00684D75"/>
    <w:rsid w:val="00684FBF"/>
    <w:rsid w:val="006850B1"/>
    <w:rsid w:val="0068539F"/>
    <w:rsid w:val="00685527"/>
    <w:rsid w:val="006856EA"/>
    <w:rsid w:val="00685848"/>
    <w:rsid w:val="00685A22"/>
    <w:rsid w:val="00685B0A"/>
    <w:rsid w:val="00686141"/>
    <w:rsid w:val="00686153"/>
    <w:rsid w:val="0068628C"/>
    <w:rsid w:val="00686460"/>
    <w:rsid w:val="006865FF"/>
    <w:rsid w:val="00686AA1"/>
    <w:rsid w:val="00686E6C"/>
    <w:rsid w:val="00687311"/>
    <w:rsid w:val="00687355"/>
    <w:rsid w:val="00687364"/>
    <w:rsid w:val="00687711"/>
    <w:rsid w:val="0068790B"/>
    <w:rsid w:val="00687A36"/>
    <w:rsid w:val="00687BAB"/>
    <w:rsid w:val="00687BFC"/>
    <w:rsid w:val="00690040"/>
    <w:rsid w:val="00690100"/>
    <w:rsid w:val="00690317"/>
    <w:rsid w:val="006903A3"/>
    <w:rsid w:val="0069040C"/>
    <w:rsid w:val="00690520"/>
    <w:rsid w:val="00690779"/>
    <w:rsid w:val="00690796"/>
    <w:rsid w:val="00690BDC"/>
    <w:rsid w:val="00690D08"/>
    <w:rsid w:val="00690D8C"/>
    <w:rsid w:val="00690FF6"/>
    <w:rsid w:val="006911A4"/>
    <w:rsid w:val="0069174B"/>
    <w:rsid w:val="006917A6"/>
    <w:rsid w:val="00691840"/>
    <w:rsid w:val="0069187A"/>
    <w:rsid w:val="006918D9"/>
    <w:rsid w:val="00691A86"/>
    <w:rsid w:val="00691A88"/>
    <w:rsid w:val="00691F83"/>
    <w:rsid w:val="006920A0"/>
    <w:rsid w:val="0069227F"/>
    <w:rsid w:val="0069232A"/>
    <w:rsid w:val="00692764"/>
    <w:rsid w:val="0069293B"/>
    <w:rsid w:val="00692BA6"/>
    <w:rsid w:val="00692F8A"/>
    <w:rsid w:val="006934A7"/>
    <w:rsid w:val="006939D8"/>
    <w:rsid w:val="00693BE9"/>
    <w:rsid w:val="006941A2"/>
    <w:rsid w:val="0069452C"/>
    <w:rsid w:val="00694807"/>
    <w:rsid w:val="006948FC"/>
    <w:rsid w:val="00694967"/>
    <w:rsid w:val="006949C8"/>
    <w:rsid w:val="00694F85"/>
    <w:rsid w:val="006950F6"/>
    <w:rsid w:val="006951AB"/>
    <w:rsid w:val="00695498"/>
    <w:rsid w:val="006958F5"/>
    <w:rsid w:val="00695979"/>
    <w:rsid w:val="006959F0"/>
    <w:rsid w:val="00695B8A"/>
    <w:rsid w:val="00695C74"/>
    <w:rsid w:val="00695C99"/>
    <w:rsid w:val="00695F2C"/>
    <w:rsid w:val="006962CD"/>
    <w:rsid w:val="00696341"/>
    <w:rsid w:val="0069639F"/>
    <w:rsid w:val="006969F8"/>
    <w:rsid w:val="00696B77"/>
    <w:rsid w:val="00696EA5"/>
    <w:rsid w:val="00696F2F"/>
    <w:rsid w:val="0069726F"/>
    <w:rsid w:val="00697406"/>
    <w:rsid w:val="00697621"/>
    <w:rsid w:val="006977A9"/>
    <w:rsid w:val="006977E2"/>
    <w:rsid w:val="006977E7"/>
    <w:rsid w:val="006979AA"/>
    <w:rsid w:val="00697DF3"/>
    <w:rsid w:val="00697E7F"/>
    <w:rsid w:val="00697EB7"/>
    <w:rsid w:val="00697ED4"/>
    <w:rsid w:val="006A01A4"/>
    <w:rsid w:val="006A0208"/>
    <w:rsid w:val="006A0255"/>
    <w:rsid w:val="006A0C62"/>
    <w:rsid w:val="006A0D16"/>
    <w:rsid w:val="006A10A2"/>
    <w:rsid w:val="006A1198"/>
    <w:rsid w:val="006A1232"/>
    <w:rsid w:val="006A1265"/>
    <w:rsid w:val="006A16EE"/>
    <w:rsid w:val="006A1992"/>
    <w:rsid w:val="006A1995"/>
    <w:rsid w:val="006A1A26"/>
    <w:rsid w:val="006A2030"/>
    <w:rsid w:val="006A21F5"/>
    <w:rsid w:val="006A2251"/>
    <w:rsid w:val="006A2465"/>
    <w:rsid w:val="006A2491"/>
    <w:rsid w:val="006A2520"/>
    <w:rsid w:val="006A2563"/>
    <w:rsid w:val="006A25CA"/>
    <w:rsid w:val="006A27B1"/>
    <w:rsid w:val="006A28FC"/>
    <w:rsid w:val="006A28FF"/>
    <w:rsid w:val="006A2A2F"/>
    <w:rsid w:val="006A2A3C"/>
    <w:rsid w:val="006A2AAB"/>
    <w:rsid w:val="006A2ABB"/>
    <w:rsid w:val="006A2B61"/>
    <w:rsid w:val="006A2CB5"/>
    <w:rsid w:val="006A2E11"/>
    <w:rsid w:val="006A30DC"/>
    <w:rsid w:val="006A335A"/>
    <w:rsid w:val="006A35BF"/>
    <w:rsid w:val="006A37CF"/>
    <w:rsid w:val="006A39A2"/>
    <w:rsid w:val="006A3A2D"/>
    <w:rsid w:val="006A3A5F"/>
    <w:rsid w:val="006A3ADF"/>
    <w:rsid w:val="006A3B21"/>
    <w:rsid w:val="006A3E3E"/>
    <w:rsid w:val="006A4558"/>
    <w:rsid w:val="006A48F3"/>
    <w:rsid w:val="006A4AF9"/>
    <w:rsid w:val="006A4DF2"/>
    <w:rsid w:val="006A50CA"/>
    <w:rsid w:val="006A50DD"/>
    <w:rsid w:val="006A5144"/>
    <w:rsid w:val="006A58AA"/>
    <w:rsid w:val="006A5948"/>
    <w:rsid w:val="006A5A64"/>
    <w:rsid w:val="006A5CA2"/>
    <w:rsid w:val="006A5E1B"/>
    <w:rsid w:val="006A60ED"/>
    <w:rsid w:val="006A6226"/>
    <w:rsid w:val="006A63A9"/>
    <w:rsid w:val="006A662C"/>
    <w:rsid w:val="006A6F41"/>
    <w:rsid w:val="006A73D7"/>
    <w:rsid w:val="006A7536"/>
    <w:rsid w:val="006A78D3"/>
    <w:rsid w:val="006A7912"/>
    <w:rsid w:val="006A7B53"/>
    <w:rsid w:val="006A7F37"/>
    <w:rsid w:val="006A7F44"/>
    <w:rsid w:val="006B00FC"/>
    <w:rsid w:val="006B0216"/>
    <w:rsid w:val="006B03DE"/>
    <w:rsid w:val="006B040A"/>
    <w:rsid w:val="006B0503"/>
    <w:rsid w:val="006B0585"/>
    <w:rsid w:val="006B05FA"/>
    <w:rsid w:val="006B0801"/>
    <w:rsid w:val="006B086D"/>
    <w:rsid w:val="006B0CE8"/>
    <w:rsid w:val="006B11CA"/>
    <w:rsid w:val="006B1205"/>
    <w:rsid w:val="006B1262"/>
    <w:rsid w:val="006B13A6"/>
    <w:rsid w:val="006B13C1"/>
    <w:rsid w:val="006B13C7"/>
    <w:rsid w:val="006B1435"/>
    <w:rsid w:val="006B1445"/>
    <w:rsid w:val="006B14FA"/>
    <w:rsid w:val="006B15DD"/>
    <w:rsid w:val="006B17FB"/>
    <w:rsid w:val="006B1F7B"/>
    <w:rsid w:val="006B1FB1"/>
    <w:rsid w:val="006B2103"/>
    <w:rsid w:val="006B23BC"/>
    <w:rsid w:val="006B2571"/>
    <w:rsid w:val="006B25B0"/>
    <w:rsid w:val="006B2817"/>
    <w:rsid w:val="006B2984"/>
    <w:rsid w:val="006B2C73"/>
    <w:rsid w:val="006B2FEA"/>
    <w:rsid w:val="006B3047"/>
    <w:rsid w:val="006B31D0"/>
    <w:rsid w:val="006B3201"/>
    <w:rsid w:val="006B3241"/>
    <w:rsid w:val="006B325B"/>
    <w:rsid w:val="006B36E8"/>
    <w:rsid w:val="006B37E7"/>
    <w:rsid w:val="006B3BCB"/>
    <w:rsid w:val="006B3D42"/>
    <w:rsid w:val="006B3F58"/>
    <w:rsid w:val="006B416D"/>
    <w:rsid w:val="006B4409"/>
    <w:rsid w:val="006B4578"/>
    <w:rsid w:val="006B4A8D"/>
    <w:rsid w:val="006B4E2E"/>
    <w:rsid w:val="006B4FAD"/>
    <w:rsid w:val="006B57E6"/>
    <w:rsid w:val="006B5ACE"/>
    <w:rsid w:val="006B61A7"/>
    <w:rsid w:val="006B6486"/>
    <w:rsid w:val="006B656E"/>
    <w:rsid w:val="006B65DD"/>
    <w:rsid w:val="006B6697"/>
    <w:rsid w:val="006B66BB"/>
    <w:rsid w:val="006B6D0A"/>
    <w:rsid w:val="006B6E9A"/>
    <w:rsid w:val="006B6EB0"/>
    <w:rsid w:val="006B70C5"/>
    <w:rsid w:val="006B71F5"/>
    <w:rsid w:val="006B7773"/>
    <w:rsid w:val="006B797F"/>
    <w:rsid w:val="006B7AE4"/>
    <w:rsid w:val="006B7B67"/>
    <w:rsid w:val="006B7D9D"/>
    <w:rsid w:val="006B7DEC"/>
    <w:rsid w:val="006B7F37"/>
    <w:rsid w:val="006C00E5"/>
    <w:rsid w:val="006C025D"/>
    <w:rsid w:val="006C0313"/>
    <w:rsid w:val="006C0D56"/>
    <w:rsid w:val="006C0DA5"/>
    <w:rsid w:val="006C0DB0"/>
    <w:rsid w:val="006C0F83"/>
    <w:rsid w:val="006C1316"/>
    <w:rsid w:val="006C1435"/>
    <w:rsid w:val="006C154B"/>
    <w:rsid w:val="006C1B4A"/>
    <w:rsid w:val="006C1BB0"/>
    <w:rsid w:val="006C1CD1"/>
    <w:rsid w:val="006C1E38"/>
    <w:rsid w:val="006C1E3E"/>
    <w:rsid w:val="006C1FB5"/>
    <w:rsid w:val="006C200A"/>
    <w:rsid w:val="006C2283"/>
    <w:rsid w:val="006C294D"/>
    <w:rsid w:val="006C2EC3"/>
    <w:rsid w:val="006C2FD5"/>
    <w:rsid w:val="006C313B"/>
    <w:rsid w:val="006C314F"/>
    <w:rsid w:val="006C3754"/>
    <w:rsid w:val="006C3A5A"/>
    <w:rsid w:val="006C3B57"/>
    <w:rsid w:val="006C3C9D"/>
    <w:rsid w:val="006C3DF8"/>
    <w:rsid w:val="006C3DF9"/>
    <w:rsid w:val="006C3FA8"/>
    <w:rsid w:val="006C43BA"/>
    <w:rsid w:val="006C4463"/>
    <w:rsid w:val="006C4542"/>
    <w:rsid w:val="006C45EC"/>
    <w:rsid w:val="006C4640"/>
    <w:rsid w:val="006C4799"/>
    <w:rsid w:val="006C48EC"/>
    <w:rsid w:val="006C5895"/>
    <w:rsid w:val="006C5A0A"/>
    <w:rsid w:val="006C5BD8"/>
    <w:rsid w:val="006C5D11"/>
    <w:rsid w:val="006C5DA3"/>
    <w:rsid w:val="006C5DEC"/>
    <w:rsid w:val="006C5FC4"/>
    <w:rsid w:val="006C5FFE"/>
    <w:rsid w:val="006C6255"/>
    <w:rsid w:val="006C6477"/>
    <w:rsid w:val="006C6584"/>
    <w:rsid w:val="006C6608"/>
    <w:rsid w:val="006C6740"/>
    <w:rsid w:val="006C6843"/>
    <w:rsid w:val="006C69A9"/>
    <w:rsid w:val="006C6B80"/>
    <w:rsid w:val="006C6C1B"/>
    <w:rsid w:val="006C6C88"/>
    <w:rsid w:val="006C6EE1"/>
    <w:rsid w:val="006C7287"/>
    <w:rsid w:val="006C7410"/>
    <w:rsid w:val="006C7497"/>
    <w:rsid w:val="006C74FC"/>
    <w:rsid w:val="006C751A"/>
    <w:rsid w:val="006C7539"/>
    <w:rsid w:val="006C799B"/>
    <w:rsid w:val="006C7E88"/>
    <w:rsid w:val="006C7EEF"/>
    <w:rsid w:val="006C7F06"/>
    <w:rsid w:val="006C7FD5"/>
    <w:rsid w:val="006D0063"/>
    <w:rsid w:val="006D010D"/>
    <w:rsid w:val="006D042E"/>
    <w:rsid w:val="006D087E"/>
    <w:rsid w:val="006D08D4"/>
    <w:rsid w:val="006D0C74"/>
    <w:rsid w:val="006D0CC4"/>
    <w:rsid w:val="006D1099"/>
    <w:rsid w:val="006D121D"/>
    <w:rsid w:val="006D156F"/>
    <w:rsid w:val="006D15D6"/>
    <w:rsid w:val="006D18FF"/>
    <w:rsid w:val="006D1E65"/>
    <w:rsid w:val="006D2057"/>
    <w:rsid w:val="006D280F"/>
    <w:rsid w:val="006D2D8A"/>
    <w:rsid w:val="006D2F57"/>
    <w:rsid w:val="006D3153"/>
    <w:rsid w:val="006D337E"/>
    <w:rsid w:val="006D3467"/>
    <w:rsid w:val="006D35E9"/>
    <w:rsid w:val="006D3DD6"/>
    <w:rsid w:val="006D40A8"/>
    <w:rsid w:val="006D447E"/>
    <w:rsid w:val="006D4790"/>
    <w:rsid w:val="006D4910"/>
    <w:rsid w:val="006D4934"/>
    <w:rsid w:val="006D4AB4"/>
    <w:rsid w:val="006D5041"/>
    <w:rsid w:val="006D552B"/>
    <w:rsid w:val="006D5766"/>
    <w:rsid w:val="006D57C7"/>
    <w:rsid w:val="006D58A6"/>
    <w:rsid w:val="006D5AA1"/>
    <w:rsid w:val="006D5BB3"/>
    <w:rsid w:val="006D5DC5"/>
    <w:rsid w:val="006D61F3"/>
    <w:rsid w:val="006D6268"/>
    <w:rsid w:val="006D62B0"/>
    <w:rsid w:val="006D63C9"/>
    <w:rsid w:val="006D652E"/>
    <w:rsid w:val="006D6597"/>
    <w:rsid w:val="006D65A3"/>
    <w:rsid w:val="006D6865"/>
    <w:rsid w:val="006D68FE"/>
    <w:rsid w:val="006D6C88"/>
    <w:rsid w:val="006D6EE9"/>
    <w:rsid w:val="006D73EA"/>
    <w:rsid w:val="006D73F4"/>
    <w:rsid w:val="006D7577"/>
    <w:rsid w:val="006D75B4"/>
    <w:rsid w:val="006D7D11"/>
    <w:rsid w:val="006D7DEA"/>
    <w:rsid w:val="006D7F6F"/>
    <w:rsid w:val="006E0017"/>
    <w:rsid w:val="006E00C9"/>
    <w:rsid w:val="006E0460"/>
    <w:rsid w:val="006E0635"/>
    <w:rsid w:val="006E0CD3"/>
    <w:rsid w:val="006E0DE7"/>
    <w:rsid w:val="006E0E09"/>
    <w:rsid w:val="006E0ED8"/>
    <w:rsid w:val="006E10A2"/>
    <w:rsid w:val="006E110A"/>
    <w:rsid w:val="006E1252"/>
    <w:rsid w:val="006E125B"/>
    <w:rsid w:val="006E12DC"/>
    <w:rsid w:val="006E13AE"/>
    <w:rsid w:val="006E1411"/>
    <w:rsid w:val="006E165B"/>
    <w:rsid w:val="006E1945"/>
    <w:rsid w:val="006E1C59"/>
    <w:rsid w:val="006E1D3F"/>
    <w:rsid w:val="006E1F07"/>
    <w:rsid w:val="006E2052"/>
    <w:rsid w:val="006E22FB"/>
    <w:rsid w:val="006E23D2"/>
    <w:rsid w:val="006E241F"/>
    <w:rsid w:val="006E2754"/>
    <w:rsid w:val="006E288D"/>
    <w:rsid w:val="006E29B0"/>
    <w:rsid w:val="006E2A89"/>
    <w:rsid w:val="006E2B72"/>
    <w:rsid w:val="006E2DA4"/>
    <w:rsid w:val="006E2E02"/>
    <w:rsid w:val="006E304A"/>
    <w:rsid w:val="006E30ED"/>
    <w:rsid w:val="006E3280"/>
    <w:rsid w:val="006E35D3"/>
    <w:rsid w:val="006E35EC"/>
    <w:rsid w:val="006E370B"/>
    <w:rsid w:val="006E3C80"/>
    <w:rsid w:val="006E3E1A"/>
    <w:rsid w:val="006E3E2C"/>
    <w:rsid w:val="006E4018"/>
    <w:rsid w:val="006E4454"/>
    <w:rsid w:val="006E4565"/>
    <w:rsid w:val="006E4642"/>
    <w:rsid w:val="006E4948"/>
    <w:rsid w:val="006E4A14"/>
    <w:rsid w:val="006E4AF0"/>
    <w:rsid w:val="006E4B09"/>
    <w:rsid w:val="006E4D29"/>
    <w:rsid w:val="006E4E1F"/>
    <w:rsid w:val="006E4FDA"/>
    <w:rsid w:val="006E52F1"/>
    <w:rsid w:val="006E5545"/>
    <w:rsid w:val="006E5863"/>
    <w:rsid w:val="006E5D68"/>
    <w:rsid w:val="006E5E24"/>
    <w:rsid w:val="006E61E3"/>
    <w:rsid w:val="006E6256"/>
    <w:rsid w:val="006E636E"/>
    <w:rsid w:val="006E63A6"/>
    <w:rsid w:val="006E63BD"/>
    <w:rsid w:val="006E6473"/>
    <w:rsid w:val="006E65ED"/>
    <w:rsid w:val="006E6A01"/>
    <w:rsid w:val="006E6C58"/>
    <w:rsid w:val="006E6C69"/>
    <w:rsid w:val="006E6F3D"/>
    <w:rsid w:val="006E7266"/>
    <w:rsid w:val="006E72E7"/>
    <w:rsid w:val="006E73C7"/>
    <w:rsid w:val="006E7624"/>
    <w:rsid w:val="006E7A00"/>
    <w:rsid w:val="006E7CA1"/>
    <w:rsid w:val="006E7E7D"/>
    <w:rsid w:val="006E7E97"/>
    <w:rsid w:val="006E7F43"/>
    <w:rsid w:val="006F08AB"/>
    <w:rsid w:val="006F0C6B"/>
    <w:rsid w:val="006F0D03"/>
    <w:rsid w:val="006F0E23"/>
    <w:rsid w:val="006F0E69"/>
    <w:rsid w:val="006F0F65"/>
    <w:rsid w:val="006F0F67"/>
    <w:rsid w:val="006F0FB9"/>
    <w:rsid w:val="006F1055"/>
    <w:rsid w:val="006F1324"/>
    <w:rsid w:val="006F149F"/>
    <w:rsid w:val="006F14DE"/>
    <w:rsid w:val="006F15A6"/>
    <w:rsid w:val="006F16E5"/>
    <w:rsid w:val="006F1A89"/>
    <w:rsid w:val="006F1BAB"/>
    <w:rsid w:val="006F1BE9"/>
    <w:rsid w:val="006F1D74"/>
    <w:rsid w:val="006F23EA"/>
    <w:rsid w:val="006F24BE"/>
    <w:rsid w:val="006F2C9C"/>
    <w:rsid w:val="006F2D7B"/>
    <w:rsid w:val="006F2FEC"/>
    <w:rsid w:val="006F3423"/>
    <w:rsid w:val="006F3450"/>
    <w:rsid w:val="006F350C"/>
    <w:rsid w:val="006F352C"/>
    <w:rsid w:val="006F3681"/>
    <w:rsid w:val="006F379F"/>
    <w:rsid w:val="006F3817"/>
    <w:rsid w:val="006F3868"/>
    <w:rsid w:val="006F3C83"/>
    <w:rsid w:val="006F3D9F"/>
    <w:rsid w:val="006F410B"/>
    <w:rsid w:val="006F42E5"/>
    <w:rsid w:val="006F452D"/>
    <w:rsid w:val="006F4997"/>
    <w:rsid w:val="006F5E75"/>
    <w:rsid w:val="006F5F4B"/>
    <w:rsid w:val="006F606C"/>
    <w:rsid w:val="006F63AA"/>
    <w:rsid w:val="006F63AE"/>
    <w:rsid w:val="006F6516"/>
    <w:rsid w:val="006F6545"/>
    <w:rsid w:val="006F6A91"/>
    <w:rsid w:val="006F6D51"/>
    <w:rsid w:val="006F6E3F"/>
    <w:rsid w:val="006F6E43"/>
    <w:rsid w:val="006F6EBC"/>
    <w:rsid w:val="006F7056"/>
    <w:rsid w:val="006F70FA"/>
    <w:rsid w:val="006F71D1"/>
    <w:rsid w:val="006F7274"/>
    <w:rsid w:val="006F7438"/>
    <w:rsid w:val="006F75B5"/>
    <w:rsid w:val="006F761F"/>
    <w:rsid w:val="006F7653"/>
    <w:rsid w:val="006F789C"/>
    <w:rsid w:val="006F79D4"/>
    <w:rsid w:val="006F7B0F"/>
    <w:rsid w:val="006F7BEC"/>
    <w:rsid w:val="0070014A"/>
    <w:rsid w:val="00700247"/>
    <w:rsid w:val="00700291"/>
    <w:rsid w:val="0070031A"/>
    <w:rsid w:val="00700379"/>
    <w:rsid w:val="007004BB"/>
    <w:rsid w:val="00700639"/>
    <w:rsid w:val="0070072E"/>
    <w:rsid w:val="0070095A"/>
    <w:rsid w:val="00700C84"/>
    <w:rsid w:val="0070100C"/>
    <w:rsid w:val="007010FA"/>
    <w:rsid w:val="0070112E"/>
    <w:rsid w:val="0070113C"/>
    <w:rsid w:val="0070166E"/>
    <w:rsid w:val="007016C3"/>
    <w:rsid w:val="00701787"/>
    <w:rsid w:val="007019BA"/>
    <w:rsid w:val="00701A44"/>
    <w:rsid w:val="00701CA8"/>
    <w:rsid w:val="00702452"/>
    <w:rsid w:val="007025EE"/>
    <w:rsid w:val="00702729"/>
    <w:rsid w:val="00702733"/>
    <w:rsid w:val="00702A49"/>
    <w:rsid w:val="00702B34"/>
    <w:rsid w:val="00702CC5"/>
    <w:rsid w:val="00702E8C"/>
    <w:rsid w:val="00702F09"/>
    <w:rsid w:val="00702F0A"/>
    <w:rsid w:val="00702FB4"/>
    <w:rsid w:val="007036E4"/>
    <w:rsid w:val="00703782"/>
    <w:rsid w:val="007041F2"/>
    <w:rsid w:val="00704402"/>
    <w:rsid w:val="0070461A"/>
    <w:rsid w:val="007046C1"/>
    <w:rsid w:val="00704776"/>
    <w:rsid w:val="007049CC"/>
    <w:rsid w:val="00704A79"/>
    <w:rsid w:val="00704AB5"/>
    <w:rsid w:val="00705151"/>
    <w:rsid w:val="007051BD"/>
    <w:rsid w:val="00705CF7"/>
    <w:rsid w:val="00706272"/>
    <w:rsid w:val="007062D7"/>
    <w:rsid w:val="00706414"/>
    <w:rsid w:val="007064C9"/>
    <w:rsid w:val="007065FF"/>
    <w:rsid w:val="00706769"/>
    <w:rsid w:val="007067FD"/>
    <w:rsid w:val="0070683C"/>
    <w:rsid w:val="0070697B"/>
    <w:rsid w:val="00706A0F"/>
    <w:rsid w:val="00706E37"/>
    <w:rsid w:val="00706E8D"/>
    <w:rsid w:val="0070700F"/>
    <w:rsid w:val="0070712C"/>
    <w:rsid w:val="0070715A"/>
    <w:rsid w:val="007071C9"/>
    <w:rsid w:val="007071F6"/>
    <w:rsid w:val="00707262"/>
    <w:rsid w:val="0070761C"/>
    <w:rsid w:val="007076DA"/>
    <w:rsid w:val="00707850"/>
    <w:rsid w:val="00707863"/>
    <w:rsid w:val="00707895"/>
    <w:rsid w:val="007079A3"/>
    <w:rsid w:val="007079F0"/>
    <w:rsid w:val="00707B94"/>
    <w:rsid w:val="00707BB4"/>
    <w:rsid w:val="00707D97"/>
    <w:rsid w:val="00707E2A"/>
    <w:rsid w:val="00707F86"/>
    <w:rsid w:val="00710295"/>
    <w:rsid w:val="007102B7"/>
    <w:rsid w:val="007102DD"/>
    <w:rsid w:val="007103E7"/>
    <w:rsid w:val="00710612"/>
    <w:rsid w:val="007106F0"/>
    <w:rsid w:val="00710C6D"/>
    <w:rsid w:val="00710D73"/>
    <w:rsid w:val="00710DB6"/>
    <w:rsid w:val="00710E0F"/>
    <w:rsid w:val="00710E60"/>
    <w:rsid w:val="00710F03"/>
    <w:rsid w:val="007111F6"/>
    <w:rsid w:val="00711203"/>
    <w:rsid w:val="0071121E"/>
    <w:rsid w:val="00711228"/>
    <w:rsid w:val="007116BA"/>
    <w:rsid w:val="0071175A"/>
    <w:rsid w:val="00711A76"/>
    <w:rsid w:val="00711B4D"/>
    <w:rsid w:val="00711E0A"/>
    <w:rsid w:val="007120AB"/>
    <w:rsid w:val="007120F5"/>
    <w:rsid w:val="00712221"/>
    <w:rsid w:val="0071238D"/>
    <w:rsid w:val="007124EF"/>
    <w:rsid w:val="00712825"/>
    <w:rsid w:val="00712EEC"/>
    <w:rsid w:val="00712F39"/>
    <w:rsid w:val="00712F6E"/>
    <w:rsid w:val="007130FC"/>
    <w:rsid w:val="00713164"/>
    <w:rsid w:val="007131C5"/>
    <w:rsid w:val="0071334B"/>
    <w:rsid w:val="0071335A"/>
    <w:rsid w:val="0071335B"/>
    <w:rsid w:val="007133F9"/>
    <w:rsid w:val="0071355C"/>
    <w:rsid w:val="00713A3B"/>
    <w:rsid w:val="00713AB0"/>
    <w:rsid w:val="00713B57"/>
    <w:rsid w:val="00713B9C"/>
    <w:rsid w:val="00713CDE"/>
    <w:rsid w:val="00713FBB"/>
    <w:rsid w:val="00714120"/>
    <w:rsid w:val="00714168"/>
    <w:rsid w:val="0071425B"/>
    <w:rsid w:val="007143B6"/>
    <w:rsid w:val="00714A98"/>
    <w:rsid w:val="00714C29"/>
    <w:rsid w:val="00714DD7"/>
    <w:rsid w:val="00714EE0"/>
    <w:rsid w:val="007152D7"/>
    <w:rsid w:val="0071563B"/>
    <w:rsid w:val="00715648"/>
    <w:rsid w:val="00715682"/>
    <w:rsid w:val="007156AB"/>
    <w:rsid w:val="00715E93"/>
    <w:rsid w:val="0071630A"/>
    <w:rsid w:val="0071656F"/>
    <w:rsid w:val="007165CD"/>
    <w:rsid w:val="0071662B"/>
    <w:rsid w:val="0071697C"/>
    <w:rsid w:val="007169E2"/>
    <w:rsid w:val="00716C62"/>
    <w:rsid w:val="00716DB3"/>
    <w:rsid w:val="007171A3"/>
    <w:rsid w:val="007174AF"/>
    <w:rsid w:val="00717590"/>
    <w:rsid w:val="0071771C"/>
    <w:rsid w:val="007179BA"/>
    <w:rsid w:val="00717BD1"/>
    <w:rsid w:val="00717C39"/>
    <w:rsid w:val="00717EDC"/>
    <w:rsid w:val="00717FBF"/>
    <w:rsid w:val="007200A5"/>
    <w:rsid w:val="007202F6"/>
    <w:rsid w:val="007203B4"/>
    <w:rsid w:val="00720882"/>
    <w:rsid w:val="007208C3"/>
    <w:rsid w:val="00720B25"/>
    <w:rsid w:val="007211FC"/>
    <w:rsid w:val="0072129D"/>
    <w:rsid w:val="00721583"/>
    <w:rsid w:val="007216CD"/>
    <w:rsid w:val="00721759"/>
    <w:rsid w:val="00721BB6"/>
    <w:rsid w:val="00721E80"/>
    <w:rsid w:val="0072201D"/>
    <w:rsid w:val="007221EE"/>
    <w:rsid w:val="007223C6"/>
    <w:rsid w:val="007224E7"/>
    <w:rsid w:val="007225C6"/>
    <w:rsid w:val="007225D7"/>
    <w:rsid w:val="00722E43"/>
    <w:rsid w:val="007236BB"/>
    <w:rsid w:val="00723780"/>
    <w:rsid w:val="007237EB"/>
    <w:rsid w:val="00723893"/>
    <w:rsid w:val="00723BFD"/>
    <w:rsid w:val="00723D30"/>
    <w:rsid w:val="00723E1C"/>
    <w:rsid w:val="00724063"/>
    <w:rsid w:val="00724149"/>
    <w:rsid w:val="00724230"/>
    <w:rsid w:val="007244BE"/>
    <w:rsid w:val="007247A5"/>
    <w:rsid w:val="00724A7D"/>
    <w:rsid w:val="00724FC2"/>
    <w:rsid w:val="00725997"/>
    <w:rsid w:val="0072599D"/>
    <w:rsid w:val="00725B50"/>
    <w:rsid w:val="00725BAD"/>
    <w:rsid w:val="00725CD8"/>
    <w:rsid w:val="00726045"/>
    <w:rsid w:val="00726095"/>
    <w:rsid w:val="0072612B"/>
    <w:rsid w:val="00726270"/>
    <w:rsid w:val="0072627B"/>
    <w:rsid w:val="00726361"/>
    <w:rsid w:val="007263FE"/>
    <w:rsid w:val="00726458"/>
    <w:rsid w:val="0072651B"/>
    <w:rsid w:val="007266A5"/>
    <w:rsid w:val="007268E3"/>
    <w:rsid w:val="00726947"/>
    <w:rsid w:val="00726C9B"/>
    <w:rsid w:val="00726D40"/>
    <w:rsid w:val="00727189"/>
    <w:rsid w:val="007271DF"/>
    <w:rsid w:val="007275BB"/>
    <w:rsid w:val="007276E8"/>
    <w:rsid w:val="007279F3"/>
    <w:rsid w:val="00727A2B"/>
    <w:rsid w:val="00727D17"/>
    <w:rsid w:val="00730018"/>
    <w:rsid w:val="007303A6"/>
    <w:rsid w:val="007303AA"/>
    <w:rsid w:val="00730408"/>
    <w:rsid w:val="0073044E"/>
    <w:rsid w:val="00730661"/>
    <w:rsid w:val="007308C9"/>
    <w:rsid w:val="00730AA3"/>
    <w:rsid w:val="00730AF7"/>
    <w:rsid w:val="00730B77"/>
    <w:rsid w:val="00730B7F"/>
    <w:rsid w:val="00730C79"/>
    <w:rsid w:val="00730CE7"/>
    <w:rsid w:val="00730D55"/>
    <w:rsid w:val="00730D9B"/>
    <w:rsid w:val="0073115C"/>
    <w:rsid w:val="007311B1"/>
    <w:rsid w:val="00731498"/>
    <w:rsid w:val="0073198B"/>
    <w:rsid w:val="007319C4"/>
    <w:rsid w:val="00731B81"/>
    <w:rsid w:val="00731F25"/>
    <w:rsid w:val="007326C8"/>
    <w:rsid w:val="007326D7"/>
    <w:rsid w:val="0073281C"/>
    <w:rsid w:val="007328C4"/>
    <w:rsid w:val="00732BF0"/>
    <w:rsid w:val="0073325D"/>
    <w:rsid w:val="00733399"/>
    <w:rsid w:val="007333AB"/>
    <w:rsid w:val="007333DD"/>
    <w:rsid w:val="00733488"/>
    <w:rsid w:val="00733D7C"/>
    <w:rsid w:val="00733E36"/>
    <w:rsid w:val="00733EB6"/>
    <w:rsid w:val="00733FC3"/>
    <w:rsid w:val="00734039"/>
    <w:rsid w:val="007342B9"/>
    <w:rsid w:val="007342C3"/>
    <w:rsid w:val="00734475"/>
    <w:rsid w:val="007346A4"/>
    <w:rsid w:val="00734779"/>
    <w:rsid w:val="007348DC"/>
    <w:rsid w:val="00734B36"/>
    <w:rsid w:val="00734D64"/>
    <w:rsid w:val="00734E44"/>
    <w:rsid w:val="00734F58"/>
    <w:rsid w:val="00734F63"/>
    <w:rsid w:val="00735132"/>
    <w:rsid w:val="00735333"/>
    <w:rsid w:val="007353CD"/>
    <w:rsid w:val="00735410"/>
    <w:rsid w:val="0073560D"/>
    <w:rsid w:val="00735617"/>
    <w:rsid w:val="00735746"/>
    <w:rsid w:val="00735933"/>
    <w:rsid w:val="00735C92"/>
    <w:rsid w:val="00735D67"/>
    <w:rsid w:val="00735EA9"/>
    <w:rsid w:val="007360FF"/>
    <w:rsid w:val="0073624F"/>
    <w:rsid w:val="00736307"/>
    <w:rsid w:val="00736489"/>
    <w:rsid w:val="007366C2"/>
    <w:rsid w:val="00736F20"/>
    <w:rsid w:val="00737053"/>
    <w:rsid w:val="007370C2"/>
    <w:rsid w:val="007373D6"/>
    <w:rsid w:val="0073775B"/>
    <w:rsid w:val="0073783B"/>
    <w:rsid w:val="00737893"/>
    <w:rsid w:val="007379E0"/>
    <w:rsid w:val="00737A51"/>
    <w:rsid w:val="00737B5A"/>
    <w:rsid w:val="00737CC4"/>
    <w:rsid w:val="00737F2B"/>
    <w:rsid w:val="007400CE"/>
    <w:rsid w:val="00740226"/>
    <w:rsid w:val="007405D8"/>
    <w:rsid w:val="00740A54"/>
    <w:rsid w:val="00740BB2"/>
    <w:rsid w:val="00740F58"/>
    <w:rsid w:val="00740FB8"/>
    <w:rsid w:val="0074103E"/>
    <w:rsid w:val="00741172"/>
    <w:rsid w:val="007411E7"/>
    <w:rsid w:val="0074156E"/>
    <w:rsid w:val="00741684"/>
    <w:rsid w:val="00741851"/>
    <w:rsid w:val="00741939"/>
    <w:rsid w:val="00741B0A"/>
    <w:rsid w:val="00741F12"/>
    <w:rsid w:val="00741F8C"/>
    <w:rsid w:val="0074204A"/>
    <w:rsid w:val="00742203"/>
    <w:rsid w:val="00742209"/>
    <w:rsid w:val="007422C9"/>
    <w:rsid w:val="007422DA"/>
    <w:rsid w:val="007423F6"/>
    <w:rsid w:val="00742598"/>
    <w:rsid w:val="0074268F"/>
    <w:rsid w:val="00742760"/>
    <w:rsid w:val="00742763"/>
    <w:rsid w:val="00742AD8"/>
    <w:rsid w:val="00742C96"/>
    <w:rsid w:val="00742D82"/>
    <w:rsid w:val="00742DE9"/>
    <w:rsid w:val="00742DF2"/>
    <w:rsid w:val="00742F1E"/>
    <w:rsid w:val="0074301F"/>
    <w:rsid w:val="00743792"/>
    <w:rsid w:val="007437D1"/>
    <w:rsid w:val="0074382B"/>
    <w:rsid w:val="007439D0"/>
    <w:rsid w:val="007439F7"/>
    <w:rsid w:val="00743A7E"/>
    <w:rsid w:val="00743C73"/>
    <w:rsid w:val="00743EF4"/>
    <w:rsid w:val="00743EFC"/>
    <w:rsid w:val="0074406E"/>
    <w:rsid w:val="00744140"/>
    <w:rsid w:val="007443ED"/>
    <w:rsid w:val="0074451E"/>
    <w:rsid w:val="00744740"/>
    <w:rsid w:val="0074525E"/>
    <w:rsid w:val="007453B2"/>
    <w:rsid w:val="007453E9"/>
    <w:rsid w:val="0074547E"/>
    <w:rsid w:val="007454A7"/>
    <w:rsid w:val="00745719"/>
    <w:rsid w:val="00745B7A"/>
    <w:rsid w:val="00745CD2"/>
    <w:rsid w:val="00745EAB"/>
    <w:rsid w:val="00745F22"/>
    <w:rsid w:val="00745FD8"/>
    <w:rsid w:val="0074627F"/>
    <w:rsid w:val="0074640A"/>
    <w:rsid w:val="007465D4"/>
    <w:rsid w:val="00746A41"/>
    <w:rsid w:val="00746F96"/>
    <w:rsid w:val="00747011"/>
    <w:rsid w:val="007471BF"/>
    <w:rsid w:val="007472DC"/>
    <w:rsid w:val="00747365"/>
    <w:rsid w:val="0074783C"/>
    <w:rsid w:val="00747846"/>
    <w:rsid w:val="00747847"/>
    <w:rsid w:val="00747B95"/>
    <w:rsid w:val="00747E12"/>
    <w:rsid w:val="00747EBB"/>
    <w:rsid w:val="00747F58"/>
    <w:rsid w:val="00747F91"/>
    <w:rsid w:val="00750026"/>
    <w:rsid w:val="0075007F"/>
    <w:rsid w:val="00750243"/>
    <w:rsid w:val="00750276"/>
    <w:rsid w:val="0075028A"/>
    <w:rsid w:val="007504CA"/>
    <w:rsid w:val="0075081B"/>
    <w:rsid w:val="00750A38"/>
    <w:rsid w:val="00750AFA"/>
    <w:rsid w:val="00750BBC"/>
    <w:rsid w:val="00750C10"/>
    <w:rsid w:val="00750E88"/>
    <w:rsid w:val="00750EDE"/>
    <w:rsid w:val="00750EE6"/>
    <w:rsid w:val="00750FD5"/>
    <w:rsid w:val="00750FFB"/>
    <w:rsid w:val="007511AD"/>
    <w:rsid w:val="00751282"/>
    <w:rsid w:val="0075152A"/>
    <w:rsid w:val="00751578"/>
    <w:rsid w:val="007515B7"/>
    <w:rsid w:val="0075170B"/>
    <w:rsid w:val="00751992"/>
    <w:rsid w:val="00751D48"/>
    <w:rsid w:val="00751DCE"/>
    <w:rsid w:val="00752163"/>
    <w:rsid w:val="00752282"/>
    <w:rsid w:val="0075233C"/>
    <w:rsid w:val="00752842"/>
    <w:rsid w:val="0075293D"/>
    <w:rsid w:val="00752AA5"/>
    <w:rsid w:val="00752B1E"/>
    <w:rsid w:val="00752BF9"/>
    <w:rsid w:val="00753267"/>
    <w:rsid w:val="0075360F"/>
    <w:rsid w:val="007537E7"/>
    <w:rsid w:val="007538A9"/>
    <w:rsid w:val="00753953"/>
    <w:rsid w:val="00753A2E"/>
    <w:rsid w:val="00753B8E"/>
    <w:rsid w:val="00753EDB"/>
    <w:rsid w:val="00754099"/>
    <w:rsid w:val="00754143"/>
    <w:rsid w:val="00754247"/>
    <w:rsid w:val="007542D8"/>
    <w:rsid w:val="007547E1"/>
    <w:rsid w:val="00754900"/>
    <w:rsid w:val="00754B23"/>
    <w:rsid w:val="00754E48"/>
    <w:rsid w:val="00754E9C"/>
    <w:rsid w:val="00754FC1"/>
    <w:rsid w:val="007550B0"/>
    <w:rsid w:val="0075515E"/>
    <w:rsid w:val="0075532B"/>
    <w:rsid w:val="0075555A"/>
    <w:rsid w:val="00755C03"/>
    <w:rsid w:val="00756000"/>
    <w:rsid w:val="0075632B"/>
    <w:rsid w:val="007564D0"/>
    <w:rsid w:val="00756514"/>
    <w:rsid w:val="007567B9"/>
    <w:rsid w:val="00756B6C"/>
    <w:rsid w:val="00756BD0"/>
    <w:rsid w:val="00756C12"/>
    <w:rsid w:val="00756E66"/>
    <w:rsid w:val="007572A2"/>
    <w:rsid w:val="007572F9"/>
    <w:rsid w:val="0075742F"/>
    <w:rsid w:val="00757510"/>
    <w:rsid w:val="0075775D"/>
    <w:rsid w:val="00757970"/>
    <w:rsid w:val="00757BA9"/>
    <w:rsid w:val="00757C71"/>
    <w:rsid w:val="00757E0E"/>
    <w:rsid w:val="00760163"/>
    <w:rsid w:val="0076026E"/>
    <w:rsid w:val="00760329"/>
    <w:rsid w:val="007603DD"/>
    <w:rsid w:val="00760699"/>
    <w:rsid w:val="00760718"/>
    <w:rsid w:val="007607F2"/>
    <w:rsid w:val="00760BC8"/>
    <w:rsid w:val="00760C93"/>
    <w:rsid w:val="00760D07"/>
    <w:rsid w:val="00760EED"/>
    <w:rsid w:val="00761175"/>
    <w:rsid w:val="0076120F"/>
    <w:rsid w:val="007612BB"/>
    <w:rsid w:val="007612F4"/>
    <w:rsid w:val="007614B4"/>
    <w:rsid w:val="00761927"/>
    <w:rsid w:val="0076199F"/>
    <w:rsid w:val="00761A24"/>
    <w:rsid w:val="00761E56"/>
    <w:rsid w:val="00762238"/>
    <w:rsid w:val="007625D5"/>
    <w:rsid w:val="00762898"/>
    <w:rsid w:val="007628E8"/>
    <w:rsid w:val="00762EB9"/>
    <w:rsid w:val="00762F05"/>
    <w:rsid w:val="00763091"/>
    <w:rsid w:val="00763351"/>
    <w:rsid w:val="007633B5"/>
    <w:rsid w:val="00763580"/>
    <w:rsid w:val="00763790"/>
    <w:rsid w:val="00763973"/>
    <w:rsid w:val="00763E6B"/>
    <w:rsid w:val="0076410C"/>
    <w:rsid w:val="0076428F"/>
    <w:rsid w:val="00764434"/>
    <w:rsid w:val="0076475D"/>
    <w:rsid w:val="00764893"/>
    <w:rsid w:val="0076489E"/>
    <w:rsid w:val="00764AD7"/>
    <w:rsid w:val="00764D5D"/>
    <w:rsid w:val="00764EBF"/>
    <w:rsid w:val="00765095"/>
    <w:rsid w:val="00765228"/>
    <w:rsid w:val="0076532C"/>
    <w:rsid w:val="00765494"/>
    <w:rsid w:val="007657DF"/>
    <w:rsid w:val="007659AE"/>
    <w:rsid w:val="00765AC9"/>
    <w:rsid w:val="00765B16"/>
    <w:rsid w:val="00765B78"/>
    <w:rsid w:val="00765B91"/>
    <w:rsid w:val="00765CA0"/>
    <w:rsid w:val="00765D6B"/>
    <w:rsid w:val="00765E66"/>
    <w:rsid w:val="00765F58"/>
    <w:rsid w:val="00765FE3"/>
    <w:rsid w:val="0076615A"/>
    <w:rsid w:val="007665B8"/>
    <w:rsid w:val="00766DBF"/>
    <w:rsid w:val="00766FB3"/>
    <w:rsid w:val="00767002"/>
    <w:rsid w:val="007671FD"/>
    <w:rsid w:val="00767483"/>
    <w:rsid w:val="00767563"/>
    <w:rsid w:val="00767661"/>
    <w:rsid w:val="00767999"/>
    <w:rsid w:val="00767DFF"/>
    <w:rsid w:val="0077005A"/>
    <w:rsid w:val="0077006E"/>
    <w:rsid w:val="00770119"/>
    <w:rsid w:val="0077014A"/>
    <w:rsid w:val="007701EB"/>
    <w:rsid w:val="00770318"/>
    <w:rsid w:val="007704F1"/>
    <w:rsid w:val="00770B43"/>
    <w:rsid w:val="00770CD8"/>
    <w:rsid w:val="00770F26"/>
    <w:rsid w:val="00771169"/>
    <w:rsid w:val="00771391"/>
    <w:rsid w:val="007713DD"/>
    <w:rsid w:val="0077147A"/>
    <w:rsid w:val="00771960"/>
    <w:rsid w:val="00771A65"/>
    <w:rsid w:val="00771D3B"/>
    <w:rsid w:val="00771D96"/>
    <w:rsid w:val="00771E6F"/>
    <w:rsid w:val="00771FC2"/>
    <w:rsid w:val="007720AB"/>
    <w:rsid w:val="00772120"/>
    <w:rsid w:val="007724F5"/>
    <w:rsid w:val="0077270F"/>
    <w:rsid w:val="0077287D"/>
    <w:rsid w:val="00772DA4"/>
    <w:rsid w:val="00772DD5"/>
    <w:rsid w:val="00772E25"/>
    <w:rsid w:val="00772F58"/>
    <w:rsid w:val="00773600"/>
    <w:rsid w:val="007736F6"/>
    <w:rsid w:val="00773E0D"/>
    <w:rsid w:val="00773F22"/>
    <w:rsid w:val="007742C3"/>
    <w:rsid w:val="00774488"/>
    <w:rsid w:val="007745D7"/>
    <w:rsid w:val="007746F0"/>
    <w:rsid w:val="00774890"/>
    <w:rsid w:val="00774980"/>
    <w:rsid w:val="00774988"/>
    <w:rsid w:val="00774B5F"/>
    <w:rsid w:val="00774BCD"/>
    <w:rsid w:val="00774D1A"/>
    <w:rsid w:val="00774DBD"/>
    <w:rsid w:val="00774ED4"/>
    <w:rsid w:val="007750DF"/>
    <w:rsid w:val="00775288"/>
    <w:rsid w:val="007752C5"/>
    <w:rsid w:val="007752DE"/>
    <w:rsid w:val="007754EC"/>
    <w:rsid w:val="007757C3"/>
    <w:rsid w:val="00775D2F"/>
    <w:rsid w:val="00775F94"/>
    <w:rsid w:val="0077605F"/>
    <w:rsid w:val="007760A8"/>
    <w:rsid w:val="0077610D"/>
    <w:rsid w:val="007762F1"/>
    <w:rsid w:val="007763F1"/>
    <w:rsid w:val="007764B0"/>
    <w:rsid w:val="007765B7"/>
    <w:rsid w:val="007765DD"/>
    <w:rsid w:val="00776629"/>
    <w:rsid w:val="0077667E"/>
    <w:rsid w:val="00776857"/>
    <w:rsid w:val="007769F1"/>
    <w:rsid w:val="00776C2C"/>
    <w:rsid w:val="00776D02"/>
    <w:rsid w:val="00776E39"/>
    <w:rsid w:val="0077701F"/>
    <w:rsid w:val="00777444"/>
    <w:rsid w:val="0077755D"/>
    <w:rsid w:val="0077757B"/>
    <w:rsid w:val="0077761A"/>
    <w:rsid w:val="00777AF2"/>
    <w:rsid w:val="00780381"/>
    <w:rsid w:val="007803C6"/>
    <w:rsid w:val="007805BD"/>
    <w:rsid w:val="00780601"/>
    <w:rsid w:val="007806A7"/>
    <w:rsid w:val="007807B1"/>
    <w:rsid w:val="007809F3"/>
    <w:rsid w:val="00780BD1"/>
    <w:rsid w:val="00780D93"/>
    <w:rsid w:val="00780FF6"/>
    <w:rsid w:val="00781047"/>
    <w:rsid w:val="0078146C"/>
    <w:rsid w:val="007817EA"/>
    <w:rsid w:val="00781951"/>
    <w:rsid w:val="00781A03"/>
    <w:rsid w:val="00781A66"/>
    <w:rsid w:val="00781A80"/>
    <w:rsid w:val="00781D6E"/>
    <w:rsid w:val="00781E4A"/>
    <w:rsid w:val="00781EAB"/>
    <w:rsid w:val="007822E0"/>
    <w:rsid w:val="00782302"/>
    <w:rsid w:val="0078232E"/>
    <w:rsid w:val="0078236A"/>
    <w:rsid w:val="0078247C"/>
    <w:rsid w:val="007824D3"/>
    <w:rsid w:val="00782677"/>
    <w:rsid w:val="007826DB"/>
    <w:rsid w:val="00782841"/>
    <w:rsid w:val="00782B44"/>
    <w:rsid w:val="00782D16"/>
    <w:rsid w:val="00782D6F"/>
    <w:rsid w:val="00782EB1"/>
    <w:rsid w:val="00782ED1"/>
    <w:rsid w:val="007837CD"/>
    <w:rsid w:val="00783914"/>
    <w:rsid w:val="00783D1F"/>
    <w:rsid w:val="00783E5E"/>
    <w:rsid w:val="007840D1"/>
    <w:rsid w:val="007840EB"/>
    <w:rsid w:val="007843FE"/>
    <w:rsid w:val="00784B24"/>
    <w:rsid w:val="00785500"/>
    <w:rsid w:val="00785A2D"/>
    <w:rsid w:val="00785C52"/>
    <w:rsid w:val="00785DDF"/>
    <w:rsid w:val="00785FF8"/>
    <w:rsid w:val="007861CB"/>
    <w:rsid w:val="00786381"/>
    <w:rsid w:val="007863F9"/>
    <w:rsid w:val="00786491"/>
    <w:rsid w:val="00786497"/>
    <w:rsid w:val="007866A1"/>
    <w:rsid w:val="007867F0"/>
    <w:rsid w:val="00786895"/>
    <w:rsid w:val="0078692C"/>
    <w:rsid w:val="00786C27"/>
    <w:rsid w:val="00786CA8"/>
    <w:rsid w:val="00786CF0"/>
    <w:rsid w:val="00786D5C"/>
    <w:rsid w:val="007872E2"/>
    <w:rsid w:val="007873A6"/>
    <w:rsid w:val="007873F0"/>
    <w:rsid w:val="00787521"/>
    <w:rsid w:val="00787605"/>
    <w:rsid w:val="0078767B"/>
    <w:rsid w:val="007879A0"/>
    <w:rsid w:val="007879B1"/>
    <w:rsid w:val="00787AA9"/>
    <w:rsid w:val="00787BDB"/>
    <w:rsid w:val="00790193"/>
    <w:rsid w:val="007901A4"/>
    <w:rsid w:val="0079032A"/>
    <w:rsid w:val="00790574"/>
    <w:rsid w:val="007908F5"/>
    <w:rsid w:val="00790AA9"/>
    <w:rsid w:val="00790C02"/>
    <w:rsid w:val="00790C22"/>
    <w:rsid w:val="00790EC1"/>
    <w:rsid w:val="00791184"/>
    <w:rsid w:val="00791375"/>
    <w:rsid w:val="0079176F"/>
    <w:rsid w:val="00791846"/>
    <w:rsid w:val="00791915"/>
    <w:rsid w:val="00791A55"/>
    <w:rsid w:val="00791B47"/>
    <w:rsid w:val="00791C20"/>
    <w:rsid w:val="00791C7C"/>
    <w:rsid w:val="00791C97"/>
    <w:rsid w:val="00791ED1"/>
    <w:rsid w:val="00792077"/>
    <w:rsid w:val="007922F2"/>
    <w:rsid w:val="007924FE"/>
    <w:rsid w:val="0079259F"/>
    <w:rsid w:val="0079263E"/>
    <w:rsid w:val="007926A9"/>
    <w:rsid w:val="00792900"/>
    <w:rsid w:val="00792E52"/>
    <w:rsid w:val="00792EEC"/>
    <w:rsid w:val="007932C0"/>
    <w:rsid w:val="00793821"/>
    <w:rsid w:val="00793BF9"/>
    <w:rsid w:val="00793EC1"/>
    <w:rsid w:val="00794090"/>
    <w:rsid w:val="00794348"/>
    <w:rsid w:val="00794404"/>
    <w:rsid w:val="00794462"/>
    <w:rsid w:val="0079487E"/>
    <w:rsid w:val="00794B5E"/>
    <w:rsid w:val="00794B91"/>
    <w:rsid w:val="00794BD0"/>
    <w:rsid w:val="00794CCC"/>
    <w:rsid w:val="00794F67"/>
    <w:rsid w:val="00794FFD"/>
    <w:rsid w:val="007952CD"/>
    <w:rsid w:val="00795477"/>
    <w:rsid w:val="00795A2B"/>
    <w:rsid w:val="00795E29"/>
    <w:rsid w:val="00795F2C"/>
    <w:rsid w:val="00795FED"/>
    <w:rsid w:val="007962ED"/>
    <w:rsid w:val="007965C0"/>
    <w:rsid w:val="00796776"/>
    <w:rsid w:val="00796977"/>
    <w:rsid w:val="007969B4"/>
    <w:rsid w:val="00796B4A"/>
    <w:rsid w:val="00796B62"/>
    <w:rsid w:val="00796C88"/>
    <w:rsid w:val="00796D79"/>
    <w:rsid w:val="00796E57"/>
    <w:rsid w:val="007971B6"/>
    <w:rsid w:val="007973CE"/>
    <w:rsid w:val="00797449"/>
    <w:rsid w:val="007974D2"/>
    <w:rsid w:val="007974DF"/>
    <w:rsid w:val="0079771F"/>
    <w:rsid w:val="0079775F"/>
    <w:rsid w:val="007979ED"/>
    <w:rsid w:val="00797B02"/>
    <w:rsid w:val="00797BDE"/>
    <w:rsid w:val="00797F18"/>
    <w:rsid w:val="007A0008"/>
    <w:rsid w:val="007A0545"/>
    <w:rsid w:val="007A070C"/>
    <w:rsid w:val="007A0716"/>
    <w:rsid w:val="007A0B7F"/>
    <w:rsid w:val="007A0F08"/>
    <w:rsid w:val="007A10CB"/>
    <w:rsid w:val="007A11A1"/>
    <w:rsid w:val="007A11DD"/>
    <w:rsid w:val="007A1510"/>
    <w:rsid w:val="007A1546"/>
    <w:rsid w:val="007A1773"/>
    <w:rsid w:val="007A1823"/>
    <w:rsid w:val="007A1D6C"/>
    <w:rsid w:val="007A1EB4"/>
    <w:rsid w:val="007A1F3B"/>
    <w:rsid w:val="007A232C"/>
    <w:rsid w:val="007A29BA"/>
    <w:rsid w:val="007A2AE8"/>
    <w:rsid w:val="007A2F5C"/>
    <w:rsid w:val="007A373A"/>
    <w:rsid w:val="007A3996"/>
    <w:rsid w:val="007A3BCE"/>
    <w:rsid w:val="007A3F9D"/>
    <w:rsid w:val="007A4031"/>
    <w:rsid w:val="007A4070"/>
    <w:rsid w:val="007A41AB"/>
    <w:rsid w:val="007A43CE"/>
    <w:rsid w:val="007A472D"/>
    <w:rsid w:val="007A47E7"/>
    <w:rsid w:val="007A47F8"/>
    <w:rsid w:val="007A4853"/>
    <w:rsid w:val="007A48CD"/>
    <w:rsid w:val="007A490C"/>
    <w:rsid w:val="007A493B"/>
    <w:rsid w:val="007A4940"/>
    <w:rsid w:val="007A4A19"/>
    <w:rsid w:val="007A4AF4"/>
    <w:rsid w:val="007A511D"/>
    <w:rsid w:val="007A512F"/>
    <w:rsid w:val="007A5643"/>
    <w:rsid w:val="007A5803"/>
    <w:rsid w:val="007A5893"/>
    <w:rsid w:val="007A5993"/>
    <w:rsid w:val="007A5A34"/>
    <w:rsid w:val="007A5A73"/>
    <w:rsid w:val="007A5A8E"/>
    <w:rsid w:val="007A5A91"/>
    <w:rsid w:val="007A5D2C"/>
    <w:rsid w:val="007A5D9E"/>
    <w:rsid w:val="007A613D"/>
    <w:rsid w:val="007A623E"/>
    <w:rsid w:val="007A6573"/>
    <w:rsid w:val="007A6CE6"/>
    <w:rsid w:val="007A6D20"/>
    <w:rsid w:val="007A6E02"/>
    <w:rsid w:val="007A6E21"/>
    <w:rsid w:val="007A7140"/>
    <w:rsid w:val="007A7359"/>
    <w:rsid w:val="007A7400"/>
    <w:rsid w:val="007A773F"/>
    <w:rsid w:val="007A79A2"/>
    <w:rsid w:val="007A7A5E"/>
    <w:rsid w:val="007A7DBE"/>
    <w:rsid w:val="007A7EE1"/>
    <w:rsid w:val="007B0102"/>
    <w:rsid w:val="007B01CA"/>
    <w:rsid w:val="007B04BA"/>
    <w:rsid w:val="007B04CC"/>
    <w:rsid w:val="007B0684"/>
    <w:rsid w:val="007B077E"/>
    <w:rsid w:val="007B0880"/>
    <w:rsid w:val="007B0A29"/>
    <w:rsid w:val="007B0B6A"/>
    <w:rsid w:val="007B0DBC"/>
    <w:rsid w:val="007B0F19"/>
    <w:rsid w:val="007B1092"/>
    <w:rsid w:val="007B14BE"/>
    <w:rsid w:val="007B15C8"/>
    <w:rsid w:val="007B1811"/>
    <w:rsid w:val="007B1830"/>
    <w:rsid w:val="007B187F"/>
    <w:rsid w:val="007B1AA4"/>
    <w:rsid w:val="007B1DAE"/>
    <w:rsid w:val="007B1E20"/>
    <w:rsid w:val="007B202F"/>
    <w:rsid w:val="007B207A"/>
    <w:rsid w:val="007B231B"/>
    <w:rsid w:val="007B2845"/>
    <w:rsid w:val="007B28DD"/>
    <w:rsid w:val="007B296B"/>
    <w:rsid w:val="007B29A3"/>
    <w:rsid w:val="007B2A49"/>
    <w:rsid w:val="007B2F7D"/>
    <w:rsid w:val="007B302C"/>
    <w:rsid w:val="007B3230"/>
    <w:rsid w:val="007B3341"/>
    <w:rsid w:val="007B34B8"/>
    <w:rsid w:val="007B3AB4"/>
    <w:rsid w:val="007B3AE1"/>
    <w:rsid w:val="007B3BCE"/>
    <w:rsid w:val="007B3C45"/>
    <w:rsid w:val="007B3E22"/>
    <w:rsid w:val="007B3E93"/>
    <w:rsid w:val="007B3FFE"/>
    <w:rsid w:val="007B4074"/>
    <w:rsid w:val="007B43EE"/>
    <w:rsid w:val="007B4747"/>
    <w:rsid w:val="007B478B"/>
    <w:rsid w:val="007B492D"/>
    <w:rsid w:val="007B4F1A"/>
    <w:rsid w:val="007B5159"/>
    <w:rsid w:val="007B52CF"/>
    <w:rsid w:val="007B54F2"/>
    <w:rsid w:val="007B5A21"/>
    <w:rsid w:val="007B5D0C"/>
    <w:rsid w:val="007B5F37"/>
    <w:rsid w:val="007B6021"/>
    <w:rsid w:val="007B613D"/>
    <w:rsid w:val="007B687B"/>
    <w:rsid w:val="007B68A3"/>
    <w:rsid w:val="007B69ED"/>
    <w:rsid w:val="007B6D89"/>
    <w:rsid w:val="007B6F6E"/>
    <w:rsid w:val="007B716A"/>
    <w:rsid w:val="007B7173"/>
    <w:rsid w:val="007B72D8"/>
    <w:rsid w:val="007B76A9"/>
    <w:rsid w:val="007B77D1"/>
    <w:rsid w:val="007B780C"/>
    <w:rsid w:val="007B783E"/>
    <w:rsid w:val="007B7A3D"/>
    <w:rsid w:val="007C0387"/>
    <w:rsid w:val="007C057D"/>
    <w:rsid w:val="007C0838"/>
    <w:rsid w:val="007C0842"/>
    <w:rsid w:val="007C0882"/>
    <w:rsid w:val="007C0960"/>
    <w:rsid w:val="007C0C06"/>
    <w:rsid w:val="007C0C37"/>
    <w:rsid w:val="007C0E36"/>
    <w:rsid w:val="007C0FD0"/>
    <w:rsid w:val="007C1153"/>
    <w:rsid w:val="007C1324"/>
    <w:rsid w:val="007C1899"/>
    <w:rsid w:val="007C18BA"/>
    <w:rsid w:val="007C18CC"/>
    <w:rsid w:val="007C1C0D"/>
    <w:rsid w:val="007C1D9F"/>
    <w:rsid w:val="007C1F6A"/>
    <w:rsid w:val="007C205F"/>
    <w:rsid w:val="007C2421"/>
    <w:rsid w:val="007C26D7"/>
    <w:rsid w:val="007C28EF"/>
    <w:rsid w:val="007C2C2B"/>
    <w:rsid w:val="007C2D96"/>
    <w:rsid w:val="007C2F2D"/>
    <w:rsid w:val="007C3019"/>
    <w:rsid w:val="007C311B"/>
    <w:rsid w:val="007C3252"/>
    <w:rsid w:val="007C3597"/>
    <w:rsid w:val="007C35BB"/>
    <w:rsid w:val="007C3789"/>
    <w:rsid w:val="007C3DC6"/>
    <w:rsid w:val="007C3E47"/>
    <w:rsid w:val="007C4183"/>
    <w:rsid w:val="007C4264"/>
    <w:rsid w:val="007C456D"/>
    <w:rsid w:val="007C45E4"/>
    <w:rsid w:val="007C45F5"/>
    <w:rsid w:val="007C460B"/>
    <w:rsid w:val="007C4693"/>
    <w:rsid w:val="007C4886"/>
    <w:rsid w:val="007C4C02"/>
    <w:rsid w:val="007C4CBA"/>
    <w:rsid w:val="007C5132"/>
    <w:rsid w:val="007C52C7"/>
    <w:rsid w:val="007C5E8D"/>
    <w:rsid w:val="007C5EC4"/>
    <w:rsid w:val="007C5F8A"/>
    <w:rsid w:val="007C61B4"/>
    <w:rsid w:val="007C69D9"/>
    <w:rsid w:val="007C6A7F"/>
    <w:rsid w:val="007C6E09"/>
    <w:rsid w:val="007C6FF4"/>
    <w:rsid w:val="007C73E6"/>
    <w:rsid w:val="007C76D3"/>
    <w:rsid w:val="007C7821"/>
    <w:rsid w:val="007C7A77"/>
    <w:rsid w:val="007C7CA2"/>
    <w:rsid w:val="007C7E7E"/>
    <w:rsid w:val="007C7F2B"/>
    <w:rsid w:val="007D0462"/>
    <w:rsid w:val="007D0508"/>
    <w:rsid w:val="007D059B"/>
    <w:rsid w:val="007D07F5"/>
    <w:rsid w:val="007D082D"/>
    <w:rsid w:val="007D0831"/>
    <w:rsid w:val="007D0B1E"/>
    <w:rsid w:val="007D0C09"/>
    <w:rsid w:val="007D0D3E"/>
    <w:rsid w:val="007D0EAE"/>
    <w:rsid w:val="007D14DA"/>
    <w:rsid w:val="007D172D"/>
    <w:rsid w:val="007D1864"/>
    <w:rsid w:val="007D18FF"/>
    <w:rsid w:val="007D1A01"/>
    <w:rsid w:val="007D1EEF"/>
    <w:rsid w:val="007D20C8"/>
    <w:rsid w:val="007D215D"/>
    <w:rsid w:val="007D248B"/>
    <w:rsid w:val="007D26CB"/>
    <w:rsid w:val="007D285D"/>
    <w:rsid w:val="007D299F"/>
    <w:rsid w:val="007D2BD3"/>
    <w:rsid w:val="007D2D55"/>
    <w:rsid w:val="007D2EFF"/>
    <w:rsid w:val="007D2F18"/>
    <w:rsid w:val="007D2FC6"/>
    <w:rsid w:val="007D307B"/>
    <w:rsid w:val="007D3164"/>
    <w:rsid w:val="007D3328"/>
    <w:rsid w:val="007D3650"/>
    <w:rsid w:val="007D36DA"/>
    <w:rsid w:val="007D370C"/>
    <w:rsid w:val="007D37AE"/>
    <w:rsid w:val="007D4182"/>
    <w:rsid w:val="007D41C2"/>
    <w:rsid w:val="007D42CF"/>
    <w:rsid w:val="007D4354"/>
    <w:rsid w:val="007D44B7"/>
    <w:rsid w:val="007D450C"/>
    <w:rsid w:val="007D451E"/>
    <w:rsid w:val="007D4720"/>
    <w:rsid w:val="007D4931"/>
    <w:rsid w:val="007D513E"/>
    <w:rsid w:val="007D52F2"/>
    <w:rsid w:val="007D53BB"/>
    <w:rsid w:val="007D5477"/>
    <w:rsid w:val="007D5628"/>
    <w:rsid w:val="007D5E55"/>
    <w:rsid w:val="007D6026"/>
    <w:rsid w:val="007D60F0"/>
    <w:rsid w:val="007D63B1"/>
    <w:rsid w:val="007D6555"/>
    <w:rsid w:val="007D689E"/>
    <w:rsid w:val="007D690A"/>
    <w:rsid w:val="007D6C07"/>
    <w:rsid w:val="007D6C34"/>
    <w:rsid w:val="007D6E2E"/>
    <w:rsid w:val="007D6E5F"/>
    <w:rsid w:val="007D6EA7"/>
    <w:rsid w:val="007D6EC3"/>
    <w:rsid w:val="007D7317"/>
    <w:rsid w:val="007D7425"/>
    <w:rsid w:val="007D7536"/>
    <w:rsid w:val="007D799B"/>
    <w:rsid w:val="007D7B9A"/>
    <w:rsid w:val="007D7D84"/>
    <w:rsid w:val="007E0154"/>
    <w:rsid w:val="007E087A"/>
    <w:rsid w:val="007E0A6B"/>
    <w:rsid w:val="007E0B04"/>
    <w:rsid w:val="007E0FAE"/>
    <w:rsid w:val="007E112E"/>
    <w:rsid w:val="007E1480"/>
    <w:rsid w:val="007E154A"/>
    <w:rsid w:val="007E1665"/>
    <w:rsid w:val="007E1666"/>
    <w:rsid w:val="007E171F"/>
    <w:rsid w:val="007E186C"/>
    <w:rsid w:val="007E1A6A"/>
    <w:rsid w:val="007E1AD5"/>
    <w:rsid w:val="007E1D27"/>
    <w:rsid w:val="007E225A"/>
    <w:rsid w:val="007E2442"/>
    <w:rsid w:val="007E24EF"/>
    <w:rsid w:val="007E24F1"/>
    <w:rsid w:val="007E2844"/>
    <w:rsid w:val="007E28D3"/>
    <w:rsid w:val="007E2B99"/>
    <w:rsid w:val="007E2CE8"/>
    <w:rsid w:val="007E2D3F"/>
    <w:rsid w:val="007E2EDA"/>
    <w:rsid w:val="007E2EF0"/>
    <w:rsid w:val="007E3075"/>
    <w:rsid w:val="007E31C0"/>
    <w:rsid w:val="007E34D1"/>
    <w:rsid w:val="007E3D6D"/>
    <w:rsid w:val="007E414E"/>
    <w:rsid w:val="007E41EA"/>
    <w:rsid w:val="007E4351"/>
    <w:rsid w:val="007E44A0"/>
    <w:rsid w:val="007E44B2"/>
    <w:rsid w:val="007E4909"/>
    <w:rsid w:val="007E4C41"/>
    <w:rsid w:val="007E4D87"/>
    <w:rsid w:val="007E4EDF"/>
    <w:rsid w:val="007E4F72"/>
    <w:rsid w:val="007E5330"/>
    <w:rsid w:val="007E56E8"/>
    <w:rsid w:val="007E5AAC"/>
    <w:rsid w:val="007E5DEF"/>
    <w:rsid w:val="007E6079"/>
    <w:rsid w:val="007E60AF"/>
    <w:rsid w:val="007E61F3"/>
    <w:rsid w:val="007E6653"/>
    <w:rsid w:val="007E689A"/>
    <w:rsid w:val="007E692F"/>
    <w:rsid w:val="007E6986"/>
    <w:rsid w:val="007E6B9E"/>
    <w:rsid w:val="007E6BA8"/>
    <w:rsid w:val="007E6C50"/>
    <w:rsid w:val="007E6CD9"/>
    <w:rsid w:val="007E6E4E"/>
    <w:rsid w:val="007E6E86"/>
    <w:rsid w:val="007E700A"/>
    <w:rsid w:val="007E70CF"/>
    <w:rsid w:val="007E7738"/>
    <w:rsid w:val="007E7EBD"/>
    <w:rsid w:val="007F0136"/>
    <w:rsid w:val="007F0198"/>
    <w:rsid w:val="007F02CB"/>
    <w:rsid w:val="007F0698"/>
    <w:rsid w:val="007F0B22"/>
    <w:rsid w:val="007F0B42"/>
    <w:rsid w:val="007F0D2B"/>
    <w:rsid w:val="007F0E40"/>
    <w:rsid w:val="007F0EC3"/>
    <w:rsid w:val="007F0F5A"/>
    <w:rsid w:val="007F0FA6"/>
    <w:rsid w:val="007F1142"/>
    <w:rsid w:val="007F1312"/>
    <w:rsid w:val="007F14C7"/>
    <w:rsid w:val="007F194E"/>
    <w:rsid w:val="007F1E58"/>
    <w:rsid w:val="007F1FA7"/>
    <w:rsid w:val="007F209B"/>
    <w:rsid w:val="007F21A3"/>
    <w:rsid w:val="007F2262"/>
    <w:rsid w:val="007F2272"/>
    <w:rsid w:val="007F23BB"/>
    <w:rsid w:val="007F27EA"/>
    <w:rsid w:val="007F2840"/>
    <w:rsid w:val="007F291C"/>
    <w:rsid w:val="007F2B38"/>
    <w:rsid w:val="007F2BBE"/>
    <w:rsid w:val="007F3125"/>
    <w:rsid w:val="007F313C"/>
    <w:rsid w:val="007F322A"/>
    <w:rsid w:val="007F323F"/>
    <w:rsid w:val="007F33BD"/>
    <w:rsid w:val="007F342E"/>
    <w:rsid w:val="007F376B"/>
    <w:rsid w:val="007F3813"/>
    <w:rsid w:val="007F3828"/>
    <w:rsid w:val="007F38E9"/>
    <w:rsid w:val="007F3A4E"/>
    <w:rsid w:val="007F3BC7"/>
    <w:rsid w:val="007F3D72"/>
    <w:rsid w:val="007F3E73"/>
    <w:rsid w:val="007F3EFE"/>
    <w:rsid w:val="007F3FD9"/>
    <w:rsid w:val="007F4084"/>
    <w:rsid w:val="007F40B4"/>
    <w:rsid w:val="007F42E8"/>
    <w:rsid w:val="007F4641"/>
    <w:rsid w:val="007F4805"/>
    <w:rsid w:val="007F48F6"/>
    <w:rsid w:val="007F4AF4"/>
    <w:rsid w:val="007F4D95"/>
    <w:rsid w:val="007F4DD6"/>
    <w:rsid w:val="007F4E16"/>
    <w:rsid w:val="007F4EA6"/>
    <w:rsid w:val="007F4F18"/>
    <w:rsid w:val="007F4FC8"/>
    <w:rsid w:val="007F509A"/>
    <w:rsid w:val="007F529F"/>
    <w:rsid w:val="007F54DA"/>
    <w:rsid w:val="007F555B"/>
    <w:rsid w:val="007F565F"/>
    <w:rsid w:val="007F56D4"/>
    <w:rsid w:val="007F5711"/>
    <w:rsid w:val="007F577B"/>
    <w:rsid w:val="007F580E"/>
    <w:rsid w:val="007F5816"/>
    <w:rsid w:val="007F5955"/>
    <w:rsid w:val="007F5CB9"/>
    <w:rsid w:val="007F5D75"/>
    <w:rsid w:val="007F64DE"/>
    <w:rsid w:val="007F65E1"/>
    <w:rsid w:val="007F67E9"/>
    <w:rsid w:val="007F69B8"/>
    <w:rsid w:val="007F6CB8"/>
    <w:rsid w:val="007F6D55"/>
    <w:rsid w:val="007F6F8C"/>
    <w:rsid w:val="007F70B9"/>
    <w:rsid w:val="007F7291"/>
    <w:rsid w:val="007F75A5"/>
    <w:rsid w:val="007F7660"/>
    <w:rsid w:val="007F77E7"/>
    <w:rsid w:val="007F7A39"/>
    <w:rsid w:val="007F7E89"/>
    <w:rsid w:val="0080021E"/>
    <w:rsid w:val="00800242"/>
    <w:rsid w:val="008005CD"/>
    <w:rsid w:val="00800627"/>
    <w:rsid w:val="008007B7"/>
    <w:rsid w:val="008007F6"/>
    <w:rsid w:val="00800890"/>
    <w:rsid w:val="00800919"/>
    <w:rsid w:val="00800BF0"/>
    <w:rsid w:val="00800F1F"/>
    <w:rsid w:val="00800FFA"/>
    <w:rsid w:val="0080111B"/>
    <w:rsid w:val="008011E6"/>
    <w:rsid w:val="0080147D"/>
    <w:rsid w:val="008014FB"/>
    <w:rsid w:val="008015D6"/>
    <w:rsid w:val="00801637"/>
    <w:rsid w:val="0080185D"/>
    <w:rsid w:val="00801A82"/>
    <w:rsid w:val="00801BB2"/>
    <w:rsid w:val="00801C2E"/>
    <w:rsid w:val="00801C6D"/>
    <w:rsid w:val="00801C8B"/>
    <w:rsid w:val="00801EF3"/>
    <w:rsid w:val="008020CA"/>
    <w:rsid w:val="008020DF"/>
    <w:rsid w:val="00802239"/>
    <w:rsid w:val="00802349"/>
    <w:rsid w:val="00802528"/>
    <w:rsid w:val="0080293A"/>
    <w:rsid w:val="00802E6C"/>
    <w:rsid w:val="00802F48"/>
    <w:rsid w:val="00802FF6"/>
    <w:rsid w:val="0080307C"/>
    <w:rsid w:val="0080310A"/>
    <w:rsid w:val="00803455"/>
    <w:rsid w:val="008036A6"/>
    <w:rsid w:val="008036E6"/>
    <w:rsid w:val="0080374D"/>
    <w:rsid w:val="00803780"/>
    <w:rsid w:val="00803A13"/>
    <w:rsid w:val="00803A4A"/>
    <w:rsid w:val="00803B81"/>
    <w:rsid w:val="00803C22"/>
    <w:rsid w:val="00803C78"/>
    <w:rsid w:val="00803CA0"/>
    <w:rsid w:val="00803FEA"/>
    <w:rsid w:val="0080404B"/>
    <w:rsid w:val="00804576"/>
    <w:rsid w:val="008045B2"/>
    <w:rsid w:val="0080463B"/>
    <w:rsid w:val="0080472D"/>
    <w:rsid w:val="00804E2E"/>
    <w:rsid w:val="00804F24"/>
    <w:rsid w:val="00805476"/>
    <w:rsid w:val="00805594"/>
    <w:rsid w:val="00805671"/>
    <w:rsid w:val="00805769"/>
    <w:rsid w:val="00805B23"/>
    <w:rsid w:val="00805EDA"/>
    <w:rsid w:val="008061DC"/>
    <w:rsid w:val="00806289"/>
    <w:rsid w:val="00806528"/>
    <w:rsid w:val="008065F9"/>
    <w:rsid w:val="0080660E"/>
    <w:rsid w:val="00806D31"/>
    <w:rsid w:val="00806D41"/>
    <w:rsid w:val="00806D53"/>
    <w:rsid w:val="00807577"/>
    <w:rsid w:val="008075F9"/>
    <w:rsid w:val="008076DA"/>
    <w:rsid w:val="0080796C"/>
    <w:rsid w:val="00807CEF"/>
    <w:rsid w:val="00807D38"/>
    <w:rsid w:val="00807DE1"/>
    <w:rsid w:val="00810B27"/>
    <w:rsid w:val="00811202"/>
    <w:rsid w:val="008114D0"/>
    <w:rsid w:val="0081171D"/>
    <w:rsid w:val="0081188E"/>
    <w:rsid w:val="00811BBF"/>
    <w:rsid w:val="00811CBD"/>
    <w:rsid w:val="00812879"/>
    <w:rsid w:val="008128DA"/>
    <w:rsid w:val="00812E5E"/>
    <w:rsid w:val="00813093"/>
    <w:rsid w:val="00813780"/>
    <w:rsid w:val="008137D5"/>
    <w:rsid w:val="00813A5E"/>
    <w:rsid w:val="00813A6B"/>
    <w:rsid w:val="00813CA8"/>
    <w:rsid w:val="00813D4E"/>
    <w:rsid w:val="00813DD4"/>
    <w:rsid w:val="00813E1A"/>
    <w:rsid w:val="008143DC"/>
    <w:rsid w:val="008146C1"/>
    <w:rsid w:val="0081474C"/>
    <w:rsid w:val="00814884"/>
    <w:rsid w:val="00814C2F"/>
    <w:rsid w:val="00814DAE"/>
    <w:rsid w:val="00815300"/>
    <w:rsid w:val="0081537D"/>
    <w:rsid w:val="00815503"/>
    <w:rsid w:val="008156A8"/>
    <w:rsid w:val="0081574C"/>
    <w:rsid w:val="00815C71"/>
    <w:rsid w:val="00816231"/>
    <w:rsid w:val="00816364"/>
    <w:rsid w:val="00816BD4"/>
    <w:rsid w:val="00816CC1"/>
    <w:rsid w:val="00816DBE"/>
    <w:rsid w:val="00816DC3"/>
    <w:rsid w:val="00816DC6"/>
    <w:rsid w:val="00817164"/>
    <w:rsid w:val="008171E4"/>
    <w:rsid w:val="0081728D"/>
    <w:rsid w:val="00817459"/>
    <w:rsid w:val="008174AC"/>
    <w:rsid w:val="00817584"/>
    <w:rsid w:val="00817638"/>
    <w:rsid w:val="00817668"/>
    <w:rsid w:val="00817747"/>
    <w:rsid w:val="00817A7E"/>
    <w:rsid w:val="00817BEF"/>
    <w:rsid w:val="00817FD7"/>
    <w:rsid w:val="0082009A"/>
    <w:rsid w:val="008203BC"/>
    <w:rsid w:val="0082042D"/>
    <w:rsid w:val="008204B7"/>
    <w:rsid w:val="0082078A"/>
    <w:rsid w:val="00820992"/>
    <w:rsid w:val="008209C4"/>
    <w:rsid w:val="00820AD2"/>
    <w:rsid w:val="00820C3E"/>
    <w:rsid w:val="00820ED3"/>
    <w:rsid w:val="00820EE5"/>
    <w:rsid w:val="00820EF3"/>
    <w:rsid w:val="00821317"/>
    <w:rsid w:val="008219CF"/>
    <w:rsid w:val="00821DA9"/>
    <w:rsid w:val="008223E1"/>
    <w:rsid w:val="00822620"/>
    <w:rsid w:val="00822925"/>
    <w:rsid w:val="00822C47"/>
    <w:rsid w:val="00822D97"/>
    <w:rsid w:val="00822FE8"/>
    <w:rsid w:val="00823215"/>
    <w:rsid w:val="00823291"/>
    <w:rsid w:val="00823385"/>
    <w:rsid w:val="008233A2"/>
    <w:rsid w:val="0082369A"/>
    <w:rsid w:val="00823B51"/>
    <w:rsid w:val="00823C00"/>
    <w:rsid w:val="00823E46"/>
    <w:rsid w:val="00824394"/>
    <w:rsid w:val="00824914"/>
    <w:rsid w:val="0082494D"/>
    <w:rsid w:val="00824A85"/>
    <w:rsid w:val="00824AE7"/>
    <w:rsid w:val="00824B50"/>
    <w:rsid w:val="00824C53"/>
    <w:rsid w:val="00824C8E"/>
    <w:rsid w:val="00824DC3"/>
    <w:rsid w:val="00824ED6"/>
    <w:rsid w:val="00825156"/>
    <w:rsid w:val="008252C6"/>
    <w:rsid w:val="008254AB"/>
    <w:rsid w:val="0082553C"/>
    <w:rsid w:val="0082567E"/>
    <w:rsid w:val="008258E0"/>
    <w:rsid w:val="00825966"/>
    <w:rsid w:val="008259DC"/>
    <w:rsid w:val="00825D75"/>
    <w:rsid w:val="00825F77"/>
    <w:rsid w:val="00825F84"/>
    <w:rsid w:val="00825F85"/>
    <w:rsid w:val="008265F1"/>
    <w:rsid w:val="00826A49"/>
    <w:rsid w:val="00826BA4"/>
    <w:rsid w:val="00826BB0"/>
    <w:rsid w:val="00826BF1"/>
    <w:rsid w:val="00826F77"/>
    <w:rsid w:val="00826FBF"/>
    <w:rsid w:val="0082730B"/>
    <w:rsid w:val="00827395"/>
    <w:rsid w:val="0082794C"/>
    <w:rsid w:val="00827C01"/>
    <w:rsid w:val="00827D98"/>
    <w:rsid w:val="008300BF"/>
    <w:rsid w:val="00830365"/>
    <w:rsid w:val="008304E5"/>
    <w:rsid w:val="0083064B"/>
    <w:rsid w:val="008308A5"/>
    <w:rsid w:val="00830B7F"/>
    <w:rsid w:val="00830DE0"/>
    <w:rsid w:val="00830EC2"/>
    <w:rsid w:val="00831163"/>
    <w:rsid w:val="008313C0"/>
    <w:rsid w:val="008318F4"/>
    <w:rsid w:val="0083191D"/>
    <w:rsid w:val="00831930"/>
    <w:rsid w:val="00831AA6"/>
    <w:rsid w:val="00831D41"/>
    <w:rsid w:val="00831D70"/>
    <w:rsid w:val="00831E19"/>
    <w:rsid w:val="00832005"/>
    <w:rsid w:val="008322EC"/>
    <w:rsid w:val="00832317"/>
    <w:rsid w:val="00832495"/>
    <w:rsid w:val="0083273A"/>
    <w:rsid w:val="00832FAA"/>
    <w:rsid w:val="0083311B"/>
    <w:rsid w:val="00833326"/>
    <w:rsid w:val="008338BF"/>
    <w:rsid w:val="00833D81"/>
    <w:rsid w:val="00833E16"/>
    <w:rsid w:val="0083401F"/>
    <w:rsid w:val="00834064"/>
    <w:rsid w:val="008342F3"/>
    <w:rsid w:val="008343D0"/>
    <w:rsid w:val="0083453F"/>
    <w:rsid w:val="008346A5"/>
    <w:rsid w:val="0083481E"/>
    <w:rsid w:val="00834BD2"/>
    <w:rsid w:val="00834C46"/>
    <w:rsid w:val="00834D05"/>
    <w:rsid w:val="00834E81"/>
    <w:rsid w:val="008351E3"/>
    <w:rsid w:val="008351E4"/>
    <w:rsid w:val="008354E1"/>
    <w:rsid w:val="00835A8B"/>
    <w:rsid w:val="00835FD5"/>
    <w:rsid w:val="00835FFE"/>
    <w:rsid w:val="0083619D"/>
    <w:rsid w:val="00836388"/>
    <w:rsid w:val="008365E6"/>
    <w:rsid w:val="00836882"/>
    <w:rsid w:val="00836A89"/>
    <w:rsid w:val="00836AF8"/>
    <w:rsid w:val="00836B5F"/>
    <w:rsid w:val="00836D46"/>
    <w:rsid w:val="00837218"/>
    <w:rsid w:val="00837384"/>
    <w:rsid w:val="008374CC"/>
    <w:rsid w:val="00837547"/>
    <w:rsid w:val="00837556"/>
    <w:rsid w:val="00837B4A"/>
    <w:rsid w:val="00837C36"/>
    <w:rsid w:val="00837DE7"/>
    <w:rsid w:val="008400AA"/>
    <w:rsid w:val="008401AE"/>
    <w:rsid w:val="008403A4"/>
    <w:rsid w:val="00840549"/>
    <w:rsid w:val="008406A9"/>
    <w:rsid w:val="00840E84"/>
    <w:rsid w:val="00841026"/>
    <w:rsid w:val="008412ED"/>
    <w:rsid w:val="008413FC"/>
    <w:rsid w:val="00841581"/>
    <w:rsid w:val="008415FD"/>
    <w:rsid w:val="0084185B"/>
    <w:rsid w:val="0084185D"/>
    <w:rsid w:val="00841B6F"/>
    <w:rsid w:val="00841F42"/>
    <w:rsid w:val="00841F9E"/>
    <w:rsid w:val="0084251A"/>
    <w:rsid w:val="00842838"/>
    <w:rsid w:val="00842882"/>
    <w:rsid w:val="00842A54"/>
    <w:rsid w:val="00842E03"/>
    <w:rsid w:val="00843088"/>
    <w:rsid w:val="0084313A"/>
    <w:rsid w:val="00843162"/>
    <w:rsid w:val="0084317F"/>
    <w:rsid w:val="0084364C"/>
    <w:rsid w:val="008439E6"/>
    <w:rsid w:val="008439FD"/>
    <w:rsid w:val="00843A7E"/>
    <w:rsid w:val="00843B43"/>
    <w:rsid w:val="00843B51"/>
    <w:rsid w:val="00843E46"/>
    <w:rsid w:val="00843EAA"/>
    <w:rsid w:val="00843F7A"/>
    <w:rsid w:val="0084424D"/>
    <w:rsid w:val="00844283"/>
    <w:rsid w:val="008446A9"/>
    <w:rsid w:val="0084475C"/>
    <w:rsid w:val="00844786"/>
    <w:rsid w:val="008447A7"/>
    <w:rsid w:val="00844A1E"/>
    <w:rsid w:val="00844BB4"/>
    <w:rsid w:val="00844D43"/>
    <w:rsid w:val="00844FF9"/>
    <w:rsid w:val="008451E3"/>
    <w:rsid w:val="008454D2"/>
    <w:rsid w:val="0084555F"/>
    <w:rsid w:val="00845600"/>
    <w:rsid w:val="008457AA"/>
    <w:rsid w:val="00845DC0"/>
    <w:rsid w:val="00845DED"/>
    <w:rsid w:val="008462E9"/>
    <w:rsid w:val="00846320"/>
    <w:rsid w:val="00846388"/>
    <w:rsid w:val="00846687"/>
    <w:rsid w:val="0084672A"/>
    <w:rsid w:val="008468EB"/>
    <w:rsid w:val="00846B5B"/>
    <w:rsid w:val="00846C1A"/>
    <w:rsid w:val="0084706F"/>
    <w:rsid w:val="008470AA"/>
    <w:rsid w:val="00847399"/>
    <w:rsid w:val="008473E1"/>
    <w:rsid w:val="00847480"/>
    <w:rsid w:val="0084761F"/>
    <w:rsid w:val="008476E8"/>
    <w:rsid w:val="008477E9"/>
    <w:rsid w:val="008478A7"/>
    <w:rsid w:val="00847CF6"/>
    <w:rsid w:val="00847E94"/>
    <w:rsid w:val="00847EDB"/>
    <w:rsid w:val="00850039"/>
    <w:rsid w:val="00850147"/>
    <w:rsid w:val="008501D4"/>
    <w:rsid w:val="00850804"/>
    <w:rsid w:val="008508ED"/>
    <w:rsid w:val="00850A6A"/>
    <w:rsid w:val="00850DEF"/>
    <w:rsid w:val="00851508"/>
    <w:rsid w:val="00851914"/>
    <w:rsid w:val="00851F83"/>
    <w:rsid w:val="00852179"/>
    <w:rsid w:val="00852223"/>
    <w:rsid w:val="008522D4"/>
    <w:rsid w:val="008524F8"/>
    <w:rsid w:val="00852694"/>
    <w:rsid w:val="0085274F"/>
    <w:rsid w:val="008528D4"/>
    <w:rsid w:val="00852B6A"/>
    <w:rsid w:val="00852FAF"/>
    <w:rsid w:val="008531B6"/>
    <w:rsid w:val="0085347E"/>
    <w:rsid w:val="008536D9"/>
    <w:rsid w:val="00853764"/>
    <w:rsid w:val="008537B0"/>
    <w:rsid w:val="0085388A"/>
    <w:rsid w:val="00853B4F"/>
    <w:rsid w:val="00853D62"/>
    <w:rsid w:val="00853D9E"/>
    <w:rsid w:val="00853F46"/>
    <w:rsid w:val="00854475"/>
    <w:rsid w:val="008544A4"/>
    <w:rsid w:val="008544D1"/>
    <w:rsid w:val="00854819"/>
    <w:rsid w:val="00854A12"/>
    <w:rsid w:val="00854CCA"/>
    <w:rsid w:val="00855101"/>
    <w:rsid w:val="00855A70"/>
    <w:rsid w:val="00855AA1"/>
    <w:rsid w:val="00855CEF"/>
    <w:rsid w:val="00856100"/>
    <w:rsid w:val="008562B4"/>
    <w:rsid w:val="008566D2"/>
    <w:rsid w:val="0085678E"/>
    <w:rsid w:val="008568DD"/>
    <w:rsid w:val="00856B7D"/>
    <w:rsid w:val="00856BDD"/>
    <w:rsid w:val="00856C2B"/>
    <w:rsid w:val="00856CC9"/>
    <w:rsid w:val="00856E62"/>
    <w:rsid w:val="0085724A"/>
    <w:rsid w:val="008572A3"/>
    <w:rsid w:val="00857365"/>
    <w:rsid w:val="0085753F"/>
    <w:rsid w:val="008577B6"/>
    <w:rsid w:val="008578F7"/>
    <w:rsid w:val="0085795A"/>
    <w:rsid w:val="00857BBC"/>
    <w:rsid w:val="00857BF9"/>
    <w:rsid w:val="00857CB1"/>
    <w:rsid w:val="00857D5B"/>
    <w:rsid w:val="00857DD8"/>
    <w:rsid w:val="00857F37"/>
    <w:rsid w:val="00857FA4"/>
    <w:rsid w:val="00857FC2"/>
    <w:rsid w:val="00857FD2"/>
    <w:rsid w:val="0086015B"/>
    <w:rsid w:val="00860647"/>
    <w:rsid w:val="008607AB"/>
    <w:rsid w:val="008607D1"/>
    <w:rsid w:val="008607F4"/>
    <w:rsid w:val="00860819"/>
    <w:rsid w:val="008608BD"/>
    <w:rsid w:val="00860BCB"/>
    <w:rsid w:val="00860E8D"/>
    <w:rsid w:val="0086129A"/>
    <w:rsid w:val="00861342"/>
    <w:rsid w:val="008616B4"/>
    <w:rsid w:val="008616C5"/>
    <w:rsid w:val="008619E7"/>
    <w:rsid w:val="00861AD1"/>
    <w:rsid w:val="00861B30"/>
    <w:rsid w:val="00861B80"/>
    <w:rsid w:val="00861D29"/>
    <w:rsid w:val="00861DAB"/>
    <w:rsid w:val="00861F36"/>
    <w:rsid w:val="0086257B"/>
    <w:rsid w:val="008628B0"/>
    <w:rsid w:val="008629DE"/>
    <w:rsid w:val="00862DDB"/>
    <w:rsid w:val="00862DE4"/>
    <w:rsid w:val="00862F17"/>
    <w:rsid w:val="00863181"/>
    <w:rsid w:val="00863294"/>
    <w:rsid w:val="0086355C"/>
    <w:rsid w:val="0086366E"/>
    <w:rsid w:val="00863702"/>
    <w:rsid w:val="008638D1"/>
    <w:rsid w:val="0086396F"/>
    <w:rsid w:val="00863B70"/>
    <w:rsid w:val="00864093"/>
    <w:rsid w:val="008642ED"/>
    <w:rsid w:val="0086441F"/>
    <w:rsid w:val="0086442D"/>
    <w:rsid w:val="00864457"/>
    <w:rsid w:val="008644A6"/>
    <w:rsid w:val="0086484C"/>
    <w:rsid w:val="00864B19"/>
    <w:rsid w:val="00864B38"/>
    <w:rsid w:val="00864BF9"/>
    <w:rsid w:val="00864C5D"/>
    <w:rsid w:val="0086504A"/>
    <w:rsid w:val="008650B5"/>
    <w:rsid w:val="0086516A"/>
    <w:rsid w:val="008651D8"/>
    <w:rsid w:val="008651E9"/>
    <w:rsid w:val="008652B3"/>
    <w:rsid w:val="008655FF"/>
    <w:rsid w:val="008656FA"/>
    <w:rsid w:val="008657E0"/>
    <w:rsid w:val="008659B8"/>
    <w:rsid w:val="00865AE1"/>
    <w:rsid w:val="00865D09"/>
    <w:rsid w:val="0086629D"/>
    <w:rsid w:val="00866625"/>
    <w:rsid w:val="00866998"/>
    <w:rsid w:val="00866F93"/>
    <w:rsid w:val="00867359"/>
    <w:rsid w:val="008675C9"/>
    <w:rsid w:val="00867702"/>
    <w:rsid w:val="00867770"/>
    <w:rsid w:val="00867802"/>
    <w:rsid w:val="00867839"/>
    <w:rsid w:val="008678E0"/>
    <w:rsid w:val="0086792D"/>
    <w:rsid w:val="00867A79"/>
    <w:rsid w:val="00867D17"/>
    <w:rsid w:val="00867D2E"/>
    <w:rsid w:val="0087006D"/>
    <w:rsid w:val="00870127"/>
    <w:rsid w:val="008701E3"/>
    <w:rsid w:val="0087020D"/>
    <w:rsid w:val="0087064F"/>
    <w:rsid w:val="0087083E"/>
    <w:rsid w:val="008709E0"/>
    <w:rsid w:val="00870B1C"/>
    <w:rsid w:val="00870D5D"/>
    <w:rsid w:val="00870E64"/>
    <w:rsid w:val="008710BB"/>
    <w:rsid w:val="00871596"/>
    <w:rsid w:val="008715C6"/>
    <w:rsid w:val="008717C0"/>
    <w:rsid w:val="008718C2"/>
    <w:rsid w:val="00871D57"/>
    <w:rsid w:val="0087219C"/>
    <w:rsid w:val="008722E3"/>
    <w:rsid w:val="008723D0"/>
    <w:rsid w:val="0087247A"/>
    <w:rsid w:val="008724D0"/>
    <w:rsid w:val="0087251F"/>
    <w:rsid w:val="008729BD"/>
    <w:rsid w:val="008729F8"/>
    <w:rsid w:val="00872B69"/>
    <w:rsid w:val="00872C99"/>
    <w:rsid w:val="00872D74"/>
    <w:rsid w:val="00872DCA"/>
    <w:rsid w:val="00872EAE"/>
    <w:rsid w:val="0087314B"/>
    <w:rsid w:val="008731C6"/>
    <w:rsid w:val="00873750"/>
    <w:rsid w:val="0087387C"/>
    <w:rsid w:val="00873F57"/>
    <w:rsid w:val="008742A7"/>
    <w:rsid w:val="00874C55"/>
    <w:rsid w:val="0087508E"/>
    <w:rsid w:val="008753D6"/>
    <w:rsid w:val="00875AF8"/>
    <w:rsid w:val="00875D1F"/>
    <w:rsid w:val="00875DA4"/>
    <w:rsid w:val="008761BB"/>
    <w:rsid w:val="00876220"/>
    <w:rsid w:val="008762D5"/>
    <w:rsid w:val="008763DF"/>
    <w:rsid w:val="008763EE"/>
    <w:rsid w:val="00876619"/>
    <w:rsid w:val="008767EB"/>
    <w:rsid w:val="00876900"/>
    <w:rsid w:val="0087698F"/>
    <w:rsid w:val="00876AC0"/>
    <w:rsid w:val="00876BD2"/>
    <w:rsid w:val="00876F75"/>
    <w:rsid w:val="00876FF5"/>
    <w:rsid w:val="00877347"/>
    <w:rsid w:val="00877568"/>
    <w:rsid w:val="008775D1"/>
    <w:rsid w:val="00877DB8"/>
    <w:rsid w:val="00877F9F"/>
    <w:rsid w:val="00880370"/>
    <w:rsid w:val="00880858"/>
    <w:rsid w:val="00880FA2"/>
    <w:rsid w:val="008813CE"/>
    <w:rsid w:val="008816F8"/>
    <w:rsid w:val="008816FA"/>
    <w:rsid w:val="00881724"/>
    <w:rsid w:val="00881A80"/>
    <w:rsid w:val="00881E2C"/>
    <w:rsid w:val="00881E8E"/>
    <w:rsid w:val="00881E8F"/>
    <w:rsid w:val="008820EA"/>
    <w:rsid w:val="008820F3"/>
    <w:rsid w:val="00882189"/>
    <w:rsid w:val="0088225C"/>
    <w:rsid w:val="0088229D"/>
    <w:rsid w:val="00882600"/>
    <w:rsid w:val="00882A91"/>
    <w:rsid w:val="00882D01"/>
    <w:rsid w:val="00882D20"/>
    <w:rsid w:val="0088351B"/>
    <w:rsid w:val="00883826"/>
    <w:rsid w:val="008839B8"/>
    <w:rsid w:val="00883A90"/>
    <w:rsid w:val="00884306"/>
    <w:rsid w:val="0088464F"/>
    <w:rsid w:val="0088488F"/>
    <w:rsid w:val="00884943"/>
    <w:rsid w:val="00884A51"/>
    <w:rsid w:val="00884DDC"/>
    <w:rsid w:val="00884EBE"/>
    <w:rsid w:val="00884F17"/>
    <w:rsid w:val="0088508C"/>
    <w:rsid w:val="00885167"/>
    <w:rsid w:val="00885199"/>
    <w:rsid w:val="00885253"/>
    <w:rsid w:val="008852C5"/>
    <w:rsid w:val="008853CA"/>
    <w:rsid w:val="008856EE"/>
    <w:rsid w:val="008857D6"/>
    <w:rsid w:val="008857F3"/>
    <w:rsid w:val="00885EB8"/>
    <w:rsid w:val="00886335"/>
    <w:rsid w:val="00886387"/>
    <w:rsid w:val="00886551"/>
    <w:rsid w:val="00886597"/>
    <w:rsid w:val="008865EE"/>
    <w:rsid w:val="008868A8"/>
    <w:rsid w:val="00886AE3"/>
    <w:rsid w:val="00886B79"/>
    <w:rsid w:val="00886CB1"/>
    <w:rsid w:val="00886CBB"/>
    <w:rsid w:val="00886DDB"/>
    <w:rsid w:val="00886E52"/>
    <w:rsid w:val="00886EDF"/>
    <w:rsid w:val="008871AB"/>
    <w:rsid w:val="008871D3"/>
    <w:rsid w:val="00887546"/>
    <w:rsid w:val="0088779A"/>
    <w:rsid w:val="008877E3"/>
    <w:rsid w:val="00887B9A"/>
    <w:rsid w:val="008901EC"/>
    <w:rsid w:val="00890398"/>
    <w:rsid w:val="008903CE"/>
    <w:rsid w:val="0089041F"/>
    <w:rsid w:val="00890696"/>
    <w:rsid w:val="008906C5"/>
    <w:rsid w:val="0089079B"/>
    <w:rsid w:val="00890966"/>
    <w:rsid w:val="00890A50"/>
    <w:rsid w:val="00890A67"/>
    <w:rsid w:val="00890C43"/>
    <w:rsid w:val="00890E62"/>
    <w:rsid w:val="008916E8"/>
    <w:rsid w:val="00891999"/>
    <w:rsid w:val="00891E78"/>
    <w:rsid w:val="008921A7"/>
    <w:rsid w:val="00892688"/>
    <w:rsid w:val="00892834"/>
    <w:rsid w:val="00892DE6"/>
    <w:rsid w:val="00893753"/>
    <w:rsid w:val="008937E2"/>
    <w:rsid w:val="0089389B"/>
    <w:rsid w:val="008939C3"/>
    <w:rsid w:val="00893CC7"/>
    <w:rsid w:val="00893CD4"/>
    <w:rsid w:val="00893CF0"/>
    <w:rsid w:val="00893F11"/>
    <w:rsid w:val="008940CC"/>
    <w:rsid w:val="00894142"/>
    <w:rsid w:val="00894235"/>
    <w:rsid w:val="00894559"/>
    <w:rsid w:val="00894636"/>
    <w:rsid w:val="0089466E"/>
    <w:rsid w:val="00894711"/>
    <w:rsid w:val="00894888"/>
    <w:rsid w:val="00894B2A"/>
    <w:rsid w:val="00894BA1"/>
    <w:rsid w:val="00894BF5"/>
    <w:rsid w:val="00894C96"/>
    <w:rsid w:val="00894F07"/>
    <w:rsid w:val="00895219"/>
    <w:rsid w:val="00895297"/>
    <w:rsid w:val="0089536E"/>
    <w:rsid w:val="0089565C"/>
    <w:rsid w:val="00895694"/>
    <w:rsid w:val="008956A5"/>
    <w:rsid w:val="0089588A"/>
    <w:rsid w:val="00895BFA"/>
    <w:rsid w:val="00896032"/>
    <w:rsid w:val="00896041"/>
    <w:rsid w:val="0089605D"/>
    <w:rsid w:val="00896116"/>
    <w:rsid w:val="0089626C"/>
    <w:rsid w:val="0089629D"/>
    <w:rsid w:val="008962C2"/>
    <w:rsid w:val="0089647F"/>
    <w:rsid w:val="00896812"/>
    <w:rsid w:val="00896A70"/>
    <w:rsid w:val="00896E28"/>
    <w:rsid w:val="0089704D"/>
    <w:rsid w:val="00897154"/>
    <w:rsid w:val="008976E8"/>
    <w:rsid w:val="0089774D"/>
    <w:rsid w:val="00897B50"/>
    <w:rsid w:val="00897F19"/>
    <w:rsid w:val="008A07B2"/>
    <w:rsid w:val="008A082F"/>
    <w:rsid w:val="008A0A0B"/>
    <w:rsid w:val="008A0A22"/>
    <w:rsid w:val="008A0E7C"/>
    <w:rsid w:val="008A100C"/>
    <w:rsid w:val="008A1048"/>
    <w:rsid w:val="008A14C6"/>
    <w:rsid w:val="008A16B4"/>
    <w:rsid w:val="008A17B7"/>
    <w:rsid w:val="008A17D1"/>
    <w:rsid w:val="008A17D7"/>
    <w:rsid w:val="008A18E6"/>
    <w:rsid w:val="008A19CF"/>
    <w:rsid w:val="008A1AAF"/>
    <w:rsid w:val="008A1CA3"/>
    <w:rsid w:val="008A1F23"/>
    <w:rsid w:val="008A205F"/>
    <w:rsid w:val="008A221F"/>
    <w:rsid w:val="008A22E7"/>
    <w:rsid w:val="008A234B"/>
    <w:rsid w:val="008A2592"/>
    <w:rsid w:val="008A25D6"/>
    <w:rsid w:val="008A28DA"/>
    <w:rsid w:val="008A30E0"/>
    <w:rsid w:val="008A318B"/>
    <w:rsid w:val="008A34B3"/>
    <w:rsid w:val="008A3920"/>
    <w:rsid w:val="008A3B08"/>
    <w:rsid w:val="008A3B32"/>
    <w:rsid w:val="008A3B35"/>
    <w:rsid w:val="008A3F5A"/>
    <w:rsid w:val="008A40FA"/>
    <w:rsid w:val="008A42D2"/>
    <w:rsid w:val="008A484F"/>
    <w:rsid w:val="008A4980"/>
    <w:rsid w:val="008A49F8"/>
    <w:rsid w:val="008A4D8A"/>
    <w:rsid w:val="008A4DE0"/>
    <w:rsid w:val="008A4E6F"/>
    <w:rsid w:val="008A5172"/>
    <w:rsid w:val="008A554F"/>
    <w:rsid w:val="008A565C"/>
    <w:rsid w:val="008A5824"/>
    <w:rsid w:val="008A5834"/>
    <w:rsid w:val="008A59FF"/>
    <w:rsid w:val="008A5BCA"/>
    <w:rsid w:val="008A5C3B"/>
    <w:rsid w:val="008A5FA2"/>
    <w:rsid w:val="008A6071"/>
    <w:rsid w:val="008A652C"/>
    <w:rsid w:val="008A65EB"/>
    <w:rsid w:val="008A689A"/>
    <w:rsid w:val="008A694B"/>
    <w:rsid w:val="008A6C21"/>
    <w:rsid w:val="008A6F22"/>
    <w:rsid w:val="008A71CB"/>
    <w:rsid w:val="008A72C8"/>
    <w:rsid w:val="008A736F"/>
    <w:rsid w:val="008A73CE"/>
    <w:rsid w:val="008A7520"/>
    <w:rsid w:val="008A7584"/>
    <w:rsid w:val="008A7889"/>
    <w:rsid w:val="008A7A48"/>
    <w:rsid w:val="008A7B2D"/>
    <w:rsid w:val="008A7BA3"/>
    <w:rsid w:val="008A7C80"/>
    <w:rsid w:val="008A7DF0"/>
    <w:rsid w:val="008A7E10"/>
    <w:rsid w:val="008B0029"/>
    <w:rsid w:val="008B018B"/>
    <w:rsid w:val="008B021F"/>
    <w:rsid w:val="008B04F9"/>
    <w:rsid w:val="008B09B1"/>
    <w:rsid w:val="008B0D58"/>
    <w:rsid w:val="008B1326"/>
    <w:rsid w:val="008B13CC"/>
    <w:rsid w:val="008B1573"/>
    <w:rsid w:val="008B178F"/>
    <w:rsid w:val="008B1D25"/>
    <w:rsid w:val="008B1E57"/>
    <w:rsid w:val="008B1FB5"/>
    <w:rsid w:val="008B214F"/>
    <w:rsid w:val="008B226E"/>
    <w:rsid w:val="008B24EE"/>
    <w:rsid w:val="008B26CC"/>
    <w:rsid w:val="008B27D8"/>
    <w:rsid w:val="008B2907"/>
    <w:rsid w:val="008B2921"/>
    <w:rsid w:val="008B2931"/>
    <w:rsid w:val="008B2986"/>
    <w:rsid w:val="008B29A5"/>
    <w:rsid w:val="008B2A7C"/>
    <w:rsid w:val="008B2B50"/>
    <w:rsid w:val="008B2D3A"/>
    <w:rsid w:val="008B309E"/>
    <w:rsid w:val="008B3126"/>
    <w:rsid w:val="008B32E2"/>
    <w:rsid w:val="008B3495"/>
    <w:rsid w:val="008B37E4"/>
    <w:rsid w:val="008B3914"/>
    <w:rsid w:val="008B3CD1"/>
    <w:rsid w:val="008B40F3"/>
    <w:rsid w:val="008B41D1"/>
    <w:rsid w:val="008B433F"/>
    <w:rsid w:val="008B4600"/>
    <w:rsid w:val="008B4762"/>
    <w:rsid w:val="008B4818"/>
    <w:rsid w:val="008B4B4E"/>
    <w:rsid w:val="008B4BED"/>
    <w:rsid w:val="008B4C6B"/>
    <w:rsid w:val="008B4CDA"/>
    <w:rsid w:val="008B4CE9"/>
    <w:rsid w:val="008B4D3D"/>
    <w:rsid w:val="008B4EF0"/>
    <w:rsid w:val="008B52D6"/>
    <w:rsid w:val="008B52F9"/>
    <w:rsid w:val="008B5309"/>
    <w:rsid w:val="008B55A3"/>
    <w:rsid w:val="008B59E8"/>
    <w:rsid w:val="008B5DC0"/>
    <w:rsid w:val="008B5F84"/>
    <w:rsid w:val="008B5FBA"/>
    <w:rsid w:val="008B615C"/>
    <w:rsid w:val="008B6367"/>
    <w:rsid w:val="008B659D"/>
    <w:rsid w:val="008B6707"/>
    <w:rsid w:val="008B68C9"/>
    <w:rsid w:val="008B6C78"/>
    <w:rsid w:val="008B6E7D"/>
    <w:rsid w:val="008B6F67"/>
    <w:rsid w:val="008B7020"/>
    <w:rsid w:val="008B7123"/>
    <w:rsid w:val="008B7219"/>
    <w:rsid w:val="008B7272"/>
    <w:rsid w:val="008B7499"/>
    <w:rsid w:val="008B7647"/>
    <w:rsid w:val="008B76AE"/>
    <w:rsid w:val="008B76CC"/>
    <w:rsid w:val="008B789C"/>
    <w:rsid w:val="008B7B57"/>
    <w:rsid w:val="008B7D77"/>
    <w:rsid w:val="008C045C"/>
    <w:rsid w:val="008C049C"/>
    <w:rsid w:val="008C060A"/>
    <w:rsid w:val="008C0641"/>
    <w:rsid w:val="008C06D8"/>
    <w:rsid w:val="008C134E"/>
    <w:rsid w:val="008C1542"/>
    <w:rsid w:val="008C166D"/>
    <w:rsid w:val="008C1769"/>
    <w:rsid w:val="008C17C4"/>
    <w:rsid w:val="008C1BC1"/>
    <w:rsid w:val="008C1C21"/>
    <w:rsid w:val="008C1D2B"/>
    <w:rsid w:val="008C1DAB"/>
    <w:rsid w:val="008C1E13"/>
    <w:rsid w:val="008C205F"/>
    <w:rsid w:val="008C240D"/>
    <w:rsid w:val="008C24CA"/>
    <w:rsid w:val="008C28B2"/>
    <w:rsid w:val="008C2DA0"/>
    <w:rsid w:val="008C2F51"/>
    <w:rsid w:val="008C3068"/>
    <w:rsid w:val="008C367D"/>
    <w:rsid w:val="008C3743"/>
    <w:rsid w:val="008C3BEC"/>
    <w:rsid w:val="008C3E70"/>
    <w:rsid w:val="008C3F53"/>
    <w:rsid w:val="008C408B"/>
    <w:rsid w:val="008C40CF"/>
    <w:rsid w:val="008C42FC"/>
    <w:rsid w:val="008C4303"/>
    <w:rsid w:val="008C44FA"/>
    <w:rsid w:val="008C4941"/>
    <w:rsid w:val="008C497B"/>
    <w:rsid w:val="008C49DC"/>
    <w:rsid w:val="008C4A5A"/>
    <w:rsid w:val="008C4E29"/>
    <w:rsid w:val="008C53CC"/>
    <w:rsid w:val="008C5417"/>
    <w:rsid w:val="008C597B"/>
    <w:rsid w:val="008C5FE0"/>
    <w:rsid w:val="008C6180"/>
    <w:rsid w:val="008C6197"/>
    <w:rsid w:val="008C6244"/>
    <w:rsid w:val="008C6833"/>
    <w:rsid w:val="008C6B51"/>
    <w:rsid w:val="008C6BDA"/>
    <w:rsid w:val="008C6E45"/>
    <w:rsid w:val="008C6EA5"/>
    <w:rsid w:val="008C7101"/>
    <w:rsid w:val="008C73C7"/>
    <w:rsid w:val="008C7675"/>
    <w:rsid w:val="008C76A6"/>
    <w:rsid w:val="008C7728"/>
    <w:rsid w:val="008C79D8"/>
    <w:rsid w:val="008C7AE1"/>
    <w:rsid w:val="008C7B0E"/>
    <w:rsid w:val="008C7DDB"/>
    <w:rsid w:val="008D006C"/>
    <w:rsid w:val="008D03B3"/>
    <w:rsid w:val="008D05DF"/>
    <w:rsid w:val="008D0788"/>
    <w:rsid w:val="008D08FF"/>
    <w:rsid w:val="008D0BE9"/>
    <w:rsid w:val="008D0CAC"/>
    <w:rsid w:val="008D0F6A"/>
    <w:rsid w:val="008D100B"/>
    <w:rsid w:val="008D10DE"/>
    <w:rsid w:val="008D13BD"/>
    <w:rsid w:val="008D17D7"/>
    <w:rsid w:val="008D1949"/>
    <w:rsid w:val="008D1AAD"/>
    <w:rsid w:val="008D1BE0"/>
    <w:rsid w:val="008D1C25"/>
    <w:rsid w:val="008D1E9F"/>
    <w:rsid w:val="008D1F83"/>
    <w:rsid w:val="008D230E"/>
    <w:rsid w:val="008D249D"/>
    <w:rsid w:val="008D24D0"/>
    <w:rsid w:val="008D287F"/>
    <w:rsid w:val="008D2A90"/>
    <w:rsid w:val="008D2E22"/>
    <w:rsid w:val="008D2EB2"/>
    <w:rsid w:val="008D2FCB"/>
    <w:rsid w:val="008D3072"/>
    <w:rsid w:val="008D352A"/>
    <w:rsid w:val="008D3569"/>
    <w:rsid w:val="008D35AB"/>
    <w:rsid w:val="008D3731"/>
    <w:rsid w:val="008D3821"/>
    <w:rsid w:val="008D39DC"/>
    <w:rsid w:val="008D4114"/>
    <w:rsid w:val="008D46FF"/>
    <w:rsid w:val="008D4793"/>
    <w:rsid w:val="008D4B64"/>
    <w:rsid w:val="008D4DCB"/>
    <w:rsid w:val="008D5151"/>
    <w:rsid w:val="008D534B"/>
    <w:rsid w:val="008D54BC"/>
    <w:rsid w:val="008D5649"/>
    <w:rsid w:val="008D588B"/>
    <w:rsid w:val="008D5983"/>
    <w:rsid w:val="008D59B4"/>
    <w:rsid w:val="008D5A95"/>
    <w:rsid w:val="008D5AE5"/>
    <w:rsid w:val="008D5AFD"/>
    <w:rsid w:val="008D5B02"/>
    <w:rsid w:val="008D5CA7"/>
    <w:rsid w:val="008D6080"/>
    <w:rsid w:val="008D60AC"/>
    <w:rsid w:val="008D60DB"/>
    <w:rsid w:val="008D6297"/>
    <w:rsid w:val="008D6467"/>
    <w:rsid w:val="008D653A"/>
    <w:rsid w:val="008D660E"/>
    <w:rsid w:val="008D68DB"/>
    <w:rsid w:val="008D6D07"/>
    <w:rsid w:val="008D6FCD"/>
    <w:rsid w:val="008D70AF"/>
    <w:rsid w:val="008D78C4"/>
    <w:rsid w:val="008D7BBB"/>
    <w:rsid w:val="008D7EB4"/>
    <w:rsid w:val="008D7EF3"/>
    <w:rsid w:val="008D7F6D"/>
    <w:rsid w:val="008E00C4"/>
    <w:rsid w:val="008E03F3"/>
    <w:rsid w:val="008E03FD"/>
    <w:rsid w:val="008E0788"/>
    <w:rsid w:val="008E07FF"/>
    <w:rsid w:val="008E0824"/>
    <w:rsid w:val="008E0908"/>
    <w:rsid w:val="008E170B"/>
    <w:rsid w:val="008E1859"/>
    <w:rsid w:val="008E1AE6"/>
    <w:rsid w:val="008E1C6E"/>
    <w:rsid w:val="008E1D0F"/>
    <w:rsid w:val="008E1EA2"/>
    <w:rsid w:val="008E22F2"/>
    <w:rsid w:val="008E2372"/>
    <w:rsid w:val="008E2515"/>
    <w:rsid w:val="008E2523"/>
    <w:rsid w:val="008E2633"/>
    <w:rsid w:val="008E2664"/>
    <w:rsid w:val="008E30F4"/>
    <w:rsid w:val="008E3436"/>
    <w:rsid w:val="008E3494"/>
    <w:rsid w:val="008E367D"/>
    <w:rsid w:val="008E3877"/>
    <w:rsid w:val="008E38D1"/>
    <w:rsid w:val="008E3AD0"/>
    <w:rsid w:val="008E3E76"/>
    <w:rsid w:val="008E42B8"/>
    <w:rsid w:val="008E47E3"/>
    <w:rsid w:val="008E49E6"/>
    <w:rsid w:val="008E4A8D"/>
    <w:rsid w:val="008E4BDC"/>
    <w:rsid w:val="008E5278"/>
    <w:rsid w:val="008E5303"/>
    <w:rsid w:val="008E54A6"/>
    <w:rsid w:val="008E5517"/>
    <w:rsid w:val="008E55FA"/>
    <w:rsid w:val="008E583B"/>
    <w:rsid w:val="008E589A"/>
    <w:rsid w:val="008E5A5C"/>
    <w:rsid w:val="008E5BCA"/>
    <w:rsid w:val="008E5E7B"/>
    <w:rsid w:val="008E5FA9"/>
    <w:rsid w:val="008E600A"/>
    <w:rsid w:val="008E603B"/>
    <w:rsid w:val="008E61F7"/>
    <w:rsid w:val="008E6246"/>
    <w:rsid w:val="008E6419"/>
    <w:rsid w:val="008E648D"/>
    <w:rsid w:val="008E6531"/>
    <w:rsid w:val="008E663D"/>
    <w:rsid w:val="008E6675"/>
    <w:rsid w:val="008E675D"/>
    <w:rsid w:val="008E6B5B"/>
    <w:rsid w:val="008E6D0C"/>
    <w:rsid w:val="008E6DD1"/>
    <w:rsid w:val="008E7301"/>
    <w:rsid w:val="008E7899"/>
    <w:rsid w:val="008E79B1"/>
    <w:rsid w:val="008E7A0F"/>
    <w:rsid w:val="008E7F03"/>
    <w:rsid w:val="008F01DC"/>
    <w:rsid w:val="008F0258"/>
    <w:rsid w:val="008F0315"/>
    <w:rsid w:val="008F04BB"/>
    <w:rsid w:val="008F05BD"/>
    <w:rsid w:val="008F05FF"/>
    <w:rsid w:val="008F075E"/>
    <w:rsid w:val="008F0802"/>
    <w:rsid w:val="008F0A5C"/>
    <w:rsid w:val="008F0C05"/>
    <w:rsid w:val="008F0C09"/>
    <w:rsid w:val="008F0C94"/>
    <w:rsid w:val="008F0D5F"/>
    <w:rsid w:val="008F1073"/>
    <w:rsid w:val="008F1100"/>
    <w:rsid w:val="008F151A"/>
    <w:rsid w:val="008F169F"/>
    <w:rsid w:val="008F19C3"/>
    <w:rsid w:val="008F1BDF"/>
    <w:rsid w:val="008F1E16"/>
    <w:rsid w:val="008F2016"/>
    <w:rsid w:val="008F2045"/>
    <w:rsid w:val="008F20D1"/>
    <w:rsid w:val="008F2365"/>
    <w:rsid w:val="008F2900"/>
    <w:rsid w:val="008F2BC4"/>
    <w:rsid w:val="008F2D78"/>
    <w:rsid w:val="008F2F54"/>
    <w:rsid w:val="008F3043"/>
    <w:rsid w:val="008F35F1"/>
    <w:rsid w:val="008F3989"/>
    <w:rsid w:val="008F3A4E"/>
    <w:rsid w:val="008F3AAD"/>
    <w:rsid w:val="008F3C0A"/>
    <w:rsid w:val="008F4122"/>
    <w:rsid w:val="008F4516"/>
    <w:rsid w:val="008F45D9"/>
    <w:rsid w:val="008F48B1"/>
    <w:rsid w:val="008F4B35"/>
    <w:rsid w:val="008F4B45"/>
    <w:rsid w:val="008F4EAE"/>
    <w:rsid w:val="008F4F83"/>
    <w:rsid w:val="008F51FD"/>
    <w:rsid w:val="008F52BF"/>
    <w:rsid w:val="008F568A"/>
    <w:rsid w:val="008F56BD"/>
    <w:rsid w:val="008F5790"/>
    <w:rsid w:val="008F5A8B"/>
    <w:rsid w:val="008F5DA0"/>
    <w:rsid w:val="008F5DED"/>
    <w:rsid w:val="008F5FE7"/>
    <w:rsid w:val="008F62DD"/>
    <w:rsid w:val="008F67E0"/>
    <w:rsid w:val="008F6B32"/>
    <w:rsid w:val="008F6E52"/>
    <w:rsid w:val="008F6E8E"/>
    <w:rsid w:val="008F7383"/>
    <w:rsid w:val="008F7609"/>
    <w:rsid w:val="008F77C0"/>
    <w:rsid w:val="008F7B62"/>
    <w:rsid w:val="008F7BEC"/>
    <w:rsid w:val="008F7DB4"/>
    <w:rsid w:val="00900103"/>
    <w:rsid w:val="0090031F"/>
    <w:rsid w:val="0090034E"/>
    <w:rsid w:val="00900670"/>
    <w:rsid w:val="009007E2"/>
    <w:rsid w:val="00900A3F"/>
    <w:rsid w:val="00900A6D"/>
    <w:rsid w:val="00900C1F"/>
    <w:rsid w:val="00900C34"/>
    <w:rsid w:val="00900D42"/>
    <w:rsid w:val="00900DE1"/>
    <w:rsid w:val="00900E10"/>
    <w:rsid w:val="00900FD7"/>
    <w:rsid w:val="00901156"/>
    <w:rsid w:val="00901299"/>
    <w:rsid w:val="00901384"/>
    <w:rsid w:val="009014DD"/>
    <w:rsid w:val="0090164D"/>
    <w:rsid w:val="009016D3"/>
    <w:rsid w:val="00901957"/>
    <w:rsid w:val="00901AFD"/>
    <w:rsid w:val="00901F57"/>
    <w:rsid w:val="00901F8D"/>
    <w:rsid w:val="00901FF1"/>
    <w:rsid w:val="009020DC"/>
    <w:rsid w:val="009021DA"/>
    <w:rsid w:val="009022A1"/>
    <w:rsid w:val="0090273F"/>
    <w:rsid w:val="00902750"/>
    <w:rsid w:val="0090288C"/>
    <w:rsid w:val="0090292A"/>
    <w:rsid w:val="0090298D"/>
    <w:rsid w:val="009029D5"/>
    <w:rsid w:val="00902B19"/>
    <w:rsid w:val="00902C6A"/>
    <w:rsid w:val="00902CAA"/>
    <w:rsid w:val="00902E11"/>
    <w:rsid w:val="00902F00"/>
    <w:rsid w:val="0090320C"/>
    <w:rsid w:val="00903275"/>
    <w:rsid w:val="00903328"/>
    <w:rsid w:val="0090346A"/>
    <w:rsid w:val="0090370A"/>
    <w:rsid w:val="00903799"/>
    <w:rsid w:val="00903850"/>
    <w:rsid w:val="009039F6"/>
    <w:rsid w:val="00903DA6"/>
    <w:rsid w:val="00903EEB"/>
    <w:rsid w:val="0090410C"/>
    <w:rsid w:val="00904203"/>
    <w:rsid w:val="00904442"/>
    <w:rsid w:val="00904480"/>
    <w:rsid w:val="00904586"/>
    <w:rsid w:val="009045E0"/>
    <w:rsid w:val="009048D6"/>
    <w:rsid w:val="00904CAA"/>
    <w:rsid w:val="00905207"/>
    <w:rsid w:val="009052EA"/>
    <w:rsid w:val="00905625"/>
    <w:rsid w:val="00905687"/>
    <w:rsid w:val="009058FB"/>
    <w:rsid w:val="009059E0"/>
    <w:rsid w:val="00905BAC"/>
    <w:rsid w:val="00905E6E"/>
    <w:rsid w:val="00905F37"/>
    <w:rsid w:val="00906154"/>
    <w:rsid w:val="0090617A"/>
    <w:rsid w:val="0090622C"/>
    <w:rsid w:val="0090639C"/>
    <w:rsid w:val="009063FA"/>
    <w:rsid w:val="00906421"/>
    <w:rsid w:val="009064EF"/>
    <w:rsid w:val="00906689"/>
    <w:rsid w:val="00906892"/>
    <w:rsid w:val="009069E3"/>
    <w:rsid w:val="00906E88"/>
    <w:rsid w:val="00907321"/>
    <w:rsid w:val="00907600"/>
    <w:rsid w:val="009076B1"/>
    <w:rsid w:val="00907861"/>
    <w:rsid w:val="00907904"/>
    <w:rsid w:val="009079E3"/>
    <w:rsid w:val="00907C60"/>
    <w:rsid w:val="00907CB3"/>
    <w:rsid w:val="00907CDA"/>
    <w:rsid w:val="00907D7E"/>
    <w:rsid w:val="00907DCA"/>
    <w:rsid w:val="00907F9C"/>
    <w:rsid w:val="00910035"/>
    <w:rsid w:val="00910172"/>
    <w:rsid w:val="00910226"/>
    <w:rsid w:val="009103CD"/>
    <w:rsid w:val="0091042D"/>
    <w:rsid w:val="00910586"/>
    <w:rsid w:val="009107B1"/>
    <w:rsid w:val="009109E4"/>
    <w:rsid w:val="009109E5"/>
    <w:rsid w:val="00910F0D"/>
    <w:rsid w:val="00910F93"/>
    <w:rsid w:val="00911356"/>
    <w:rsid w:val="0091143A"/>
    <w:rsid w:val="0091157A"/>
    <w:rsid w:val="00911D72"/>
    <w:rsid w:val="00911EDE"/>
    <w:rsid w:val="009123C2"/>
    <w:rsid w:val="0091245E"/>
    <w:rsid w:val="0091252F"/>
    <w:rsid w:val="0091278C"/>
    <w:rsid w:val="00912ABD"/>
    <w:rsid w:val="00912B4A"/>
    <w:rsid w:val="00912D21"/>
    <w:rsid w:val="00912DD7"/>
    <w:rsid w:val="00912F1A"/>
    <w:rsid w:val="00912F8B"/>
    <w:rsid w:val="00913424"/>
    <w:rsid w:val="0091350C"/>
    <w:rsid w:val="00913AE2"/>
    <w:rsid w:val="00913BBE"/>
    <w:rsid w:val="00913EB1"/>
    <w:rsid w:val="00913F31"/>
    <w:rsid w:val="00914080"/>
    <w:rsid w:val="0091423E"/>
    <w:rsid w:val="009143B0"/>
    <w:rsid w:val="00914563"/>
    <w:rsid w:val="00914568"/>
    <w:rsid w:val="00914611"/>
    <w:rsid w:val="00914668"/>
    <w:rsid w:val="009146CB"/>
    <w:rsid w:val="00914848"/>
    <w:rsid w:val="0091491A"/>
    <w:rsid w:val="009149B3"/>
    <w:rsid w:val="00914C00"/>
    <w:rsid w:val="00914E6A"/>
    <w:rsid w:val="00914FB9"/>
    <w:rsid w:val="009150F5"/>
    <w:rsid w:val="0091518B"/>
    <w:rsid w:val="009156DB"/>
    <w:rsid w:val="00915B5C"/>
    <w:rsid w:val="00915CD3"/>
    <w:rsid w:val="00915CE7"/>
    <w:rsid w:val="00915D08"/>
    <w:rsid w:val="00915D6D"/>
    <w:rsid w:val="00916444"/>
    <w:rsid w:val="009167A3"/>
    <w:rsid w:val="00916AFF"/>
    <w:rsid w:val="00916D84"/>
    <w:rsid w:val="00916E55"/>
    <w:rsid w:val="00917055"/>
    <w:rsid w:val="0091734E"/>
    <w:rsid w:val="0091751A"/>
    <w:rsid w:val="00917686"/>
    <w:rsid w:val="009177E5"/>
    <w:rsid w:val="00917801"/>
    <w:rsid w:val="00917977"/>
    <w:rsid w:val="00917B43"/>
    <w:rsid w:val="00917C5B"/>
    <w:rsid w:val="00917D89"/>
    <w:rsid w:val="00917EB9"/>
    <w:rsid w:val="0092005D"/>
    <w:rsid w:val="0092011B"/>
    <w:rsid w:val="009201CA"/>
    <w:rsid w:val="009205E0"/>
    <w:rsid w:val="009208C0"/>
    <w:rsid w:val="00920ED0"/>
    <w:rsid w:val="0092120D"/>
    <w:rsid w:val="00921253"/>
    <w:rsid w:val="00921B27"/>
    <w:rsid w:val="00921D8D"/>
    <w:rsid w:val="00921F0C"/>
    <w:rsid w:val="00921FE4"/>
    <w:rsid w:val="00922602"/>
    <w:rsid w:val="00922638"/>
    <w:rsid w:val="00922B72"/>
    <w:rsid w:val="00922F80"/>
    <w:rsid w:val="009231C4"/>
    <w:rsid w:val="0092340E"/>
    <w:rsid w:val="00923597"/>
    <w:rsid w:val="0092360F"/>
    <w:rsid w:val="00923744"/>
    <w:rsid w:val="00923749"/>
    <w:rsid w:val="0092389D"/>
    <w:rsid w:val="00923908"/>
    <w:rsid w:val="009239D4"/>
    <w:rsid w:val="00923CEB"/>
    <w:rsid w:val="00923CFC"/>
    <w:rsid w:val="00923E92"/>
    <w:rsid w:val="00923FA2"/>
    <w:rsid w:val="0092414A"/>
    <w:rsid w:val="00924194"/>
    <w:rsid w:val="009245FD"/>
    <w:rsid w:val="00924BAB"/>
    <w:rsid w:val="00925148"/>
    <w:rsid w:val="00925364"/>
    <w:rsid w:val="009255B3"/>
    <w:rsid w:val="009256C2"/>
    <w:rsid w:val="00925B29"/>
    <w:rsid w:val="00925D9C"/>
    <w:rsid w:val="00925D9F"/>
    <w:rsid w:val="00926169"/>
    <w:rsid w:val="00926356"/>
    <w:rsid w:val="0092651C"/>
    <w:rsid w:val="0092674B"/>
    <w:rsid w:val="0092689D"/>
    <w:rsid w:val="0092696F"/>
    <w:rsid w:val="00926B39"/>
    <w:rsid w:val="00926E2F"/>
    <w:rsid w:val="00926EBB"/>
    <w:rsid w:val="00926F32"/>
    <w:rsid w:val="009272B5"/>
    <w:rsid w:val="00927498"/>
    <w:rsid w:val="00927562"/>
    <w:rsid w:val="00927827"/>
    <w:rsid w:val="0092795E"/>
    <w:rsid w:val="00927DBB"/>
    <w:rsid w:val="00930174"/>
    <w:rsid w:val="00930353"/>
    <w:rsid w:val="00930430"/>
    <w:rsid w:val="0093050F"/>
    <w:rsid w:val="009306A7"/>
    <w:rsid w:val="009307F2"/>
    <w:rsid w:val="00930927"/>
    <w:rsid w:val="00930972"/>
    <w:rsid w:val="00931175"/>
    <w:rsid w:val="00931524"/>
    <w:rsid w:val="00931561"/>
    <w:rsid w:val="00931791"/>
    <w:rsid w:val="009319F0"/>
    <w:rsid w:val="00931A9B"/>
    <w:rsid w:val="00931AE7"/>
    <w:rsid w:val="00931B3F"/>
    <w:rsid w:val="00931B7C"/>
    <w:rsid w:val="00931BA2"/>
    <w:rsid w:val="00931CAB"/>
    <w:rsid w:val="00931DE7"/>
    <w:rsid w:val="00931ED6"/>
    <w:rsid w:val="00931F50"/>
    <w:rsid w:val="00931F6E"/>
    <w:rsid w:val="00931FF6"/>
    <w:rsid w:val="009322EB"/>
    <w:rsid w:val="00932410"/>
    <w:rsid w:val="009324EE"/>
    <w:rsid w:val="00932A14"/>
    <w:rsid w:val="00932A8B"/>
    <w:rsid w:val="00932AF1"/>
    <w:rsid w:val="00932C09"/>
    <w:rsid w:val="00932C13"/>
    <w:rsid w:val="00932F16"/>
    <w:rsid w:val="009330DF"/>
    <w:rsid w:val="0093334F"/>
    <w:rsid w:val="00933677"/>
    <w:rsid w:val="009337F6"/>
    <w:rsid w:val="00933A10"/>
    <w:rsid w:val="00933A7A"/>
    <w:rsid w:val="00933D5C"/>
    <w:rsid w:val="00933D87"/>
    <w:rsid w:val="00933D93"/>
    <w:rsid w:val="00933E06"/>
    <w:rsid w:val="009341C6"/>
    <w:rsid w:val="0093421A"/>
    <w:rsid w:val="00934404"/>
    <w:rsid w:val="00934449"/>
    <w:rsid w:val="0093445F"/>
    <w:rsid w:val="00934747"/>
    <w:rsid w:val="009347E8"/>
    <w:rsid w:val="009348F8"/>
    <w:rsid w:val="00934A9B"/>
    <w:rsid w:val="00934F61"/>
    <w:rsid w:val="00935166"/>
    <w:rsid w:val="00935188"/>
    <w:rsid w:val="009351CD"/>
    <w:rsid w:val="009353E8"/>
    <w:rsid w:val="0093551E"/>
    <w:rsid w:val="00935626"/>
    <w:rsid w:val="00935864"/>
    <w:rsid w:val="00935B23"/>
    <w:rsid w:val="00935BE3"/>
    <w:rsid w:val="00935BF2"/>
    <w:rsid w:val="00935E13"/>
    <w:rsid w:val="00936345"/>
    <w:rsid w:val="009363BF"/>
    <w:rsid w:val="0093651A"/>
    <w:rsid w:val="009365C7"/>
    <w:rsid w:val="009367A1"/>
    <w:rsid w:val="0093686A"/>
    <w:rsid w:val="0093688B"/>
    <w:rsid w:val="00936956"/>
    <w:rsid w:val="00936B38"/>
    <w:rsid w:val="0093713D"/>
    <w:rsid w:val="00937153"/>
    <w:rsid w:val="009371D4"/>
    <w:rsid w:val="0093729E"/>
    <w:rsid w:val="0093743F"/>
    <w:rsid w:val="009374B4"/>
    <w:rsid w:val="00937681"/>
    <w:rsid w:val="00937777"/>
    <w:rsid w:val="00937878"/>
    <w:rsid w:val="00937A66"/>
    <w:rsid w:val="00937C2A"/>
    <w:rsid w:val="00937D62"/>
    <w:rsid w:val="00937DC2"/>
    <w:rsid w:val="009400BA"/>
    <w:rsid w:val="00940284"/>
    <w:rsid w:val="009402B0"/>
    <w:rsid w:val="009402F2"/>
    <w:rsid w:val="00940338"/>
    <w:rsid w:val="0094044D"/>
    <w:rsid w:val="009407CD"/>
    <w:rsid w:val="00940957"/>
    <w:rsid w:val="00940E7A"/>
    <w:rsid w:val="00940EA9"/>
    <w:rsid w:val="00940EB3"/>
    <w:rsid w:val="009410A5"/>
    <w:rsid w:val="009413B5"/>
    <w:rsid w:val="0094145C"/>
    <w:rsid w:val="0094147C"/>
    <w:rsid w:val="00941481"/>
    <w:rsid w:val="00941644"/>
    <w:rsid w:val="009416E0"/>
    <w:rsid w:val="009418B0"/>
    <w:rsid w:val="009419A8"/>
    <w:rsid w:val="00941AC0"/>
    <w:rsid w:val="00941B87"/>
    <w:rsid w:val="00941BD9"/>
    <w:rsid w:val="00941DFB"/>
    <w:rsid w:val="00942068"/>
    <w:rsid w:val="009421F0"/>
    <w:rsid w:val="00942443"/>
    <w:rsid w:val="009424C1"/>
    <w:rsid w:val="0094254F"/>
    <w:rsid w:val="009429D3"/>
    <w:rsid w:val="00943020"/>
    <w:rsid w:val="009430CA"/>
    <w:rsid w:val="00943242"/>
    <w:rsid w:val="009433BD"/>
    <w:rsid w:val="0094368F"/>
    <w:rsid w:val="00943C33"/>
    <w:rsid w:val="00943C3A"/>
    <w:rsid w:val="00943DDC"/>
    <w:rsid w:val="00943DEE"/>
    <w:rsid w:val="00943F59"/>
    <w:rsid w:val="009440FA"/>
    <w:rsid w:val="00944187"/>
    <w:rsid w:val="00944430"/>
    <w:rsid w:val="00944600"/>
    <w:rsid w:val="009448DB"/>
    <w:rsid w:val="009448F3"/>
    <w:rsid w:val="00944D03"/>
    <w:rsid w:val="00944E18"/>
    <w:rsid w:val="00945002"/>
    <w:rsid w:val="00945100"/>
    <w:rsid w:val="00945113"/>
    <w:rsid w:val="009452A6"/>
    <w:rsid w:val="009452ED"/>
    <w:rsid w:val="00945463"/>
    <w:rsid w:val="009454EB"/>
    <w:rsid w:val="009454F8"/>
    <w:rsid w:val="00945674"/>
    <w:rsid w:val="009457CC"/>
    <w:rsid w:val="00945801"/>
    <w:rsid w:val="0094583E"/>
    <w:rsid w:val="0094589C"/>
    <w:rsid w:val="009458DD"/>
    <w:rsid w:val="0094591A"/>
    <w:rsid w:val="0094594E"/>
    <w:rsid w:val="0094599F"/>
    <w:rsid w:val="00945CAE"/>
    <w:rsid w:val="00945EE7"/>
    <w:rsid w:val="009460BE"/>
    <w:rsid w:val="009460D5"/>
    <w:rsid w:val="009460F2"/>
    <w:rsid w:val="009462F7"/>
    <w:rsid w:val="0094660B"/>
    <w:rsid w:val="0094699C"/>
    <w:rsid w:val="009469B0"/>
    <w:rsid w:val="00946B39"/>
    <w:rsid w:val="00946E25"/>
    <w:rsid w:val="00946E4D"/>
    <w:rsid w:val="00946FEC"/>
    <w:rsid w:val="0094763D"/>
    <w:rsid w:val="0095025C"/>
    <w:rsid w:val="0095043E"/>
    <w:rsid w:val="00950669"/>
    <w:rsid w:val="0095079B"/>
    <w:rsid w:val="009507A1"/>
    <w:rsid w:val="009508AD"/>
    <w:rsid w:val="009508B5"/>
    <w:rsid w:val="00950A73"/>
    <w:rsid w:val="00950B2D"/>
    <w:rsid w:val="00950E2E"/>
    <w:rsid w:val="00950E80"/>
    <w:rsid w:val="009513C3"/>
    <w:rsid w:val="00951691"/>
    <w:rsid w:val="00951A95"/>
    <w:rsid w:val="00951AB3"/>
    <w:rsid w:val="00951E65"/>
    <w:rsid w:val="00951F26"/>
    <w:rsid w:val="00951F7F"/>
    <w:rsid w:val="009521A6"/>
    <w:rsid w:val="0095220C"/>
    <w:rsid w:val="009526A0"/>
    <w:rsid w:val="00952B68"/>
    <w:rsid w:val="00952D4D"/>
    <w:rsid w:val="0095318E"/>
    <w:rsid w:val="009531DC"/>
    <w:rsid w:val="0095340D"/>
    <w:rsid w:val="0095347A"/>
    <w:rsid w:val="00953DB5"/>
    <w:rsid w:val="00953F7A"/>
    <w:rsid w:val="00954018"/>
    <w:rsid w:val="0095421B"/>
    <w:rsid w:val="0095436A"/>
    <w:rsid w:val="009543E9"/>
    <w:rsid w:val="00954862"/>
    <w:rsid w:val="00954D7A"/>
    <w:rsid w:val="00954DEF"/>
    <w:rsid w:val="009551F6"/>
    <w:rsid w:val="00955202"/>
    <w:rsid w:val="00955386"/>
    <w:rsid w:val="00955583"/>
    <w:rsid w:val="009558C8"/>
    <w:rsid w:val="00955A8A"/>
    <w:rsid w:val="00956052"/>
    <w:rsid w:val="00956175"/>
    <w:rsid w:val="00956285"/>
    <w:rsid w:val="009562E0"/>
    <w:rsid w:val="00956843"/>
    <w:rsid w:val="009569EB"/>
    <w:rsid w:val="00956A2B"/>
    <w:rsid w:val="00956B6D"/>
    <w:rsid w:val="00956D11"/>
    <w:rsid w:val="009570A4"/>
    <w:rsid w:val="00957205"/>
    <w:rsid w:val="00957332"/>
    <w:rsid w:val="009574DF"/>
    <w:rsid w:val="009575B5"/>
    <w:rsid w:val="009577FB"/>
    <w:rsid w:val="009578FB"/>
    <w:rsid w:val="00957AD8"/>
    <w:rsid w:val="00957C7B"/>
    <w:rsid w:val="00957F6F"/>
    <w:rsid w:val="00957FB5"/>
    <w:rsid w:val="00960051"/>
    <w:rsid w:val="0096045D"/>
    <w:rsid w:val="00960BD2"/>
    <w:rsid w:val="00960D59"/>
    <w:rsid w:val="00960D60"/>
    <w:rsid w:val="00960D81"/>
    <w:rsid w:val="00960E83"/>
    <w:rsid w:val="00960EDC"/>
    <w:rsid w:val="00960EE4"/>
    <w:rsid w:val="00960F8D"/>
    <w:rsid w:val="009610B4"/>
    <w:rsid w:val="009611AB"/>
    <w:rsid w:val="0096127F"/>
    <w:rsid w:val="009612AC"/>
    <w:rsid w:val="00961984"/>
    <w:rsid w:val="00961AD6"/>
    <w:rsid w:val="00961D36"/>
    <w:rsid w:val="00962056"/>
    <w:rsid w:val="009620A2"/>
    <w:rsid w:val="009621ED"/>
    <w:rsid w:val="0096221D"/>
    <w:rsid w:val="0096246D"/>
    <w:rsid w:val="009624FE"/>
    <w:rsid w:val="009626FE"/>
    <w:rsid w:val="0096294E"/>
    <w:rsid w:val="009629AF"/>
    <w:rsid w:val="00962B7D"/>
    <w:rsid w:val="00962C30"/>
    <w:rsid w:val="00962C33"/>
    <w:rsid w:val="00962C81"/>
    <w:rsid w:val="00962D7F"/>
    <w:rsid w:val="00962EDE"/>
    <w:rsid w:val="00963111"/>
    <w:rsid w:val="0096313D"/>
    <w:rsid w:val="00963204"/>
    <w:rsid w:val="0096326C"/>
    <w:rsid w:val="0096338F"/>
    <w:rsid w:val="00963433"/>
    <w:rsid w:val="00963634"/>
    <w:rsid w:val="009639E9"/>
    <w:rsid w:val="00963FEB"/>
    <w:rsid w:val="00963FFD"/>
    <w:rsid w:val="009641B8"/>
    <w:rsid w:val="009643A6"/>
    <w:rsid w:val="00964684"/>
    <w:rsid w:val="00964728"/>
    <w:rsid w:val="0096472D"/>
    <w:rsid w:val="0096491E"/>
    <w:rsid w:val="00964931"/>
    <w:rsid w:val="0096493E"/>
    <w:rsid w:val="00964B3E"/>
    <w:rsid w:val="00964CCA"/>
    <w:rsid w:val="00964DE0"/>
    <w:rsid w:val="00964EC7"/>
    <w:rsid w:val="00964F4D"/>
    <w:rsid w:val="0096509E"/>
    <w:rsid w:val="009651A1"/>
    <w:rsid w:val="0096523B"/>
    <w:rsid w:val="0096558A"/>
    <w:rsid w:val="0096558D"/>
    <w:rsid w:val="00965600"/>
    <w:rsid w:val="00965C3B"/>
    <w:rsid w:val="00965E41"/>
    <w:rsid w:val="00965EDB"/>
    <w:rsid w:val="00965F28"/>
    <w:rsid w:val="0096609A"/>
    <w:rsid w:val="00966363"/>
    <w:rsid w:val="009667D7"/>
    <w:rsid w:val="00966AF1"/>
    <w:rsid w:val="00966CFD"/>
    <w:rsid w:val="00967170"/>
    <w:rsid w:val="009671FC"/>
    <w:rsid w:val="00967250"/>
    <w:rsid w:val="00967470"/>
    <w:rsid w:val="00967619"/>
    <w:rsid w:val="0096763D"/>
    <w:rsid w:val="0096775C"/>
    <w:rsid w:val="00967AFC"/>
    <w:rsid w:val="00967E4E"/>
    <w:rsid w:val="00967FF9"/>
    <w:rsid w:val="0097029D"/>
    <w:rsid w:val="00970413"/>
    <w:rsid w:val="009705ED"/>
    <w:rsid w:val="009705FA"/>
    <w:rsid w:val="00970EC8"/>
    <w:rsid w:val="009713FE"/>
    <w:rsid w:val="0097148F"/>
    <w:rsid w:val="0097155A"/>
    <w:rsid w:val="0097169D"/>
    <w:rsid w:val="0097172C"/>
    <w:rsid w:val="00971A41"/>
    <w:rsid w:val="00971AF3"/>
    <w:rsid w:val="00971D5E"/>
    <w:rsid w:val="00971ED1"/>
    <w:rsid w:val="00971F87"/>
    <w:rsid w:val="009720CC"/>
    <w:rsid w:val="009723C6"/>
    <w:rsid w:val="009726CC"/>
    <w:rsid w:val="00972713"/>
    <w:rsid w:val="0097283A"/>
    <w:rsid w:val="00972908"/>
    <w:rsid w:val="009731B9"/>
    <w:rsid w:val="00973327"/>
    <w:rsid w:val="00973494"/>
    <w:rsid w:val="009734A5"/>
    <w:rsid w:val="00973503"/>
    <w:rsid w:val="0097392C"/>
    <w:rsid w:val="0097394C"/>
    <w:rsid w:val="00973A4B"/>
    <w:rsid w:val="00973CA2"/>
    <w:rsid w:val="0097400A"/>
    <w:rsid w:val="00974075"/>
    <w:rsid w:val="009741DD"/>
    <w:rsid w:val="00974889"/>
    <w:rsid w:val="00974A07"/>
    <w:rsid w:val="00974D27"/>
    <w:rsid w:val="00974D52"/>
    <w:rsid w:val="0097557D"/>
    <w:rsid w:val="009756B8"/>
    <w:rsid w:val="00975884"/>
    <w:rsid w:val="009758D3"/>
    <w:rsid w:val="00975A43"/>
    <w:rsid w:val="00975C10"/>
    <w:rsid w:val="00975E47"/>
    <w:rsid w:val="00976241"/>
    <w:rsid w:val="00976352"/>
    <w:rsid w:val="00976469"/>
    <w:rsid w:val="009764AD"/>
    <w:rsid w:val="009767B2"/>
    <w:rsid w:val="0097683A"/>
    <w:rsid w:val="009768A7"/>
    <w:rsid w:val="009769B3"/>
    <w:rsid w:val="00976A5F"/>
    <w:rsid w:val="00976AC0"/>
    <w:rsid w:val="00976ACC"/>
    <w:rsid w:val="00976B92"/>
    <w:rsid w:val="00976C08"/>
    <w:rsid w:val="00976C72"/>
    <w:rsid w:val="00976F82"/>
    <w:rsid w:val="00977269"/>
    <w:rsid w:val="00977848"/>
    <w:rsid w:val="00977C98"/>
    <w:rsid w:val="00977EA6"/>
    <w:rsid w:val="00977F65"/>
    <w:rsid w:val="00980151"/>
    <w:rsid w:val="00980478"/>
    <w:rsid w:val="00980CC9"/>
    <w:rsid w:val="00980E81"/>
    <w:rsid w:val="00981063"/>
    <w:rsid w:val="009815A2"/>
    <w:rsid w:val="00981848"/>
    <w:rsid w:val="00981973"/>
    <w:rsid w:val="00981A6A"/>
    <w:rsid w:val="00981AE6"/>
    <w:rsid w:val="00981B0D"/>
    <w:rsid w:val="009820DC"/>
    <w:rsid w:val="00982108"/>
    <w:rsid w:val="00982522"/>
    <w:rsid w:val="0098260E"/>
    <w:rsid w:val="009826B3"/>
    <w:rsid w:val="009826F3"/>
    <w:rsid w:val="0098276A"/>
    <w:rsid w:val="00982803"/>
    <w:rsid w:val="0098291A"/>
    <w:rsid w:val="00982A98"/>
    <w:rsid w:val="00982DBB"/>
    <w:rsid w:val="0098314B"/>
    <w:rsid w:val="009831BF"/>
    <w:rsid w:val="009833F4"/>
    <w:rsid w:val="0098369E"/>
    <w:rsid w:val="009838D9"/>
    <w:rsid w:val="00983B09"/>
    <w:rsid w:val="00983D73"/>
    <w:rsid w:val="00983DC7"/>
    <w:rsid w:val="00983EB6"/>
    <w:rsid w:val="00983FF9"/>
    <w:rsid w:val="00984378"/>
    <w:rsid w:val="00984482"/>
    <w:rsid w:val="00984690"/>
    <w:rsid w:val="00984D60"/>
    <w:rsid w:val="00984F61"/>
    <w:rsid w:val="0098503D"/>
    <w:rsid w:val="009850BB"/>
    <w:rsid w:val="0098563A"/>
    <w:rsid w:val="0098573D"/>
    <w:rsid w:val="00985920"/>
    <w:rsid w:val="00985976"/>
    <w:rsid w:val="00985B4E"/>
    <w:rsid w:val="00985CDD"/>
    <w:rsid w:val="00985F0A"/>
    <w:rsid w:val="0098616A"/>
    <w:rsid w:val="00986574"/>
    <w:rsid w:val="009865A8"/>
    <w:rsid w:val="00986676"/>
    <w:rsid w:val="009866A8"/>
    <w:rsid w:val="009866EF"/>
    <w:rsid w:val="00986A2C"/>
    <w:rsid w:val="00986AD8"/>
    <w:rsid w:val="00986CB7"/>
    <w:rsid w:val="009870C6"/>
    <w:rsid w:val="00987213"/>
    <w:rsid w:val="009872C4"/>
    <w:rsid w:val="00987347"/>
    <w:rsid w:val="009874F6"/>
    <w:rsid w:val="009875DB"/>
    <w:rsid w:val="0098781D"/>
    <w:rsid w:val="00987A77"/>
    <w:rsid w:val="00987D02"/>
    <w:rsid w:val="00987EA2"/>
    <w:rsid w:val="00987F66"/>
    <w:rsid w:val="00990052"/>
    <w:rsid w:val="009901B1"/>
    <w:rsid w:val="0099086D"/>
    <w:rsid w:val="00990ACE"/>
    <w:rsid w:val="00990B67"/>
    <w:rsid w:val="00990C74"/>
    <w:rsid w:val="00991217"/>
    <w:rsid w:val="0099149E"/>
    <w:rsid w:val="0099174E"/>
    <w:rsid w:val="00991A90"/>
    <w:rsid w:val="00991CCE"/>
    <w:rsid w:val="00991D97"/>
    <w:rsid w:val="00991E1C"/>
    <w:rsid w:val="00991EFC"/>
    <w:rsid w:val="00992590"/>
    <w:rsid w:val="00992B6D"/>
    <w:rsid w:val="00992B86"/>
    <w:rsid w:val="00992CF7"/>
    <w:rsid w:val="00992D14"/>
    <w:rsid w:val="00992F81"/>
    <w:rsid w:val="00992FD1"/>
    <w:rsid w:val="00993085"/>
    <w:rsid w:val="00993803"/>
    <w:rsid w:val="009938A4"/>
    <w:rsid w:val="009938D4"/>
    <w:rsid w:val="00993929"/>
    <w:rsid w:val="00993CA6"/>
    <w:rsid w:val="00993F11"/>
    <w:rsid w:val="00994143"/>
    <w:rsid w:val="00994215"/>
    <w:rsid w:val="0099443F"/>
    <w:rsid w:val="0099444A"/>
    <w:rsid w:val="00994770"/>
    <w:rsid w:val="009947AC"/>
    <w:rsid w:val="00994CCD"/>
    <w:rsid w:val="00994DF1"/>
    <w:rsid w:val="00994EB5"/>
    <w:rsid w:val="009952AA"/>
    <w:rsid w:val="009953D5"/>
    <w:rsid w:val="009953E4"/>
    <w:rsid w:val="009955BC"/>
    <w:rsid w:val="009956B3"/>
    <w:rsid w:val="009956BA"/>
    <w:rsid w:val="00995E16"/>
    <w:rsid w:val="009963FA"/>
    <w:rsid w:val="009963FD"/>
    <w:rsid w:val="00996769"/>
    <w:rsid w:val="009968F3"/>
    <w:rsid w:val="00996B46"/>
    <w:rsid w:val="00996B85"/>
    <w:rsid w:val="00996BC5"/>
    <w:rsid w:val="00996CFD"/>
    <w:rsid w:val="00996F1B"/>
    <w:rsid w:val="009971FF"/>
    <w:rsid w:val="00997237"/>
    <w:rsid w:val="00997612"/>
    <w:rsid w:val="00997C29"/>
    <w:rsid w:val="00997C86"/>
    <w:rsid w:val="00997E31"/>
    <w:rsid w:val="00997EBC"/>
    <w:rsid w:val="00997EE2"/>
    <w:rsid w:val="009A0124"/>
    <w:rsid w:val="009A068D"/>
    <w:rsid w:val="009A09AE"/>
    <w:rsid w:val="009A0CE0"/>
    <w:rsid w:val="009A0D14"/>
    <w:rsid w:val="009A0E92"/>
    <w:rsid w:val="009A0F0B"/>
    <w:rsid w:val="009A0FC9"/>
    <w:rsid w:val="009A1076"/>
    <w:rsid w:val="009A10FA"/>
    <w:rsid w:val="009A11D7"/>
    <w:rsid w:val="009A14A2"/>
    <w:rsid w:val="009A14AE"/>
    <w:rsid w:val="009A14D8"/>
    <w:rsid w:val="009A1530"/>
    <w:rsid w:val="009A1757"/>
    <w:rsid w:val="009A180F"/>
    <w:rsid w:val="009A1A47"/>
    <w:rsid w:val="009A1BE0"/>
    <w:rsid w:val="009A1C36"/>
    <w:rsid w:val="009A2024"/>
    <w:rsid w:val="009A21A9"/>
    <w:rsid w:val="009A22E1"/>
    <w:rsid w:val="009A2525"/>
    <w:rsid w:val="009A26BD"/>
    <w:rsid w:val="009A280B"/>
    <w:rsid w:val="009A289A"/>
    <w:rsid w:val="009A3004"/>
    <w:rsid w:val="009A301E"/>
    <w:rsid w:val="009A34F1"/>
    <w:rsid w:val="009A3671"/>
    <w:rsid w:val="009A3745"/>
    <w:rsid w:val="009A37B1"/>
    <w:rsid w:val="009A3AEC"/>
    <w:rsid w:val="009A444B"/>
    <w:rsid w:val="009A46DE"/>
    <w:rsid w:val="009A47FA"/>
    <w:rsid w:val="009A4989"/>
    <w:rsid w:val="009A4B77"/>
    <w:rsid w:val="009A4CEF"/>
    <w:rsid w:val="009A514E"/>
    <w:rsid w:val="009A545F"/>
    <w:rsid w:val="009A56CC"/>
    <w:rsid w:val="009A5829"/>
    <w:rsid w:val="009A5858"/>
    <w:rsid w:val="009A58DF"/>
    <w:rsid w:val="009A599C"/>
    <w:rsid w:val="009A5C19"/>
    <w:rsid w:val="009A5C80"/>
    <w:rsid w:val="009A6172"/>
    <w:rsid w:val="009A6681"/>
    <w:rsid w:val="009A66F0"/>
    <w:rsid w:val="009A6746"/>
    <w:rsid w:val="009A6778"/>
    <w:rsid w:val="009A6DAD"/>
    <w:rsid w:val="009A70C8"/>
    <w:rsid w:val="009A71AE"/>
    <w:rsid w:val="009A7200"/>
    <w:rsid w:val="009A7295"/>
    <w:rsid w:val="009A74EE"/>
    <w:rsid w:val="009A7643"/>
    <w:rsid w:val="009A7676"/>
    <w:rsid w:val="009A7721"/>
    <w:rsid w:val="009A7826"/>
    <w:rsid w:val="009A7A52"/>
    <w:rsid w:val="009A7EDC"/>
    <w:rsid w:val="009A7F99"/>
    <w:rsid w:val="009A7FF5"/>
    <w:rsid w:val="009B021C"/>
    <w:rsid w:val="009B02C4"/>
    <w:rsid w:val="009B03C0"/>
    <w:rsid w:val="009B0698"/>
    <w:rsid w:val="009B09E2"/>
    <w:rsid w:val="009B0B20"/>
    <w:rsid w:val="009B0BC0"/>
    <w:rsid w:val="009B0E20"/>
    <w:rsid w:val="009B1216"/>
    <w:rsid w:val="009B17A0"/>
    <w:rsid w:val="009B1A29"/>
    <w:rsid w:val="009B1B9C"/>
    <w:rsid w:val="009B1CAA"/>
    <w:rsid w:val="009B1F3B"/>
    <w:rsid w:val="009B1FF1"/>
    <w:rsid w:val="009B205F"/>
    <w:rsid w:val="009B242B"/>
    <w:rsid w:val="009B2672"/>
    <w:rsid w:val="009B2CF2"/>
    <w:rsid w:val="009B3079"/>
    <w:rsid w:val="009B321F"/>
    <w:rsid w:val="009B3225"/>
    <w:rsid w:val="009B38BE"/>
    <w:rsid w:val="009B38DF"/>
    <w:rsid w:val="009B3C70"/>
    <w:rsid w:val="009B3CDD"/>
    <w:rsid w:val="009B3D43"/>
    <w:rsid w:val="009B3F06"/>
    <w:rsid w:val="009B408D"/>
    <w:rsid w:val="009B4A11"/>
    <w:rsid w:val="009B4ABD"/>
    <w:rsid w:val="009B4B69"/>
    <w:rsid w:val="009B4D40"/>
    <w:rsid w:val="009B4E6B"/>
    <w:rsid w:val="009B4EC7"/>
    <w:rsid w:val="009B57D3"/>
    <w:rsid w:val="009B5B5A"/>
    <w:rsid w:val="009B5CD3"/>
    <w:rsid w:val="009B5D36"/>
    <w:rsid w:val="009B5DFB"/>
    <w:rsid w:val="009B5E3C"/>
    <w:rsid w:val="009B6106"/>
    <w:rsid w:val="009B6406"/>
    <w:rsid w:val="009B659E"/>
    <w:rsid w:val="009B67F1"/>
    <w:rsid w:val="009B6925"/>
    <w:rsid w:val="009B6ABD"/>
    <w:rsid w:val="009B6D13"/>
    <w:rsid w:val="009B70B1"/>
    <w:rsid w:val="009B7192"/>
    <w:rsid w:val="009B72C7"/>
    <w:rsid w:val="009B741A"/>
    <w:rsid w:val="009B75DA"/>
    <w:rsid w:val="009B77F5"/>
    <w:rsid w:val="009B7BB3"/>
    <w:rsid w:val="009B7D3A"/>
    <w:rsid w:val="009B7D82"/>
    <w:rsid w:val="009B7E58"/>
    <w:rsid w:val="009C00C5"/>
    <w:rsid w:val="009C045D"/>
    <w:rsid w:val="009C059B"/>
    <w:rsid w:val="009C071D"/>
    <w:rsid w:val="009C0D1E"/>
    <w:rsid w:val="009C0DBB"/>
    <w:rsid w:val="009C0DD2"/>
    <w:rsid w:val="009C104F"/>
    <w:rsid w:val="009C115F"/>
    <w:rsid w:val="009C144D"/>
    <w:rsid w:val="009C15F7"/>
    <w:rsid w:val="009C1611"/>
    <w:rsid w:val="009C17EF"/>
    <w:rsid w:val="009C1B4A"/>
    <w:rsid w:val="009C1DAB"/>
    <w:rsid w:val="009C1E43"/>
    <w:rsid w:val="009C1EE4"/>
    <w:rsid w:val="009C204F"/>
    <w:rsid w:val="009C2AB1"/>
    <w:rsid w:val="009C2BCA"/>
    <w:rsid w:val="009C2D25"/>
    <w:rsid w:val="009C2E36"/>
    <w:rsid w:val="009C2E81"/>
    <w:rsid w:val="009C30D7"/>
    <w:rsid w:val="009C31C4"/>
    <w:rsid w:val="009C3208"/>
    <w:rsid w:val="009C344D"/>
    <w:rsid w:val="009C3660"/>
    <w:rsid w:val="009C38B1"/>
    <w:rsid w:val="009C39B4"/>
    <w:rsid w:val="009C3B2A"/>
    <w:rsid w:val="009C3BB0"/>
    <w:rsid w:val="009C46C0"/>
    <w:rsid w:val="009C4733"/>
    <w:rsid w:val="009C483D"/>
    <w:rsid w:val="009C4FA2"/>
    <w:rsid w:val="009C50F2"/>
    <w:rsid w:val="009C51A2"/>
    <w:rsid w:val="009C521D"/>
    <w:rsid w:val="009C52FD"/>
    <w:rsid w:val="009C53AE"/>
    <w:rsid w:val="009C5623"/>
    <w:rsid w:val="009C5755"/>
    <w:rsid w:val="009C5783"/>
    <w:rsid w:val="009C5B2A"/>
    <w:rsid w:val="009C5E6B"/>
    <w:rsid w:val="009C6240"/>
    <w:rsid w:val="009C627C"/>
    <w:rsid w:val="009C628D"/>
    <w:rsid w:val="009C63A5"/>
    <w:rsid w:val="009C64A3"/>
    <w:rsid w:val="009C667B"/>
    <w:rsid w:val="009C6736"/>
    <w:rsid w:val="009C67DF"/>
    <w:rsid w:val="009C6C1A"/>
    <w:rsid w:val="009C6E6C"/>
    <w:rsid w:val="009C6E70"/>
    <w:rsid w:val="009C7461"/>
    <w:rsid w:val="009C75CC"/>
    <w:rsid w:val="009C77C9"/>
    <w:rsid w:val="009C7882"/>
    <w:rsid w:val="009C7ADB"/>
    <w:rsid w:val="009C7BEF"/>
    <w:rsid w:val="009D02AA"/>
    <w:rsid w:val="009D0600"/>
    <w:rsid w:val="009D0740"/>
    <w:rsid w:val="009D0790"/>
    <w:rsid w:val="009D0875"/>
    <w:rsid w:val="009D0E95"/>
    <w:rsid w:val="009D0EC5"/>
    <w:rsid w:val="009D0F97"/>
    <w:rsid w:val="009D1303"/>
    <w:rsid w:val="009D1630"/>
    <w:rsid w:val="009D1731"/>
    <w:rsid w:val="009D1967"/>
    <w:rsid w:val="009D1C2F"/>
    <w:rsid w:val="009D1C8E"/>
    <w:rsid w:val="009D1C92"/>
    <w:rsid w:val="009D1CB6"/>
    <w:rsid w:val="009D1D25"/>
    <w:rsid w:val="009D1E9C"/>
    <w:rsid w:val="009D1FB4"/>
    <w:rsid w:val="009D1FD8"/>
    <w:rsid w:val="009D2447"/>
    <w:rsid w:val="009D27F8"/>
    <w:rsid w:val="009D2908"/>
    <w:rsid w:val="009D2B78"/>
    <w:rsid w:val="009D2C75"/>
    <w:rsid w:val="009D2CB4"/>
    <w:rsid w:val="009D3058"/>
    <w:rsid w:val="009D3103"/>
    <w:rsid w:val="009D3BAD"/>
    <w:rsid w:val="009D3D32"/>
    <w:rsid w:val="009D3FCB"/>
    <w:rsid w:val="009D404D"/>
    <w:rsid w:val="009D4079"/>
    <w:rsid w:val="009D40B0"/>
    <w:rsid w:val="009D4110"/>
    <w:rsid w:val="009D4252"/>
    <w:rsid w:val="009D4347"/>
    <w:rsid w:val="009D43D9"/>
    <w:rsid w:val="009D4858"/>
    <w:rsid w:val="009D4A50"/>
    <w:rsid w:val="009D4B7F"/>
    <w:rsid w:val="009D4BDB"/>
    <w:rsid w:val="009D4E23"/>
    <w:rsid w:val="009D4E9A"/>
    <w:rsid w:val="009D50E3"/>
    <w:rsid w:val="009D540D"/>
    <w:rsid w:val="009D549F"/>
    <w:rsid w:val="009D5590"/>
    <w:rsid w:val="009D58AC"/>
    <w:rsid w:val="009D5991"/>
    <w:rsid w:val="009D5995"/>
    <w:rsid w:val="009D59CF"/>
    <w:rsid w:val="009D6050"/>
    <w:rsid w:val="009D6123"/>
    <w:rsid w:val="009D621B"/>
    <w:rsid w:val="009D6389"/>
    <w:rsid w:val="009D6798"/>
    <w:rsid w:val="009D67C6"/>
    <w:rsid w:val="009D692B"/>
    <w:rsid w:val="009D695E"/>
    <w:rsid w:val="009D6A35"/>
    <w:rsid w:val="009D6D45"/>
    <w:rsid w:val="009D6F16"/>
    <w:rsid w:val="009D7353"/>
    <w:rsid w:val="009D7446"/>
    <w:rsid w:val="009D74A6"/>
    <w:rsid w:val="009D7593"/>
    <w:rsid w:val="009D7D7F"/>
    <w:rsid w:val="009D7F0D"/>
    <w:rsid w:val="009D7F1A"/>
    <w:rsid w:val="009D7FB3"/>
    <w:rsid w:val="009E01BD"/>
    <w:rsid w:val="009E01F9"/>
    <w:rsid w:val="009E020A"/>
    <w:rsid w:val="009E0317"/>
    <w:rsid w:val="009E04CE"/>
    <w:rsid w:val="009E0614"/>
    <w:rsid w:val="009E0704"/>
    <w:rsid w:val="009E072E"/>
    <w:rsid w:val="009E0845"/>
    <w:rsid w:val="009E0C73"/>
    <w:rsid w:val="009E0E21"/>
    <w:rsid w:val="009E0E8A"/>
    <w:rsid w:val="009E0F98"/>
    <w:rsid w:val="009E10AA"/>
    <w:rsid w:val="009E10FA"/>
    <w:rsid w:val="009E182F"/>
    <w:rsid w:val="009E1C34"/>
    <w:rsid w:val="009E1D7E"/>
    <w:rsid w:val="009E1DE0"/>
    <w:rsid w:val="009E214A"/>
    <w:rsid w:val="009E22BC"/>
    <w:rsid w:val="009E22E8"/>
    <w:rsid w:val="009E248B"/>
    <w:rsid w:val="009E25C7"/>
    <w:rsid w:val="009E27BD"/>
    <w:rsid w:val="009E2917"/>
    <w:rsid w:val="009E2928"/>
    <w:rsid w:val="009E2A0F"/>
    <w:rsid w:val="009E2A5B"/>
    <w:rsid w:val="009E2B4A"/>
    <w:rsid w:val="009E3151"/>
    <w:rsid w:val="009E3234"/>
    <w:rsid w:val="009E33FD"/>
    <w:rsid w:val="009E340E"/>
    <w:rsid w:val="009E387B"/>
    <w:rsid w:val="009E4042"/>
    <w:rsid w:val="009E40E8"/>
    <w:rsid w:val="009E4305"/>
    <w:rsid w:val="009E437B"/>
    <w:rsid w:val="009E43C4"/>
    <w:rsid w:val="009E441C"/>
    <w:rsid w:val="009E458B"/>
    <w:rsid w:val="009E47BD"/>
    <w:rsid w:val="009E4A84"/>
    <w:rsid w:val="009E4AC6"/>
    <w:rsid w:val="009E4E6C"/>
    <w:rsid w:val="009E4EDA"/>
    <w:rsid w:val="009E4F8F"/>
    <w:rsid w:val="009E4FF6"/>
    <w:rsid w:val="009E5673"/>
    <w:rsid w:val="009E592F"/>
    <w:rsid w:val="009E5D55"/>
    <w:rsid w:val="009E5E15"/>
    <w:rsid w:val="009E60F0"/>
    <w:rsid w:val="009E650D"/>
    <w:rsid w:val="009E65A5"/>
    <w:rsid w:val="009E683D"/>
    <w:rsid w:val="009E6A10"/>
    <w:rsid w:val="009E70F0"/>
    <w:rsid w:val="009E71C1"/>
    <w:rsid w:val="009E7329"/>
    <w:rsid w:val="009E7339"/>
    <w:rsid w:val="009E7632"/>
    <w:rsid w:val="009E76FD"/>
    <w:rsid w:val="009E78C8"/>
    <w:rsid w:val="009E798E"/>
    <w:rsid w:val="009E7A1C"/>
    <w:rsid w:val="009E7F46"/>
    <w:rsid w:val="009E7F4D"/>
    <w:rsid w:val="009F008F"/>
    <w:rsid w:val="009F0277"/>
    <w:rsid w:val="009F0669"/>
    <w:rsid w:val="009F0C10"/>
    <w:rsid w:val="009F112E"/>
    <w:rsid w:val="009F1280"/>
    <w:rsid w:val="009F181A"/>
    <w:rsid w:val="009F186F"/>
    <w:rsid w:val="009F1C20"/>
    <w:rsid w:val="009F1C80"/>
    <w:rsid w:val="009F1E8A"/>
    <w:rsid w:val="009F20CF"/>
    <w:rsid w:val="009F2254"/>
    <w:rsid w:val="009F26AA"/>
    <w:rsid w:val="009F26D8"/>
    <w:rsid w:val="009F2739"/>
    <w:rsid w:val="009F2A18"/>
    <w:rsid w:val="009F2C06"/>
    <w:rsid w:val="009F2D48"/>
    <w:rsid w:val="009F2F8A"/>
    <w:rsid w:val="009F318C"/>
    <w:rsid w:val="009F3384"/>
    <w:rsid w:val="009F352B"/>
    <w:rsid w:val="009F35D5"/>
    <w:rsid w:val="009F3661"/>
    <w:rsid w:val="009F3781"/>
    <w:rsid w:val="009F4490"/>
    <w:rsid w:val="009F46E4"/>
    <w:rsid w:val="009F4750"/>
    <w:rsid w:val="009F475D"/>
    <w:rsid w:val="009F49BF"/>
    <w:rsid w:val="009F4A98"/>
    <w:rsid w:val="009F4BFC"/>
    <w:rsid w:val="009F4D1E"/>
    <w:rsid w:val="009F4DDA"/>
    <w:rsid w:val="009F4F83"/>
    <w:rsid w:val="009F5308"/>
    <w:rsid w:val="009F53B5"/>
    <w:rsid w:val="009F5438"/>
    <w:rsid w:val="009F54C0"/>
    <w:rsid w:val="009F552D"/>
    <w:rsid w:val="009F5C0B"/>
    <w:rsid w:val="009F5C4B"/>
    <w:rsid w:val="009F5EF7"/>
    <w:rsid w:val="009F63BC"/>
    <w:rsid w:val="009F6571"/>
    <w:rsid w:val="009F6925"/>
    <w:rsid w:val="009F695D"/>
    <w:rsid w:val="009F6A89"/>
    <w:rsid w:val="009F6EE2"/>
    <w:rsid w:val="009F70D2"/>
    <w:rsid w:val="009F71E9"/>
    <w:rsid w:val="009F7750"/>
    <w:rsid w:val="009F796C"/>
    <w:rsid w:val="009F79F0"/>
    <w:rsid w:val="009F7AE3"/>
    <w:rsid w:val="00A00063"/>
    <w:rsid w:val="00A000CB"/>
    <w:rsid w:val="00A0015E"/>
    <w:rsid w:val="00A003C4"/>
    <w:rsid w:val="00A005F2"/>
    <w:rsid w:val="00A006D1"/>
    <w:rsid w:val="00A007A2"/>
    <w:rsid w:val="00A00A83"/>
    <w:rsid w:val="00A00BFF"/>
    <w:rsid w:val="00A00D98"/>
    <w:rsid w:val="00A00DF1"/>
    <w:rsid w:val="00A00E40"/>
    <w:rsid w:val="00A01385"/>
    <w:rsid w:val="00A0199D"/>
    <w:rsid w:val="00A019DE"/>
    <w:rsid w:val="00A01BBB"/>
    <w:rsid w:val="00A01BCE"/>
    <w:rsid w:val="00A01CD9"/>
    <w:rsid w:val="00A01D7C"/>
    <w:rsid w:val="00A01E1F"/>
    <w:rsid w:val="00A01E71"/>
    <w:rsid w:val="00A01FA8"/>
    <w:rsid w:val="00A0205E"/>
    <w:rsid w:val="00A0217B"/>
    <w:rsid w:val="00A0248F"/>
    <w:rsid w:val="00A024E8"/>
    <w:rsid w:val="00A026D0"/>
    <w:rsid w:val="00A026E3"/>
    <w:rsid w:val="00A02D7E"/>
    <w:rsid w:val="00A02E62"/>
    <w:rsid w:val="00A02F86"/>
    <w:rsid w:val="00A03117"/>
    <w:rsid w:val="00A0314C"/>
    <w:rsid w:val="00A03195"/>
    <w:rsid w:val="00A03585"/>
    <w:rsid w:val="00A036E0"/>
    <w:rsid w:val="00A03828"/>
    <w:rsid w:val="00A0397A"/>
    <w:rsid w:val="00A03BA6"/>
    <w:rsid w:val="00A03DE8"/>
    <w:rsid w:val="00A03EAC"/>
    <w:rsid w:val="00A0425E"/>
    <w:rsid w:val="00A04422"/>
    <w:rsid w:val="00A04569"/>
    <w:rsid w:val="00A04673"/>
    <w:rsid w:val="00A04B52"/>
    <w:rsid w:val="00A04B69"/>
    <w:rsid w:val="00A04BC9"/>
    <w:rsid w:val="00A04D78"/>
    <w:rsid w:val="00A050BD"/>
    <w:rsid w:val="00A056F1"/>
    <w:rsid w:val="00A05A0F"/>
    <w:rsid w:val="00A05ADD"/>
    <w:rsid w:val="00A05AF9"/>
    <w:rsid w:val="00A05D3A"/>
    <w:rsid w:val="00A05DD7"/>
    <w:rsid w:val="00A05EE3"/>
    <w:rsid w:val="00A063AE"/>
    <w:rsid w:val="00A0640A"/>
    <w:rsid w:val="00A068B7"/>
    <w:rsid w:val="00A0695B"/>
    <w:rsid w:val="00A06973"/>
    <w:rsid w:val="00A06D4B"/>
    <w:rsid w:val="00A06EE2"/>
    <w:rsid w:val="00A0716E"/>
    <w:rsid w:val="00A0753C"/>
    <w:rsid w:val="00A0753D"/>
    <w:rsid w:val="00A077A4"/>
    <w:rsid w:val="00A07920"/>
    <w:rsid w:val="00A07A77"/>
    <w:rsid w:val="00A07BD9"/>
    <w:rsid w:val="00A07E5B"/>
    <w:rsid w:val="00A07EDB"/>
    <w:rsid w:val="00A07F80"/>
    <w:rsid w:val="00A101E7"/>
    <w:rsid w:val="00A10376"/>
    <w:rsid w:val="00A106CF"/>
    <w:rsid w:val="00A106E9"/>
    <w:rsid w:val="00A1079E"/>
    <w:rsid w:val="00A107D8"/>
    <w:rsid w:val="00A109A6"/>
    <w:rsid w:val="00A10AB5"/>
    <w:rsid w:val="00A10B08"/>
    <w:rsid w:val="00A10B90"/>
    <w:rsid w:val="00A10E39"/>
    <w:rsid w:val="00A10E58"/>
    <w:rsid w:val="00A112CC"/>
    <w:rsid w:val="00A1169A"/>
    <w:rsid w:val="00A1195D"/>
    <w:rsid w:val="00A119E7"/>
    <w:rsid w:val="00A119F9"/>
    <w:rsid w:val="00A11AA8"/>
    <w:rsid w:val="00A11B2E"/>
    <w:rsid w:val="00A11CC9"/>
    <w:rsid w:val="00A11DAA"/>
    <w:rsid w:val="00A122F8"/>
    <w:rsid w:val="00A12367"/>
    <w:rsid w:val="00A12435"/>
    <w:rsid w:val="00A128D3"/>
    <w:rsid w:val="00A129C1"/>
    <w:rsid w:val="00A12A84"/>
    <w:rsid w:val="00A12D70"/>
    <w:rsid w:val="00A12D86"/>
    <w:rsid w:val="00A12E29"/>
    <w:rsid w:val="00A12EFE"/>
    <w:rsid w:val="00A12F55"/>
    <w:rsid w:val="00A130A8"/>
    <w:rsid w:val="00A13222"/>
    <w:rsid w:val="00A132D1"/>
    <w:rsid w:val="00A13473"/>
    <w:rsid w:val="00A137BD"/>
    <w:rsid w:val="00A137E3"/>
    <w:rsid w:val="00A139AD"/>
    <w:rsid w:val="00A13B2E"/>
    <w:rsid w:val="00A13CA7"/>
    <w:rsid w:val="00A13CC4"/>
    <w:rsid w:val="00A141B9"/>
    <w:rsid w:val="00A1427A"/>
    <w:rsid w:val="00A142FE"/>
    <w:rsid w:val="00A14631"/>
    <w:rsid w:val="00A14936"/>
    <w:rsid w:val="00A1494D"/>
    <w:rsid w:val="00A14B67"/>
    <w:rsid w:val="00A14B9A"/>
    <w:rsid w:val="00A14D36"/>
    <w:rsid w:val="00A14D47"/>
    <w:rsid w:val="00A14EA6"/>
    <w:rsid w:val="00A151D9"/>
    <w:rsid w:val="00A151EF"/>
    <w:rsid w:val="00A15273"/>
    <w:rsid w:val="00A15327"/>
    <w:rsid w:val="00A158B8"/>
    <w:rsid w:val="00A1595A"/>
    <w:rsid w:val="00A15ADC"/>
    <w:rsid w:val="00A15BD5"/>
    <w:rsid w:val="00A15C22"/>
    <w:rsid w:val="00A15E2A"/>
    <w:rsid w:val="00A15F6B"/>
    <w:rsid w:val="00A162C0"/>
    <w:rsid w:val="00A1632D"/>
    <w:rsid w:val="00A16482"/>
    <w:rsid w:val="00A165D7"/>
    <w:rsid w:val="00A16729"/>
    <w:rsid w:val="00A167E0"/>
    <w:rsid w:val="00A168AE"/>
    <w:rsid w:val="00A16B11"/>
    <w:rsid w:val="00A16BD3"/>
    <w:rsid w:val="00A16F7D"/>
    <w:rsid w:val="00A17135"/>
    <w:rsid w:val="00A171E0"/>
    <w:rsid w:val="00A174C2"/>
    <w:rsid w:val="00A175B9"/>
    <w:rsid w:val="00A1791D"/>
    <w:rsid w:val="00A17B25"/>
    <w:rsid w:val="00A17B96"/>
    <w:rsid w:val="00A17C8A"/>
    <w:rsid w:val="00A17E32"/>
    <w:rsid w:val="00A17E9C"/>
    <w:rsid w:val="00A17FB8"/>
    <w:rsid w:val="00A201D7"/>
    <w:rsid w:val="00A2045C"/>
    <w:rsid w:val="00A204DD"/>
    <w:rsid w:val="00A20717"/>
    <w:rsid w:val="00A2073D"/>
    <w:rsid w:val="00A207CD"/>
    <w:rsid w:val="00A20809"/>
    <w:rsid w:val="00A208E9"/>
    <w:rsid w:val="00A20C6E"/>
    <w:rsid w:val="00A20F7D"/>
    <w:rsid w:val="00A210D8"/>
    <w:rsid w:val="00A21273"/>
    <w:rsid w:val="00A21887"/>
    <w:rsid w:val="00A21C14"/>
    <w:rsid w:val="00A21C98"/>
    <w:rsid w:val="00A21F07"/>
    <w:rsid w:val="00A220D9"/>
    <w:rsid w:val="00A22690"/>
    <w:rsid w:val="00A22750"/>
    <w:rsid w:val="00A22D5C"/>
    <w:rsid w:val="00A22EAE"/>
    <w:rsid w:val="00A2308F"/>
    <w:rsid w:val="00A23395"/>
    <w:rsid w:val="00A236D6"/>
    <w:rsid w:val="00A23706"/>
    <w:rsid w:val="00A237E2"/>
    <w:rsid w:val="00A23A95"/>
    <w:rsid w:val="00A23E2C"/>
    <w:rsid w:val="00A23F18"/>
    <w:rsid w:val="00A242AF"/>
    <w:rsid w:val="00A2444F"/>
    <w:rsid w:val="00A249B8"/>
    <w:rsid w:val="00A24AEB"/>
    <w:rsid w:val="00A24FB7"/>
    <w:rsid w:val="00A25056"/>
    <w:rsid w:val="00A255ED"/>
    <w:rsid w:val="00A258C3"/>
    <w:rsid w:val="00A25BEE"/>
    <w:rsid w:val="00A26064"/>
    <w:rsid w:val="00A263BC"/>
    <w:rsid w:val="00A263FD"/>
    <w:rsid w:val="00A2665F"/>
    <w:rsid w:val="00A2670E"/>
    <w:rsid w:val="00A26973"/>
    <w:rsid w:val="00A269E1"/>
    <w:rsid w:val="00A26C66"/>
    <w:rsid w:val="00A26D9F"/>
    <w:rsid w:val="00A26E5E"/>
    <w:rsid w:val="00A27055"/>
    <w:rsid w:val="00A273D3"/>
    <w:rsid w:val="00A2747E"/>
    <w:rsid w:val="00A27C71"/>
    <w:rsid w:val="00A27CAD"/>
    <w:rsid w:val="00A27F54"/>
    <w:rsid w:val="00A30103"/>
    <w:rsid w:val="00A30136"/>
    <w:rsid w:val="00A30220"/>
    <w:rsid w:val="00A3060E"/>
    <w:rsid w:val="00A30A86"/>
    <w:rsid w:val="00A30B3E"/>
    <w:rsid w:val="00A30B63"/>
    <w:rsid w:val="00A30D7E"/>
    <w:rsid w:val="00A30FB6"/>
    <w:rsid w:val="00A3171C"/>
    <w:rsid w:val="00A31AEF"/>
    <w:rsid w:val="00A31D21"/>
    <w:rsid w:val="00A31F1D"/>
    <w:rsid w:val="00A324C4"/>
    <w:rsid w:val="00A3264D"/>
    <w:rsid w:val="00A32848"/>
    <w:rsid w:val="00A3287A"/>
    <w:rsid w:val="00A3287B"/>
    <w:rsid w:val="00A32A62"/>
    <w:rsid w:val="00A32B7C"/>
    <w:rsid w:val="00A32C5D"/>
    <w:rsid w:val="00A32F6A"/>
    <w:rsid w:val="00A33080"/>
    <w:rsid w:val="00A3344B"/>
    <w:rsid w:val="00A334D4"/>
    <w:rsid w:val="00A3367E"/>
    <w:rsid w:val="00A33720"/>
    <w:rsid w:val="00A33B60"/>
    <w:rsid w:val="00A33DCB"/>
    <w:rsid w:val="00A34169"/>
    <w:rsid w:val="00A341B6"/>
    <w:rsid w:val="00A3448C"/>
    <w:rsid w:val="00A348E5"/>
    <w:rsid w:val="00A34989"/>
    <w:rsid w:val="00A34B01"/>
    <w:rsid w:val="00A34B7F"/>
    <w:rsid w:val="00A34BB6"/>
    <w:rsid w:val="00A34D0A"/>
    <w:rsid w:val="00A34F07"/>
    <w:rsid w:val="00A350BF"/>
    <w:rsid w:val="00A35244"/>
    <w:rsid w:val="00A35384"/>
    <w:rsid w:val="00A35459"/>
    <w:rsid w:val="00A354A1"/>
    <w:rsid w:val="00A3551B"/>
    <w:rsid w:val="00A356A1"/>
    <w:rsid w:val="00A358E2"/>
    <w:rsid w:val="00A359F8"/>
    <w:rsid w:val="00A35ABE"/>
    <w:rsid w:val="00A35D18"/>
    <w:rsid w:val="00A35E6A"/>
    <w:rsid w:val="00A3600C"/>
    <w:rsid w:val="00A36385"/>
    <w:rsid w:val="00A3675A"/>
    <w:rsid w:val="00A368F6"/>
    <w:rsid w:val="00A36AC1"/>
    <w:rsid w:val="00A36F65"/>
    <w:rsid w:val="00A37196"/>
    <w:rsid w:val="00A371D0"/>
    <w:rsid w:val="00A374F0"/>
    <w:rsid w:val="00A3788B"/>
    <w:rsid w:val="00A3795F"/>
    <w:rsid w:val="00A37A14"/>
    <w:rsid w:val="00A37C56"/>
    <w:rsid w:val="00A37FA7"/>
    <w:rsid w:val="00A40212"/>
    <w:rsid w:val="00A402D7"/>
    <w:rsid w:val="00A40733"/>
    <w:rsid w:val="00A40738"/>
    <w:rsid w:val="00A40D8C"/>
    <w:rsid w:val="00A40DDC"/>
    <w:rsid w:val="00A40DF1"/>
    <w:rsid w:val="00A410F6"/>
    <w:rsid w:val="00A41306"/>
    <w:rsid w:val="00A415A0"/>
    <w:rsid w:val="00A419B7"/>
    <w:rsid w:val="00A41B6E"/>
    <w:rsid w:val="00A41BBC"/>
    <w:rsid w:val="00A41E41"/>
    <w:rsid w:val="00A41E76"/>
    <w:rsid w:val="00A420D6"/>
    <w:rsid w:val="00A4220A"/>
    <w:rsid w:val="00A4238C"/>
    <w:rsid w:val="00A42491"/>
    <w:rsid w:val="00A42506"/>
    <w:rsid w:val="00A426A5"/>
    <w:rsid w:val="00A426C7"/>
    <w:rsid w:val="00A42706"/>
    <w:rsid w:val="00A427BF"/>
    <w:rsid w:val="00A42CF9"/>
    <w:rsid w:val="00A42E67"/>
    <w:rsid w:val="00A42F17"/>
    <w:rsid w:val="00A4302F"/>
    <w:rsid w:val="00A43276"/>
    <w:rsid w:val="00A4340A"/>
    <w:rsid w:val="00A4346B"/>
    <w:rsid w:val="00A434C3"/>
    <w:rsid w:val="00A435B0"/>
    <w:rsid w:val="00A435BB"/>
    <w:rsid w:val="00A4370E"/>
    <w:rsid w:val="00A4396B"/>
    <w:rsid w:val="00A43CDF"/>
    <w:rsid w:val="00A444AB"/>
    <w:rsid w:val="00A44559"/>
    <w:rsid w:val="00A448FF"/>
    <w:rsid w:val="00A44B6D"/>
    <w:rsid w:val="00A44C78"/>
    <w:rsid w:val="00A44DB1"/>
    <w:rsid w:val="00A4517F"/>
    <w:rsid w:val="00A452CE"/>
    <w:rsid w:val="00A45307"/>
    <w:rsid w:val="00A45A0A"/>
    <w:rsid w:val="00A45AD1"/>
    <w:rsid w:val="00A45D03"/>
    <w:rsid w:val="00A45D7F"/>
    <w:rsid w:val="00A460A1"/>
    <w:rsid w:val="00A46145"/>
    <w:rsid w:val="00A46274"/>
    <w:rsid w:val="00A46390"/>
    <w:rsid w:val="00A4646E"/>
    <w:rsid w:val="00A468F4"/>
    <w:rsid w:val="00A4698F"/>
    <w:rsid w:val="00A46C26"/>
    <w:rsid w:val="00A46C50"/>
    <w:rsid w:val="00A46D6F"/>
    <w:rsid w:val="00A46E0E"/>
    <w:rsid w:val="00A470E7"/>
    <w:rsid w:val="00A47697"/>
    <w:rsid w:val="00A47748"/>
    <w:rsid w:val="00A47750"/>
    <w:rsid w:val="00A47909"/>
    <w:rsid w:val="00A47DF3"/>
    <w:rsid w:val="00A47E8D"/>
    <w:rsid w:val="00A50348"/>
    <w:rsid w:val="00A50595"/>
    <w:rsid w:val="00A506A8"/>
    <w:rsid w:val="00A50713"/>
    <w:rsid w:val="00A507F2"/>
    <w:rsid w:val="00A514BC"/>
    <w:rsid w:val="00A514D5"/>
    <w:rsid w:val="00A517A6"/>
    <w:rsid w:val="00A5190A"/>
    <w:rsid w:val="00A5199A"/>
    <w:rsid w:val="00A51AAB"/>
    <w:rsid w:val="00A51CD5"/>
    <w:rsid w:val="00A51DAD"/>
    <w:rsid w:val="00A52299"/>
    <w:rsid w:val="00A522A6"/>
    <w:rsid w:val="00A522F9"/>
    <w:rsid w:val="00A525E0"/>
    <w:rsid w:val="00A527DC"/>
    <w:rsid w:val="00A529D4"/>
    <w:rsid w:val="00A52ABE"/>
    <w:rsid w:val="00A5300E"/>
    <w:rsid w:val="00A5334D"/>
    <w:rsid w:val="00A5340E"/>
    <w:rsid w:val="00A5379C"/>
    <w:rsid w:val="00A537D6"/>
    <w:rsid w:val="00A538AE"/>
    <w:rsid w:val="00A53903"/>
    <w:rsid w:val="00A53A9B"/>
    <w:rsid w:val="00A53B13"/>
    <w:rsid w:val="00A5428B"/>
    <w:rsid w:val="00A54395"/>
    <w:rsid w:val="00A54670"/>
    <w:rsid w:val="00A546F3"/>
    <w:rsid w:val="00A54AAC"/>
    <w:rsid w:val="00A54C11"/>
    <w:rsid w:val="00A54C6D"/>
    <w:rsid w:val="00A54E4F"/>
    <w:rsid w:val="00A54EEF"/>
    <w:rsid w:val="00A551C4"/>
    <w:rsid w:val="00A555FE"/>
    <w:rsid w:val="00A55614"/>
    <w:rsid w:val="00A556FB"/>
    <w:rsid w:val="00A557DA"/>
    <w:rsid w:val="00A55930"/>
    <w:rsid w:val="00A559B9"/>
    <w:rsid w:val="00A55A17"/>
    <w:rsid w:val="00A56156"/>
    <w:rsid w:val="00A561FE"/>
    <w:rsid w:val="00A5620C"/>
    <w:rsid w:val="00A56211"/>
    <w:rsid w:val="00A56335"/>
    <w:rsid w:val="00A5650F"/>
    <w:rsid w:val="00A5693A"/>
    <w:rsid w:val="00A573A0"/>
    <w:rsid w:val="00A5745C"/>
    <w:rsid w:val="00A57CF3"/>
    <w:rsid w:val="00A57D26"/>
    <w:rsid w:val="00A57F82"/>
    <w:rsid w:val="00A60337"/>
    <w:rsid w:val="00A60416"/>
    <w:rsid w:val="00A60614"/>
    <w:rsid w:val="00A609C1"/>
    <w:rsid w:val="00A60A28"/>
    <w:rsid w:val="00A60A37"/>
    <w:rsid w:val="00A60E3F"/>
    <w:rsid w:val="00A612D7"/>
    <w:rsid w:val="00A6132A"/>
    <w:rsid w:val="00A613FB"/>
    <w:rsid w:val="00A61608"/>
    <w:rsid w:val="00A616E7"/>
    <w:rsid w:val="00A617B6"/>
    <w:rsid w:val="00A61D33"/>
    <w:rsid w:val="00A61DB0"/>
    <w:rsid w:val="00A61F1D"/>
    <w:rsid w:val="00A62053"/>
    <w:rsid w:val="00A62091"/>
    <w:rsid w:val="00A621D2"/>
    <w:rsid w:val="00A622FB"/>
    <w:rsid w:val="00A62394"/>
    <w:rsid w:val="00A628A2"/>
    <w:rsid w:val="00A6293D"/>
    <w:rsid w:val="00A62B9D"/>
    <w:rsid w:val="00A62E4D"/>
    <w:rsid w:val="00A63031"/>
    <w:rsid w:val="00A63102"/>
    <w:rsid w:val="00A63383"/>
    <w:rsid w:val="00A63E19"/>
    <w:rsid w:val="00A63F23"/>
    <w:rsid w:val="00A64108"/>
    <w:rsid w:val="00A64825"/>
    <w:rsid w:val="00A64CE6"/>
    <w:rsid w:val="00A64EB1"/>
    <w:rsid w:val="00A64EFE"/>
    <w:rsid w:val="00A6521E"/>
    <w:rsid w:val="00A652AC"/>
    <w:rsid w:val="00A6539B"/>
    <w:rsid w:val="00A6577B"/>
    <w:rsid w:val="00A65902"/>
    <w:rsid w:val="00A65A67"/>
    <w:rsid w:val="00A65A99"/>
    <w:rsid w:val="00A65BB5"/>
    <w:rsid w:val="00A65EC0"/>
    <w:rsid w:val="00A6627F"/>
    <w:rsid w:val="00A66430"/>
    <w:rsid w:val="00A6653A"/>
    <w:rsid w:val="00A66611"/>
    <w:rsid w:val="00A66615"/>
    <w:rsid w:val="00A666BE"/>
    <w:rsid w:val="00A667AD"/>
    <w:rsid w:val="00A668FF"/>
    <w:rsid w:val="00A66A6E"/>
    <w:rsid w:val="00A66E8F"/>
    <w:rsid w:val="00A67176"/>
    <w:rsid w:val="00A67363"/>
    <w:rsid w:val="00A6740A"/>
    <w:rsid w:val="00A679C7"/>
    <w:rsid w:val="00A67F26"/>
    <w:rsid w:val="00A67FF9"/>
    <w:rsid w:val="00A70174"/>
    <w:rsid w:val="00A7030B"/>
    <w:rsid w:val="00A7048B"/>
    <w:rsid w:val="00A7055C"/>
    <w:rsid w:val="00A70A0A"/>
    <w:rsid w:val="00A70CB7"/>
    <w:rsid w:val="00A70E04"/>
    <w:rsid w:val="00A71153"/>
    <w:rsid w:val="00A71199"/>
    <w:rsid w:val="00A714B9"/>
    <w:rsid w:val="00A714BA"/>
    <w:rsid w:val="00A715BA"/>
    <w:rsid w:val="00A71768"/>
    <w:rsid w:val="00A7186B"/>
    <w:rsid w:val="00A71A3A"/>
    <w:rsid w:val="00A71C17"/>
    <w:rsid w:val="00A71E32"/>
    <w:rsid w:val="00A71FF6"/>
    <w:rsid w:val="00A72072"/>
    <w:rsid w:val="00A72472"/>
    <w:rsid w:val="00A7248F"/>
    <w:rsid w:val="00A7259C"/>
    <w:rsid w:val="00A7279F"/>
    <w:rsid w:val="00A727B5"/>
    <w:rsid w:val="00A72986"/>
    <w:rsid w:val="00A72A12"/>
    <w:rsid w:val="00A72C65"/>
    <w:rsid w:val="00A72CBA"/>
    <w:rsid w:val="00A72F2B"/>
    <w:rsid w:val="00A73050"/>
    <w:rsid w:val="00A73446"/>
    <w:rsid w:val="00A735C2"/>
    <w:rsid w:val="00A73734"/>
    <w:rsid w:val="00A7387B"/>
    <w:rsid w:val="00A74439"/>
    <w:rsid w:val="00A7468A"/>
    <w:rsid w:val="00A74E51"/>
    <w:rsid w:val="00A75168"/>
    <w:rsid w:val="00A7533E"/>
    <w:rsid w:val="00A753CF"/>
    <w:rsid w:val="00A753F7"/>
    <w:rsid w:val="00A755A7"/>
    <w:rsid w:val="00A7589A"/>
    <w:rsid w:val="00A75A34"/>
    <w:rsid w:val="00A75A5A"/>
    <w:rsid w:val="00A75D33"/>
    <w:rsid w:val="00A75EE6"/>
    <w:rsid w:val="00A76659"/>
    <w:rsid w:val="00A76662"/>
    <w:rsid w:val="00A767E6"/>
    <w:rsid w:val="00A76AFE"/>
    <w:rsid w:val="00A76DA7"/>
    <w:rsid w:val="00A776FA"/>
    <w:rsid w:val="00A777AE"/>
    <w:rsid w:val="00A77968"/>
    <w:rsid w:val="00A77C88"/>
    <w:rsid w:val="00A77FB4"/>
    <w:rsid w:val="00A8041F"/>
    <w:rsid w:val="00A804AF"/>
    <w:rsid w:val="00A804C5"/>
    <w:rsid w:val="00A80A76"/>
    <w:rsid w:val="00A80AFC"/>
    <w:rsid w:val="00A80B14"/>
    <w:rsid w:val="00A80F74"/>
    <w:rsid w:val="00A811ED"/>
    <w:rsid w:val="00A812FC"/>
    <w:rsid w:val="00A81364"/>
    <w:rsid w:val="00A813EE"/>
    <w:rsid w:val="00A81446"/>
    <w:rsid w:val="00A814FC"/>
    <w:rsid w:val="00A8153B"/>
    <w:rsid w:val="00A816A9"/>
    <w:rsid w:val="00A81787"/>
    <w:rsid w:val="00A81849"/>
    <w:rsid w:val="00A81B11"/>
    <w:rsid w:val="00A81D9E"/>
    <w:rsid w:val="00A82017"/>
    <w:rsid w:val="00A8216F"/>
    <w:rsid w:val="00A8268B"/>
    <w:rsid w:val="00A826D1"/>
    <w:rsid w:val="00A82973"/>
    <w:rsid w:val="00A82A73"/>
    <w:rsid w:val="00A82B43"/>
    <w:rsid w:val="00A82D57"/>
    <w:rsid w:val="00A8314F"/>
    <w:rsid w:val="00A831A5"/>
    <w:rsid w:val="00A832FA"/>
    <w:rsid w:val="00A836A2"/>
    <w:rsid w:val="00A837C3"/>
    <w:rsid w:val="00A83871"/>
    <w:rsid w:val="00A83A15"/>
    <w:rsid w:val="00A83A99"/>
    <w:rsid w:val="00A840A1"/>
    <w:rsid w:val="00A844C2"/>
    <w:rsid w:val="00A8469C"/>
    <w:rsid w:val="00A84F22"/>
    <w:rsid w:val="00A85003"/>
    <w:rsid w:val="00A8526E"/>
    <w:rsid w:val="00A85471"/>
    <w:rsid w:val="00A854C5"/>
    <w:rsid w:val="00A85740"/>
    <w:rsid w:val="00A85752"/>
    <w:rsid w:val="00A85923"/>
    <w:rsid w:val="00A85BAF"/>
    <w:rsid w:val="00A860D9"/>
    <w:rsid w:val="00A86132"/>
    <w:rsid w:val="00A86331"/>
    <w:rsid w:val="00A8646C"/>
    <w:rsid w:val="00A8655F"/>
    <w:rsid w:val="00A868E7"/>
    <w:rsid w:val="00A86A80"/>
    <w:rsid w:val="00A86CE5"/>
    <w:rsid w:val="00A87153"/>
    <w:rsid w:val="00A8720A"/>
    <w:rsid w:val="00A872CF"/>
    <w:rsid w:val="00A8744A"/>
    <w:rsid w:val="00A876E2"/>
    <w:rsid w:val="00A8781E"/>
    <w:rsid w:val="00A87A13"/>
    <w:rsid w:val="00A87A1B"/>
    <w:rsid w:val="00A87A3C"/>
    <w:rsid w:val="00A87F81"/>
    <w:rsid w:val="00A90058"/>
    <w:rsid w:val="00A900AB"/>
    <w:rsid w:val="00A90132"/>
    <w:rsid w:val="00A902D3"/>
    <w:rsid w:val="00A9033F"/>
    <w:rsid w:val="00A903E3"/>
    <w:rsid w:val="00A90467"/>
    <w:rsid w:val="00A90544"/>
    <w:rsid w:val="00A90550"/>
    <w:rsid w:val="00A9056A"/>
    <w:rsid w:val="00A907C5"/>
    <w:rsid w:val="00A909F5"/>
    <w:rsid w:val="00A911A9"/>
    <w:rsid w:val="00A9133B"/>
    <w:rsid w:val="00A914A7"/>
    <w:rsid w:val="00A9187F"/>
    <w:rsid w:val="00A91B5A"/>
    <w:rsid w:val="00A91C6E"/>
    <w:rsid w:val="00A91F8B"/>
    <w:rsid w:val="00A9211B"/>
    <w:rsid w:val="00A92344"/>
    <w:rsid w:val="00A92557"/>
    <w:rsid w:val="00A927C6"/>
    <w:rsid w:val="00A9285D"/>
    <w:rsid w:val="00A9294C"/>
    <w:rsid w:val="00A92B85"/>
    <w:rsid w:val="00A93232"/>
    <w:rsid w:val="00A9332C"/>
    <w:rsid w:val="00A93551"/>
    <w:rsid w:val="00A937A5"/>
    <w:rsid w:val="00A937B9"/>
    <w:rsid w:val="00A937DD"/>
    <w:rsid w:val="00A93B17"/>
    <w:rsid w:val="00A93BDE"/>
    <w:rsid w:val="00A93CE0"/>
    <w:rsid w:val="00A93FB7"/>
    <w:rsid w:val="00A94203"/>
    <w:rsid w:val="00A94364"/>
    <w:rsid w:val="00A94394"/>
    <w:rsid w:val="00A943EB"/>
    <w:rsid w:val="00A944E9"/>
    <w:rsid w:val="00A94556"/>
    <w:rsid w:val="00A94706"/>
    <w:rsid w:val="00A947E8"/>
    <w:rsid w:val="00A94911"/>
    <w:rsid w:val="00A949A7"/>
    <w:rsid w:val="00A94C56"/>
    <w:rsid w:val="00A94DD6"/>
    <w:rsid w:val="00A94E2D"/>
    <w:rsid w:val="00A9501D"/>
    <w:rsid w:val="00A955B8"/>
    <w:rsid w:val="00A95690"/>
    <w:rsid w:val="00A9592A"/>
    <w:rsid w:val="00A9596A"/>
    <w:rsid w:val="00A95AEA"/>
    <w:rsid w:val="00A95BDD"/>
    <w:rsid w:val="00A95CAE"/>
    <w:rsid w:val="00A95D05"/>
    <w:rsid w:val="00A95DCC"/>
    <w:rsid w:val="00A95E9A"/>
    <w:rsid w:val="00A96163"/>
    <w:rsid w:val="00A966BA"/>
    <w:rsid w:val="00A9676D"/>
    <w:rsid w:val="00A9678E"/>
    <w:rsid w:val="00A9679B"/>
    <w:rsid w:val="00A968AE"/>
    <w:rsid w:val="00A9697A"/>
    <w:rsid w:val="00A96A8E"/>
    <w:rsid w:val="00A96AB3"/>
    <w:rsid w:val="00A96C17"/>
    <w:rsid w:val="00A96C9B"/>
    <w:rsid w:val="00A96CB3"/>
    <w:rsid w:val="00A96FD7"/>
    <w:rsid w:val="00A9767E"/>
    <w:rsid w:val="00A976CA"/>
    <w:rsid w:val="00A97743"/>
    <w:rsid w:val="00A97F42"/>
    <w:rsid w:val="00AA025E"/>
    <w:rsid w:val="00AA029D"/>
    <w:rsid w:val="00AA0333"/>
    <w:rsid w:val="00AA04A0"/>
    <w:rsid w:val="00AA0811"/>
    <w:rsid w:val="00AA094C"/>
    <w:rsid w:val="00AA0BA0"/>
    <w:rsid w:val="00AA0C35"/>
    <w:rsid w:val="00AA115D"/>
    <w:rsid w:val="00AA11BC"/>
    <w:rsid w:val="00AA13E5"/>
    <w:rsid w:val="00AA1426"/>
    <w:rsid w:val="00AA143B"/>
    <w:rsid w:val="00AA1B9C"/>
    <w:rsid w:val="00AA1BC8"/>
    <w:rsid w:val="00AA1DD9"/>
    <w:rsid w:val="00AA2336"/>
    <w:rsid w:val="00AA234F"/>
    <w:rsid w:val="00AA23A8"/>
    <w:rsid w:val="00AA2655"/>
    <w:rsid w:val="00AA27EE"/>
    <w:rsid w:val="00AA2A6A"/>
    <w:rsid w:val="00AA2FAA"/>
    <w:rsid w:val="00AA3125"/>
    <w:rsid w:val="00AA36B3"/>
    <w:rsid w:val="00AA3853"/>
    <w:rsid w:val="00AA393A"/>
    <w:rsid w:val="00AA3A19"/>
    <w:rsid w:val="00AA3B97"/>
    <w:rsid w:val="00AA3C11"/>
    <w:rsid w:val="00AA3C16"/>
    <w:rsid w:val="00AA3D6E"/>
    <w:rsid w:val="00AA3F10"/>
    <w:rsid w:val="00AA40DF"/>
    <w:rsid w:val="00AA476A"/>
    <w:rsid w:val="00AA483C"/>
    <w:rsid w:val="00AA4C86"/>
    <w:rsid w:val="00AA4CB0"/>
    <w:rsid w:val="00AA4D17"/>
    <w:rsid w:val="00AA4E45"/>
    <w:rsid w:val="00AA4E6E"/>
    <w:rsid w:val="00AA4EFD"/>
    <w:rsid w:val="00AA5040"/>
    <w:rsid w:val="00AA52CF"/>
    <w:rsid w:val="00AA547D"/>
    <w:rsid w:val="00AA5550"/>
    <w:rsid w:val="00AA5846"/>
    <w:rsid w:val="00AA58A9"/>
    <w:rsid w:val="00AA5B7F"/>
    <w:rsid w:val="00AA6166"/>
    <w:rsid w:val="00AA6226"/>
    <w:rsid w:val="00AA640A"/>
    <w:rsid w:val="00AA6885"/>
    <w:rsid w:val="00AA6D5F"/>
    <w:rsid w:val="00AA6DEE"/>
    <w:rsid w:val="00AA6E83"/>
    <w:rsid w:val="00AA74E4"/>
    <w:rsid w:val="00AA7616"/>
    <w:rsid w:val="00AA7677"/>
    <w:rsid w:val="00AA76D8"/>
    <w:rsid w:val="00AA773B"/>
    <w:rsid w:val="00AA7814"/>
    <w:rsid w:val="00AA79B4"/>
    <w:rsid w:val="00AA79EF"/>
    <w:rsid w:val="00AA7DDB"/>
    <w:rsid w:val="00AB0117"/>
    <w:rsid w:val="00AB0134"/>
    <w:rsid w:val="00AB01B6"/>
    <w:rsid w:val="00AB06BA"/>
    <w:rsid w:val="00AB075B"/>
    <w:rsid w:val="00AB07F8"/>
    <w:rsid w:val="00AB085C"/>
    <w:rsid w:val="00AB0C52"/>
    <w:rsid w:val="00AB0C8C"/>
    <w:rsid w:val="00AB0D6A"/>
    <w:rsid w:val="00AB0F39"/>
    <w:rsid w:val="00AB0FC4"/>
    <w:rsid w:val="00AB1002"/>
    <w:rsid w:val="00AB11DB"/>
    <w:rsid w:val="00AB1345"/>
    <w:rsid w:val="00AB141E"/>
    <w:rsid w:val="00AB14FE"/>
    <w:rsid w:val="00AB1605"/>
    <w:rsid w:val="00AB19D5"/>
    <w:rsid w:val="00AB20AF"/>
    <w:rsid w:val="00AB2377"/>
    <w:rsid w:val="00AB2485"/>
    <w:rsid w:val="00AB2783"/>
    <w:rsid w:val="00AB2803"/>
    <w:rsid w:val="00AB2B15"/>
    <w:rsid w:val="00AB2C64"/>
    <w:rsid w:val="00AB31A5"/>
    <w:rsid w:val="00AB32D1"/>
    <w:rsid w:val="00AB3395"/>
    <w:rsid w:val="00AB383B"/>
    <w:rsid w:val="00AB3990"/>
    <w:rsid w:val="00AB3ACC"/>
    <w:rsid w:val="00AB3BD4"/>
    <w:rsid w:val="00AB3EF9"/>
    <w:rsid w:val="00AB40A3"/>
    <w:rsid w:val="00AB40BE"/>
    <w:rsid w:val="00AB425F"/>
    <w:rsid w:val="00AB4B3F"/>
    <w:rsid w:val="00AB4C15"/>
    <w:rsid w:val="00AB4D89"/>
    <w:rsid w:val="00AB4E1D"/>
    <w:rsid w:val="00AB512A"/>
    <w:rsid w:val="00AB51C2"/>
    <w:rsid w:val="00AB54E7"/>
    <w:rsid w:val="00AB5C68"/>
    <w:rsid w:val="00AB5D81"/>
    <w:rsid w:val="00AB5F9C"/>
    <w:rsid w:val="00AB5FB3"/>
    <w:rsid w:val="00AB5FCF"/>
    <w:rsid w:val="00AB5FD5"/>
    <w:rsid w:val="00AB6664"/>
    <w:rsid w:val="00AB67E4"/>
    <w:rsid w:val="00AB6843"/>
    <w:rsid w:val="00AB693C"/>
    <w:rsid w:val="00AB6B08"/>
    <w:rsid w:val="00AB6BBC"/>
    <w:rsid w:val="00AB6C91"/>
    <w:rsid w:val="00AB73B6"/>
    <w:rsid w:val="00AB75F8"/>
    <w:rsid w:val="00AB7D73"/>
    <w:rsid w:val="00AB7E23"/>
    <w:rsid w:val="00AB7E52"/>
    <w:rsid w:val="00AB7F37"/>
    <w:rsid w:val="00AC03CB"/>
    <w:rsid w:val="00AC03E0"/>
    <w:rsid w:val="00AC0566"/>
    <w:rsid w:val="00AC060E"/>
    <w:rsid w:val="00AC064B"/>
    <w:rsid w:val="00AC08C5"/>
    <w:rsid w:val="00AC0ABD"/>
    <w:rsid w:val="00AC0B30"/>
    <w:rsid w:val="00AC0E27"/>
    <w:rsid w:val="00AC1036"/>
    <w:rsid w:val="00AC10F5"/>
    <w:rsid w:val="00AC1200"/>
    <w:rsid w:val="00AC12F2"/>
    <w:rsid w:val="00AC1861"/>
    <w:rsid w:val="00AC1A19"/>
    <w:rsid w:val="00AC1A3D"/>
    <w:rsid w:val="00AC1A99"/>
    <w:rsid w:val="00AC1B2B"/>
    <w:rsid w:val="00AC1BD5"/>
    <w:rsid w:val="00AC1C55"/>
    <w:rsid w:val="00AC1FAE"/>
    <w:rsid w:val="00AC20DA"/>
    <w:rsid w:val="00AC225D"/>
    <w:rsid w:val="00AC250A"/>
    <w:rsid w:val="00AC25A9"/>
    <w:rsid w:val="00AC2793"/>
    <w:rsid w:val="00AC27C6"/>
    <w:rsid w:val="00AC2C29"/>
    <w:rsid w:val="00AC2CDB"/>
    <w:rsid w:val="00AC2DC9"/>
    <w:rsid w:val="00AC2FF9"/>
    <w:rsid w:val="00AC30D0"/>
    <w:rsid w:val="00AC32B5"/>
    <w:rsid w:val="00AC3696"/>
    <w:rsid w:val="00AC36AC"/>
    <w:rsid w:val="00AC3B7B"/>
    <w:rsid w:val="00AC3DAC"/>
    <w:rsid w:val="00AC41CB"/>
    <w:rsid w:val="00AC425D"/>
    <w:rsid w:val="00AC4B2D"/>
    <w:rsid w:val="00AC4E1A"/>
    <w:rsid w:val="00AC511B"/>
    <w:rsid w:val="00AC5289"/>
    <w:rsid w:val="00AC5446"/>
    <w:rsid w:val="00AC54A3"/>
    <w:rsid w:val="00AC54BE"/>
    <w:rsid w:val="00AC5862"/>
    <w:rsid w:val="00AC586A"/>
    <w:rsid w:val="00AC5A48"/>
    <w:rsid w:val="00AC5AEE"/>
    <w:rsid w:val="00AC5AFE"/>
    <w:rsid w:val="00AC5D96"/>
    <w:rsid w:val="00AC5EC5"/>
    <w:rsid w:val="00AC5FFB"/>
    <w:rsid w:val="00AC6127"/>
    <w:rsid w:val="00AC6338"/>
    <w:rsid w:val="00AC686E"/>
    <w:rsid w:val="00AC6950"/>
    <w:rsid w:val="00AC6987"/>
    <w:rsid w:val="00AC6A8C"/>
    <w:rsid w:val="00AC6AB9"/>
    <w:rsid w:val="00AC6C92"/>
    <w:rsid w:val="00AC6D15"/>
    <w:rsid w:val="00AC6DD3"/>
    <w:rsid w:val="00AC6E73"/>
    <w:rsid w:val="00AC6EF8"/>
    <w:rsid w:val="00AC70B8"/>
    <w:rsid w:val="00AC71D8"/>
    <w:rsid w:val="00AC7350"/>
    <w:rsid w:val="00AC7357"/>
    <w:rsid w:val="00AC75C9"/>
    <w:rsid w:val="00AC76A1"/>
    <w:rsid w:val="00AC7B45"/>
    <w:rsid w:val="00AC7C8B"/>
    <w:rsid w:val="00AC7CBB"/>
    <w:rsid w:val="00AC7DE2"/>
    <w:rsid w:val="00AD0252"/>
    <w:rsid w:val="00AD02F5"/>
    <w:rsid w:val="00AD03CF"/>
    <w:rsid w:val="00AD03F5"/>
    <w:rsid w:val="00AD060F"/>
    <w:rsid w:val="00AD0862"/>
    <w:rsid w:val="00AD092A"/>
    <w:rsid w:val="00AD092E"/>
    <w:rsid w:val="00AD112A"/>
    <w:rsid w:val="00AD1266"/>
    <w:rsid w:val="00AD1338"/>
    <w:rsid w:val="00AD1433"/>
    <w:rsid w:val="00AD15FB"/>
    <w:rsid w:val="00AD183C"/>
    <w:rsid w:val="00AD1999"/>
    <w:rsid w:val="00AD1F49"/>
    <w:rsid w:val="00AD2226"/>
    <w:rsid w:val="00AD245D"/>
    <w:rsid w:val="00AD2522"/>
    <w:rsid w:val="00AD317A"/>
    <w:rsid w:val="00AD31CD"/>
    <w:rsid w:val="00AD34BE"/>
    <w:rsid w:val="00AD3BBC"/>
    <w:rsid w:val="00AD3BCF"/>
    <w:rsid w:val="00AD3C63"/>
    <w:rsid w:val="00AD3C89"/>
    <w:rsid w:val="00AD3E60"/>
    <w:rsid w:val="00AD4171"/>
    <w:rsid w:val="00AD437B"/>
    <w:rsid w:val="00AD4468"/>
    <w:rsid w:val="00AD4800"/>
    <w:rsid w:val="00AD4B1B"/>
    <w:rsid w:val="00AD505C"/>
    <w:rsid w:val="00AD5357"/>
    <w:rsid w:val="00AD585E"/>
    <w:rsid w:val="00AD5879"/>
    <w:rsid w:val="00AD5BEB"/>
    <w:rsid w:val="00AD5CB9"/>
    <w:rsid w:val="00AD5D86"/>
    <w:rsid w:val="00AD5E2F"/>
    <w:rsid w:val="00AD6036"/>
    <w:rsid w:val="00AD63BE"/>
    <w:rsid w:val="00AD64BE"/>
    <w:rsid w:val="00AD68A8"/>
    <w:rsid w:val="00AD6925"/>
    <w:rsid w:val="00AD6D71"/>
    <w:rsid w:val="00AD6DC0"/>
    <w:rsid w:val="00AD7344"/>
    <w:rsid w:val="00AD73D0"/>
    <w:rsid w:val="00AD745C"/>
    <w:rsid w:val="00AD755A"/>
    <w:rsid w:val="00AD793E"/>
    <w:rsid w:val="00AD7982"/>
    <w:rsid w:val="00AD7A97"/>
    <w:rsid w:val="00AD7AF5"/>
    <w:rsid w:val="00AD7B87"/>
    <w:rsid w:val="00AD7F9B"/>
    <w:rsid w:val="00AE01E4"/>
    <w:rsid w:val="00AE047D"/>
    <w:rsid w:val="00AE04D5"/>
    <w:rsid w:val="00AE0610"/>
    <w:rsid w:val="00AE073E"/>
    <w:rsid w:val="00AE080F"/>
    <w:rsid w:val="00AE08FC"/>
    <w:rsid w:val="00AE0A5B"/>
    <w:rsid w:val="00AE0AFE"/>
    <w:rsid w:val="00AE0EC0"/>
    <w:rsid w:val="00AE0EC8"/>
    <w:rsid w:val="00AE102F"/>
    <w:rsid w:val="00AE1224"/>
    <w:rsid w:val="00AE1674"/>
    <w:rsid w:val="00AE16C1"/>
    <w:rsid w:val="00AE1889"/>
    <w:rsid w:val="00AE1D31"/>
    <w:rsid w:val="00AE1DD0"/>
    <w:rsid w:val="00AE21E9"/>
    <w:rsid w:val="00AE2489"/>
    <w:rsid w:val="00AE26FA"/>
    <w:rsid w:val="00AE28D0"/>
    <w:rsid w:val="00AE29E7"/>
    <w:rsid w:val="00AE2B6E"/>
    <w:rsid w:val="00AE2D64"/>
    <w:rsid w:val="00AE2D83"/>
    <w:rsid w:val="00AE2E84"/>
    <w:rsid w:val="00AE2E9C"/>
    <w:rsid w:val="00AE2ECA"/>
    <w:rsid w:val="00AE3078"/>
    <w:rsid w:val="00AE3555"/>
    <w:rsid w:val="00AE37DC"/>
    <w:rsid w:val="00AE39B4"/>
    <w:rsid w:val="00AE3C89"/>
    <w:rsid w:val="00AE3C95"/>
    <w:rsid w:val="00AE3DDF"/>
    <w:rsid w:val="00AE3E42"/>
    <w:rsid w:val="00AE404F"/>
    <w:rsid w:val="00AE4196"/>
    <w:rsid w:val="00AE45E8"/>
    <w:rsid w:val="00AE45F9"/>
    <w:rsid w:val="00AE45FB"/>
    <w:rsid w:val="00AE46D4"/>
    <w:rsid w:val="00AE470B"/>
    <w:rsid w:val="00AE48CD"/>
    <w:rsid w:val="00AE48E3"/>
    <w:rsid w:val="00AE4C69"/>
    <w:rsid w:val="00AE4CA5"/>
    <w:rsid w:val="00AE5019"/>
    <w:rsid w:val="00AE5419"/>
    <w:rsid w:val="00AE59DD"/>
    <w:rsid w:val="00AE5D3F"/>
    <w:rsid w:val="00AE5E6C"/>
    <w:rsid w:val="00AE6076"/>
    <w:rsid w:val="00AE62C8"/>
    <w:rsid w:val="00AE6332"/>
    <w:rsid w:val="00AE65A7"/>
    <w:rsid w:val="00AE6C25"/>
    <w:rsid w:val="00AE6C3C"/>
    <w:rsid w:val="00AE6D35"/>
    <w:rsid w:val="00AE6DC8"/>
    <w:rsid w:val="00AE7227"/>
    <w:rsid w:val="00AE73EE"/>
    <w:rsid w:val="00AE77F1"/>
    <w:rsid w:val="00AE7833"/>
    <w:rsid w:val="00AE78A2"/>
    <w:rsid w:val="00AE79FA"/>
    <w:rsid w:val="00AF00C6"/>
    <w:rsid w:val="00AF05D9"/>
    <w:rsid w:val="00AF0610"/>
    <w:rsid w:val="00AF061D"/>
    <w:rsid w:val="00AF086E"/>
    <w:rsid w:val="00AF0F9C"/>
    <w:rsid w:val="00AF0FDA"/>
    <w:rsid w:val="00AF10D0"/>
    <w:rsid w:val="00AF1294"/>
    <w:rsid w:val="00AF13BC"/>
    <w:rsid w:val="00AF1A40"/>
    <w:rsid w:val="00AF1D5E"/>
    <w:rsid w:val="00AF1E55"/>
    <w:rsid w:val="00AF1F21"/>
    <w:rsid w:val="00AF20AA"/>
    <w:rsid w:val="00AF217B"/>
    <w:rsid w:val="00AF2380"/>
    <w:rsid w:val="00AF255A"/>
    <w:rsid w:val="00AF27DE"/>
    <w:rsid w:val="00AF28C7"/>
    <w:rsid w:val="00AF28E1"/>
    <w:rsid w:val="00AF290D"/>
    <w:rsid w:val="00AF2AA1"/>
    <w:rsid w:val="00AF2AF2"/>
    <w:rsid w:val="00AF2D1C"/>
    <w:rsid w:val="00AF2F66"/>
    <w:rsid w:val="00AF317E"/>
    <w:rsid w:val="00AF34B8"/>
    <w:rsid w:val="00AF360A"/>
    <w:rsid w:val="00AF36A3"/>
    <w:rsid w:val="00AF39C2"/>
    <w:rsid w:val="00AF3B10"/>
    <w:rsid w:val="00AF3EA8"/>
    <w:rsid w:val="00AF4156"/>
    <w:rsid w:val="00AF4551"/>
    <w:rsid w:val="00AF45A3"/>
    <w:rsid w:val="00AF46C9"/>
    <w:rsid w:val="00AF46D5"/>
    <w:rsid w:val="00AF474E"/>
    <w:rsid w:val="00AF4CCA"/>
    <w:rsid w:val="00AF4D2B"/>
    <w:rsid w:val="00AF50B2"/>
    <w:rsid w:val="00AF518F"/>
    <w:rsid w:val="00AF51D7"/>
    <w:rsid w:val="00AF5258"/>
    <w:rsid w:val="00AF5591"/>
    <w:rsid w:val="00AF61D2"/>
    <w:rsid w:val="00AF6206"/>
    <w:rsid w:val="00AF633F"/>
    <w:rsid w:val="00AF655B"/>
    <w:rsid w:val="00AF677A"/>
    <w:rsid w:val="00AF6867"/>
    <w:rsid w:val="00AF6892"/>
    <w:rsid w:val="00AF692B"/>
    <w:rsid w:val="00AF6AC5"/>
    <w:rsid w:val="00AF6B26"/>
    <w:rsid w:val="00AF6B95"/>
    <w:rsid w:val="00AF6BB9"/>
    <w:rsid w:val="00AF6E1D"/>
    <w:rsid w:val="00AF7206"/>
    <w:rsid w:val="00AF7290"/>
    <w:rsid w:val="00AF7338"/>
    <w:rsid w:val="00AF74CD"/>
    <w:rsid w:val="00AF7834"/>
    <w:rsid w:val="00AF78BC"/>
    <w:rsid w:val="00AF7903"/>
    <w:rsid w:val="00AF7B5F"/>
    <w:rsid w:val="00B0000F"/>
    <w:rsid w:val="00B00352"/>
    <w:rsid w:val="00B00475"/>
    <w:rsid w:val="00B00532"/>
    <w:rsid w:val="00B00628"/>
    <w:rsid w:val="00B00672"/>
    <w:rsid w:val="00B00C48"/>
    <w:rsid w:val="00B00D18"/>
    <w:rsid w:val="00B00E46"/>
    <w:rsid w:val="00B00F66"/>
    <w:rsid w:val="00B00FA8"/>
    <w:rsid w:val="00B01013"/>
    <w:rsid w:val="00B0142A"/>
    <w:rsid w:val="00B01554"/>
    <w:rsid w:val="00B01625"/>
    <w:rsid w:val="00B018B0"/>
    <w:rsid w:val="00B01CD9"/>
    <w:rsid w:val="00B01D01"/>
    <w:rsid w:val="00B01D3E"/>
    <w:rsid w:val="00B01D8E"/>
    <w:rsid w:val="00B01E49"/>
    <w:rsid w:val="00B01E60"/>
    <w:rsid w:val="00B01EF8"/>
    <w:rsid w:val="00B020CD"/>
    <w:rsid w:val="00B0221D"/>
    <w:rsid w:val="00B02317"/>
    <w:rsid w:val="00B024DD"/>
    <w:rsid w:val="00B02A9F"/>
    <w:rsid w:val="00B02AC1"/>
    <w:rsid w:val="00B02B6E"/>
    <w:rsid w:val="00B02BAF"/>
    <w:rsid w:val="00B02BC8"/>
    <w:rsid w:val="00B02C27"/>
    <w:rsid w:val="00B02DE7"/>
    <w:rsid w:val="00B02EC0"/>
    <w:rsid w:val="00B03098"/>
    <w:rsid w:val="00B031ED"/>
    <w:rsid w:val="00B0325E"/>
    <w:rsid w:val="00B0334F"/>
    <w:rsid w:val="00B0362C"/>
    <w:rsid w:val="00B037CF"/>
    <w:rsid w:val="00B03918"/>
    <w:rsid w:val="00B03B64"/>
    <w:rsid w:val="00B03B89"/>
    <w:rsid w:val="00B03C8B"/>
    <w:rsid w:val="00B03F26"/>
    <w:rsid w:val="00B04038"/>
    <w:rsid w:val="00B04164"/>
    <w:rsid w:val="00B041DF"/>
    <w:rsid w:val="00B04312"/>
    <w:rsid w:val="00B04455"/>
    <w:rsid w:val="00B04623"/>
    <w:rsid w:val="00B04998"/>
    <w:rsid w:val="00B04ADB"/>
    <w:rsid w:val="00B04C5C"/>
    <w:rsid w:val="00B04EAC"/>
    <w:rsid w:val="00B050CA"/>
    <w:rsid w:val="00B052E2"/>
    <w:rsid w:val="00B05837"/>
    <w:rsid w:val="00B05C35"/>
    <w:rsid w:val="00B06560"/>
    <w:rsid w:val="00B06577"/>
    <w:rsid w:val="00B068B7"/>
    <w:rsid w:val="00B06E2F"/>
    <w:rsid w:val="00B072E2"/>
    <w:rsid w:val="00B0734F"/>
    <w:rsid w:val="00B07370"/>
    <w:rsid w:val="00B0752F"/>
    <w:rsid w:val="00B07663"/>
    <w:rsid w:val="00B0773E"/>
    <w:rsid w:val="00B077FF"/>
    <w:rsid w:val="00B078B6"/>
    <w:rsid w:val="00B07E85"/>
    <w:rsid w:val="00B07FF5"/>
    <w:rsid w:val="00B100AE"/>
    <w:rsid w:val="00B100E1"/>
    <w:rsid w:val="00B10142"/>
    <w:rsid w:val="00B10512"/>
    <w:rsid w:val="00B105BA"/>
    <w:rsid w:val="00B1094C"/>
    <w:rsid w:val="00B10A06"/>
    <w:rsid w:val="00B10D7C"/>
    <w:rsid w:val="00B10DE4"/>
    <w:rsid w:val="00B10DFE"/>
    <w:rsid w:val="00B10E8A"/>
    <w:rsid w:val="00B10F0A"/>
    <w:rsid w:val="00B10FF7"/>
    <w:rsid w:val="00B11187"/>
    <w:rsid w:val="00B113C6"/>
    <w:rsid w:val="00B116E6"/>
    <w:rsid w:val="00B117D9"/>
    <w:rsid w:val="00B1193C"/>
    <w:rsid w:val="00B119D5"/>
    <w:rsid w:val="00B11B20"/>
    <w:rsid w:val="00B11C1D"/>
    <w:rsid w:val="00B11CCB"/>
    <w:rsid w:val="00B12116"/>
    <w:rsid w:val="00B121B9"/>
    <w:rsid w:val="00B12251"/>
    <w:rsid w:val="00B122BB"/>
    <w:rsid w:val="00B122E4"/>
    <w:rsid w:val="00B1245F"/>
    <w:rsid w:val="00B12614"/>
    <w:rsid w:val="00B126C2"/>
    <w:rsid w:val="00B12851"/>
    <w:rsid w:val="00B12C64"/>
    <w:rsid w:val="00B12D5E"/>
    <w:rsid w:val="00B12E8E"/>
    <w:rsid w:val="00B12E9F"/>
    <w:rsid w:val="00B12FB1"/>
    <w:rsid w:val="00B1304B"/>
    <w:rsid w:val="00B1311A"/>
    <w:rsid w:val="00B13162"/>
    <w:rsid w:val="00B13337"/>
    <w:rsid w:val="00B134F5"/>
    <w:rsid w:val="00B1367D"/>
    <w:rsid w:val="00B139E8"/>
    <w:rsid w:val="00B13C20"/>
    <w:rsid w:val="00B13C55"/>
    <w:rsid w:val="00B13F5E"/>
    <w:rsid w:val="00B13F76"/>
    <w:rsid w:val="00B140F6"/>
    <w:rsid w:val="00B149D9"/>
    <w:rsid w:val="00B14A8F"/>
    <w:rsid w:val="00B14BAA"/>
    <w:rsid w:val="00B14DD0"/>
    <w:rsid w:val="00B14F01"/>
    <w:rsid w:val="00B14F08"/>
    <w:rsid w:val="00B1519B"/>
    <w:rsid w:val="00B1523E"/>
    <w:rsid w:val="00B152D1"/>
    <w:rsid w:val="00B15394"/>
    <w:rsid w:val="00B153B8"/>
    <w:rsid w:val="00B156A2"/>
    <w:rsid w:val="00B156C6"/>
    <w:rsid w:val="00B157D5"/>
    <w:rsid w:val="00B157D7"/>
    <w:rsid w:val="00B15C16"/>
    <w:rsid w:val="00B15CE1"/>
    <w:rsid w:val="00B15D08"/>
    <w:rsid w:val="00B16097"/>
    <w:rsid w:val="00B162F8"/>
    <w:rsid w:val="00B16506"/>
    <w:rsid w:val="00B1653D"/>
    <w:rsid w:val="00B1668A"/>
    <w:rsid w:val="00B16B41"/>
    <w:rsid w:val="00B16D4C"/>
    <w:rsid w:val="00B16F8C"/>
    <w:rsid w:val="00B16FEA"/>
    <w:rsid w:val="00B17143"/>
    <w:rsid w:val="00B174BB"/>
    <w:rsid w:val="00B1759C"/>
    <w:rsid w:val="00B1774B"/>
    <w:rsid w:val="00B17CF7"/>
    <w:rsid w:val="00B17E3B"/>
    <w:rsid w:val="00B202FC"/>
    <w:rsid w:val="00B20418"/>
    <w:rsid w:val="00B20453"/>
    <w:rsid w:val="00B20508"/>
    <w:rsid w:val="00B20B8D"/>
    <w:rsid w:val="00B20C09"/>
    <w:rsid w:val="00B2152E"/>
    <w:rsid w:val="00B21A8D"/>
    <w:rsid w:val="00B21AAF"/>
    <w:rsid w:val="00B21B46"/>
    <w:rsid w:val="00B22148"/>
    <w:rsid w:val="00B224D6"/>
    <w:rsid w:val="00B22500"/>
    <w:rsid w:val="00B2252E"/>
    <w:rsid w:val="00B2265D"/>
    <w:rsid w:val="00B22BBD"/>
    <w:rsid w:val="00B22DA3"/>
    <w:rsid w:val="00B22E89"/>
    <w:rsid w:val="00B22F3A"/>
    <w:rsid w:val="00B233D3"/>
    <w:rsid w:val="00B234F9"/>
    <w:rsid w:val="00B23785"/>
    <w:rsid w:val="00B23A79"/>
    <w:rsid w:val="00B23AD7"/>
    <w:rsid w:val="00B23DFC"/>
    <w:rsid w:val="00B24233"/>
    <w:rsid w:val="00B2444A"/>
    <w:rsid w:val="00B2475E"/>
    <w:rsid w:val="00B24AAC"/>
    <w:rsid w:val="00B24CAB"/>
    <w:rsid w:val="00B251DA"/>
    <w:rsid w:val="00B252BA"/>
    <w:rsid w:val="00B253A8"/>
    <w:rsid w:val="00B255CB"/>
    <w:rsid w:val="00B255F7"/>
    <w:rsid w:val="00B256A8"/>
    <w:rsid w:val="00B256E7"/>
    <w:rsid w:val="00B25856"/>
    <w:rsid w:val="00B258A4"/>
    <w:rsid w:val="00B25A34"/>
    <w:rsid w:val="00B25A91"/>
    <w:rsid w:val="00B25B2D"/>
    <w:rsid w:val="00B2609F"/>
    <w:rsid w:val="00B260AB"/>
    <w:rsid w:val="00B26147"/>
    <w:rsid w:val="00B2619E"/>
    <w:rsid w:val="00B26581"/>
    <w:rsid w:val="00B2668B"/>
    <w:rsid w:val="00B2683A"/>
    <w:rsid w:val="00B268AF"/>
    <w:rsid w:val="00B26C41"/>
    <w:rsid w:val="00B27194"/>
    <w:rsid w:val="00B271D8"/>
    <w:rsid w:val="00B27244"/>
    <w:rsid w:val="00B27668"/>
    <w:rsid w:val="00B2784D"/>
    <w:rsid w:val="00B278B4"/>
    <w:rsid w:val="00B27906"/>
    <w:rsid w:val="00B27BAF"/>
    <w:rsid w:val="00B27F31"/>
    <w:rsid w:val="00B3017D"/>
    <w:rsid w:val="00B301AA"/>
    <w:rsid w:val="00B3092A"/>
    <w:rsid w:val="00B30AD9"/>
    <w:rsid w:val="00B30C36"/>
    <w:rsid w:val="00B30CAE"/>
    <w:rsid w:val="00B310C8"/>
    <w:rsid w:val="00B31261"/>
    <w:rsid w:val="00B31485"/>
    <w:rsid w:val="00B31A52"/>
    <w:rsid w:val="00B31E19"/>
    <w:rsid w:val="00B31F69"/>
    <w:rsid w:val="00B3208F"/>
    <w:rsid w:val="00B322A7"/>
    <w:rsid w:val="00B32795"/>
    <w:rsid w:val="00B327AF"/>
    <w:rsid w:val="00B32AB6"/>
    <w:rsid w:val="00B32CDB"/>
    <w:rsid w:val="00B32D57"/>
    <w:rsid w:val="00B33401"/>
    <w:rsid w:val="00B3358B"/>
    <w:rsid w:val="00B338CE"/>
    <w:rsid w:val="00B33A67"/>
    <w:rsid w:val="00B33E23"/>
    <w:rsid w:val="00B33F3E"/>
    <w:rsid w:val="00B340B3"/>
    <w:rsid w:val="00B3415F"/>
    <w:rsid w:val="00B341B1"/>
    <w:rsid w:val="00B3429D"/>
    <w:rsid w:val="00B343C2"/>
    <w:rsid w:val="00B3464A"/>
    <w:rsid w:val="00B3469C"/>
    <w:rsid w:val="00B34760"/>
    <w:rsid w:val="00B34792"/>
    <w:rsid w:val="00B347EE"/>
    <w:rsid w:val="00B34829"/>
    <w:rsid w:val="00B3483F"/>
    <w:rsid w:val="00B348F6"/>
    <w:rsid w:val="00B34D0E"/>
    <w:rsid w:val="00B35059"/>
    <w:rsid w:val="00B35378"/>
    <w:rsid w:val="00B357FE"/>
    <w:rsid w:val="00B35C12"/>
    <w:rsid w:val="00B3608E"/>
    <w:rsid w:val="00B3611E"/>
    <w:rsid w:val="00B364DB"/>
    <w:rsid w:val="00B36845"/>
    <w:rsid w:val="00B3687C"/>
    <w:rsid w:val="00B369A8"/>
    <w:rsid w:val="00B36F8F"/>
    <w:rsid w:val="00B370AE"/>
    <w:rsid w:val="00B372C8"/>
    <w:rsid w:val="00B37982"/>
    <w:rsid w:val="00B3798A"/>
    <w:rsid w:val="00B379E0"/>
    <w:rsid w:val="00B37E41"/>
    <w:rsid w:val="00B400F0"/>
    <w:rsid w:val="00B4058E"/>
    <w:rsid w:val="00B40633"/>
    <w:rsid w:val="00B40A89"/>
    <w:rsid w:val="00B40DB4"/>
    <w:rsid w:val="00B41021"/>
    <w:rsid w:val="00B410B6"/>
    <w:rsid w:val="00B41303"/>
    <w:rsid w:val="00B413C2"/>
    <w:rsid w:val="00B41554"/>
    <w:rsid w:val="00B415A5"/>
    <w:rsid w:val="00B41650"/>
    <w:rsid w:val="00B416D1"/>
    <w:rsid w:val="00B416E3"/>
    <w:rsid w:val="00B418E9"/>
    <w:rsid w:val="00B41A84"/>
    <w:rsid w:val="00B422F4"/>
    <w:rsid w:val="00B423A6"/>
    <w:rsid w:val="00B426EC"/>
    <w:rsid w:val="00B42EB5"/>
    <w:rsid w:val="00B42F1E"/>
    <w:rsid w:val="00B4304B"/>
    <w:rsid w:val="00B4308F"/>
    <w:rsid w:val="00B430A7"/>
    <w:rsid w:val="00B43180"/>
    <w:rsid w:val="00B432F6"/>
    <w:rsid w:val="00B43361"/>
    <w:rsid w:val="00B433C0"/>
    <w:rsid w:val="00B433E0"/>
    <w:rsid w:val="00B43812"/>
    <w:rsid w:val="00B43F99"/>
    <w:rsid w:val="00B44778"/>
    <w:rsid w:val="00B44826"/>
    <w:rsid w:val="00B44D31"/>
    <w:rsid w:val="00B44D9B"/>
    <w:rsid w:val="00B45926"/>
    <w:rsid w:val="00B45DCA"/>
    <w:rsid w:val="00B45EDA"/>
    <w:rsid w:val="00B4604E"/>
    <w:rsid w:val="00B463E1"/>
    <w:rsid w:val="00B465D7"/>
    <w:rsid w:val="00B467D6"/>
    <w:rsid w:val="00B469C2"/>
    <w:rsid w:val="00B469DB"/>
    <w:rsid w:val="00B46C01"/>
    <w:rsid w:val="00B46C5A"/>
    <w:rsid w:val="00B46FBE"/>
    <w:rsid w:val="00B47060"/>
    <w:rsid w:val="00B47275"/>
    <w:rsid w:val="00B4746B"/>
    <w:rsid w:val="00B47780"/>
    <w:rsid w:val="00B47802"/>
    <w:rsid w:val="00B47832"/>
    <w:rsid w:val="00B47A80"/>
    <w:rsid w:val="00B47BB3"/>
    <w:rsid w:val="00B47F75"/>
    <w:rsid w:val="00B47FCC"/>
    <w:rsid w:val="00B5001C"/>
    <w:rsid w:val="00B5038A"/>
    <w:rsid w:val="00B50416"/>
    <w:rsid w:val="00B5077F"/>
    <w:rsid w:val="00B5079B"/>
    <w:rsid w:val="00B50886"/>
    <w:rsid w:val="00B50A99"/>
    <w:rsid w:val="00B50EFC"/>
    <w:rsid w:val="00B5153F"/>
    <w:rsid w:val="00B51D3B"/>
    <w:rsid w:val="00B51D63"/>
    <w:rsid w:val="00B51E49"/>
    <w:rsid w:val="00B51F5F"/>
    <w:rsid w:val="00B51FAC"/>
    <w:rsid w:val="00B5283A"/>
    <w:rsid w:val="00B52840"/>
    <w:rsid w:val="00B52972"/>
    <w:rsid w:val="00B52AA8"/>
    <w:rsid w:val="00B52B51"/>
    <w:rsid w:val="00B52E2C"/>
    <w:rsid w:val="00B52EB3"/>
    <w:rsid w:val="00B5312D"/>
    <w:rsid w:val="00B531B6"/>
    <w:rsid w:val="00B53225"/>
    <w:rsid w:val="00B5329F"/>
    <w:rsid w:val="00B53347"/>
    <w:rsid w:val="00B53427"/>
    <w:rsid w:val="00B53987"/>
    <w:rsid w:val="00B53AD9"/>
    <w:rsid w:val="00B53AFD"/>
    <w:rsid w:val="00B53D3C"/>
    <w:rsid w:val="00B53DEE"/>
    <w:rsid w:val="00B5400F"/>
    <w:rsid w:val="00B54076"/>
    <w:rsid w:val="00B54488"/>
    <w:rsid w:val="00B547A6"/>
    <w:rsid w:val="00B54A8F"/>
    <w:rsid w:val="00B54AD5"/>
    <w:rsid w:val="00B54EA0"/>
    <w:rsid w:val="00B55252"/>
    <w:rsid w:val="00B55755"/>
    <w:rsid w:val="00B5584E"/>
    <w:rsid w:val="00B5592D"/>
    <w:rsid w:val="00B5598F"/>
    <w:rsid w:val="00B55B23"/>
    <w:rsid w:val="00B55D7F"/>
    <w:rsid w:val="00B55E6A"/>
    <w:rsid w:val="00B5617E"/>
    <w:rsid w:val="00B561F4"/>
    <w:rsid w:val="00B56351"/>
    <w:rsid w:val="00B564F1"/>
    <w:rsid w:val="00B564F5"/>
    <w:rsid w:val="00B565CD"/>
    <w:rsid w:val="00B56804"/>
    <w:rsid w:val="00B56C58"/>
    <w:rsid w:val="00B56D88"/>
    <w:rsid w:val="00B571E3"/>
    <w:rsid w:val="00B57276"/>
    <w:rsid w:val="00B572BF"/>
    <w:rsid w:val="00B5745B"/>
    <w:rsid w:val="00B575FF"/>
    <w:rsid w:val="00B576C8"/>
    <w:rsid w:val="00B579CA"/>
    <w:rsid w:val="00B57D01"/>
    <w:rsid w:val="00B57E38"/>
    <w:rsid w:val="00B57F8C"/>
    <w:rsid w:val="00B60592"/>
    <w:rsid w:val="00B6069E"/>
    <w:rsid w:val="00B60C80"/>
    <w:rsid w:val="00B60CDB"/>
    <w:rsid w:val="00B60EC8"/>
    <w:rsid w:val="00B60EF0"/>
    <w:rsid w:val="00B6142D"/>
    <w:rsid w:val="00B61782"/>
    <w:rsid w:val="00B61A45"/>
    <w:rsid w:val="00B61BFA"/>
    <w:rsid w:val="00B61FFA"/>
    <w:rsid w:val="00B6204D"/>
    <w:rsid w:val="00B624A9"/>
    <w:rsid w:val="00B627ED"/>
    <w:rsid w:val="00B6285E"/>
    <w:rsid w:val="00B6299D"/>
    <w:rsid w:val="00B62B78"/>
    <w:rsid w:val="00B62B9B"/>
    <w:rsid w:val="00B62CD1"/>
    <w:rsid w:val="00B62E98"/>
    <w:rsid w:val="00B63048"/>
    <w:rsid w:val="00B632BA"/>
    <w:rsid w:val="00B6397A"/>
    <w:rsid w:val="00B63AB5"/>
    <w:rsid w:val="00B63BCB"/>
    <w:rsid w:val="00B63C1A"/>
    <w:rsid w:val="00B63D78"/>
    <w:rsid w:val="00B63E43"/>
    <w:rsid w:val="00B641C9"/>
    <w:rsid w:val="00B643B6"/>
    <w:rsid w:val="00B64591"/>
    <w:rsid w:val="00B64C1E"/>
    <w:rsid w:val="00B64CC9"/>
    <w:rsid w:val="00B64F1A"/>
    <w:rsid w:val="00B650D9"/>
    <w:rsid w:val="00B651D1"/>
    <w:rsid w:val="00B65556"/>
    <w:rsid w:val="00B65857"/>
    <w:rsid w:val="00B65DDF"/>
    <w:rsid w:val="00B65F3F"/>
    <w:rsid w:val="00B65F88"/>
    <w:rsid w:val="00B66121"/>
    <w:rsid w:val="00B668AB"/>
    <w:rsid w:val="00B675AF"/>
    <w:rsid w:val="00B67633"/>
    <w:rsid w:val="00B67673"/>
    <w:rsid w:val="00B6784A"/>
    <w:rsid w:val="00B67924"/>
    <w:rsid w:val="00B67A1A"/>
    <w:rsid w:val="00B67ED0"/>
    <w:rsid w:val="00B70065"/>
    <w:rsid w:val="00B70107"/>
    <w:rsid w:val="00B7036C"/>
    <w:rsid w:val="00B7054F"/>
    <w:rsid w:val="00B7059A"/>
    <w:rsid w:val="00B7060D"/>
    <w:rsid w:val="00B70C16"/>
    <w:rsid w:val="00B70C8D"/>
    <w:rsid w:val="00B70CC4"/>
    <w:rsid w:val="00B70D92"/>
    <w:rsid w:val="00B71051"/>
    <w:rsid w:val="00B711CC"/>
    <w:rsid w:val="00B7131F"/>
    <w:rsid w:val="00B7173B"/>
    <w:rsid w:val="00B71DDE"/>
    <w:rsid w:val="00B71EED"/>
    <w:rsid w:val="00B7206E"/>
    <w:rsid w:val="00B7229E"/>
    <w:rsid w:val="00B722D8"/>
    <w:rsid w:val="00B72460"/>
    <w:rsid w:val="00B725E0"/>
    <w:rsid w:val="00B726F5"/>
    <w:rsid w:val="00B72758"/>
    <w:rsid w:val="00B7294A"/>
    <w:rsid w:val="00B72967"/>
    <w:rsid w:val="00B72EE9"/>
    <w:rsid w:val="00B73241"/>
    <w:rsid w:val="00B732E5"/>
    <w:rsid w:val="00B73399"/>
    <w:rsid w:val="00B733FE"/>
    <w:rsid w:val="00B73673"/>
    <w:rsid w:val="00B7370D"/>
    <w:rsid w:val="00B73921"/>
    <w:rsid w:val="00B73E5B"/>
    <w:rsid w:val="00B7469A"/>
    <w:rsid w:val="00B74935"/>
    <w:rsid w:val="00B74B42"/>
    <w:rsid w:val="00B750FD"/>
    <w:rsid w:val="00B75108"/>
    <w:rsid w:val="00B751D6"/>
    <w:rsid w:val="00B751FA"/>
    <w:rsid w:val="00B75323"/>
    <w:rsid w:val="00B75746"/>
    <w:rsid w:val="00B7578A"/>
    <w:rsid w:val="00B75997"/>
    <w:rsid w:val="00B75BB5"/>
    <w:rsid w:val="00B75DC7"/>
    <w:rsid w:val="00B75F6F"/>
    <w:rsid w:val="00B76231"/>
    <w:rsid w:val="00B763AF"/>
    <w:rsid w:val="00B76532"/>
    <w:rsid w:val="00B76961"/>
    <w:rsid w:val="00B769FB"/>
    <w:rsid w:val="00B76B29"/>
    <w:rsid w:val="00B76D86"/>
    <w:rsid w:val="00B76E2A"/>
    <w:rsid w:val="00B76F30"/>
    <w:rsid w:val="00B76F44"/>
    <w:rsid w:val="00B770E6"/>
    <w:rsid w:val="00B772E0"/>
    <w:rsid w:val="00B7749B"/>
    <w:rsid w:val="00B774CB"/>
    <w:rsid w:val="00B774DE"/>
    <w:rsid w:val="00B779AD"/>
    <w:rsid w:val="00B77A04"/>
    <w:rsid w:val="00B77C02"/>
    <w:rsid w:val="00B77FD3"/>
    <w:rsid w:val="00B8014F"/>
    <w:rsid w:val="00B8022E"/>
    <w:rsid w:val="00B802D8"/>
    <w:rsid w:val="00B80DC4"/>
    <w:rsid w:val="00B80EB0"/>
    <w:rsid w:val="00B80F73"/>
    <w:rsid w:val="00B80F7B"/>
    <w:rsid w:val="00B80FFA"/>
    <w:rsid w:val="00B81097"/>
    <w:rsid w:val="00B81223"/>
    <w:rsid w:val="00B81310"/>
    <w:rsid w:val="00B81370"/>
    <w:rsid w:val="00B81396"/>
    <w:rsid w:val="00B81405"/>
    <w:rsid w:val="00B815E8"/>
    <w:rsid w:val="00B81768"/>
    <w:rsid w:val="00B8182A"/>
    <w:rsid w:val="00B81A44"/>
    <w:rsid w:val="00B81D96"/>
    <w:rsid w:val="00B81E79"/>
    <w:rsid w:val="00B81F2D"/>
    <w:rsid w:val="00B82296"/>
    <w:rsid w:val="00B822F7"/>
    <w:rsid w:val="00B82399"/>
    <w:rsid w:val="00B824DE"/>
    <w:rsid w:val="00B826D5"/>
    <w:rsid w:val="00B82749"/>
    <w:rsid w:val="00B829B5"/>
    <w:rsid w:val="00B82A39"/>
    <w:rsid w:val="00B82A81"/>
    <w:rsid w:val="00B82AD6"/>
    <w:rsid w:val="00B82BCC"/>
    <w:rsid w:val="00B8316A"/>
    <w:rsid w:val="00B8321B"/>
    <w:rsid w:val="00B832DF"/>
    <w:rsid w:val="00B83327"/>
    <w:rsid w:val="00B833A3"/>
    <w:rsid w:val="00B833C1"/>
    <w:rsid w:val="00B833D5"/>
    <w:rsid w:val="00B833FE"/>
    <w:rsid w:val="00B836D6"/>
    <w:rsid w:val="00B83BA2"/>
    <w:rsid w:val="00B83E53"/>
    <w:rsid w:val="00B83FFF"/>
    <w:rsid w:val="00B84023"/>
    <w:rsid w:val="00B842A7"/>
    <w:rsid w:val="00B84444"/>
    <w:rsid w:val="00B84480"/>
    <w:rsid w:val="00B8448D"/>
    <w:rsid w:val="00B8497F"/>
    <w:rsid w:val="00B84E95"/>
    <w:rsid w:val="00B84F5C"/>
    <w:rsid w:val="00B85444"/>
    <w:rsid w:val="00B85552"/>
    <w:rsid w:val="00B8568C"/>
    <w:rsid w:val="00B85741"/>
    <w:rsid w:val="00B858F7"/>
    <w:rsid w:val="00B85C57"/>
    <w:rsid w:val="00B85E20"/>
    <w:rsid w:val="00B85E43"/>
    <w:rsid w:val="00B85E97"/>
    <w:rsid w:val="00B86145"/>
    <w:rsid w:val="00B86550"/>
    <w:rsid w:val="00B8669F"/>
    <w:rsid w:val="00B8674A"/>
    <w:rsid w:val="00B86A19"/>
    <w:rsid w:val="00B86AD9"/>
    <w:rsid w:val="00B86B97"/>
    <w:rsid w:val="00B86D1F"/>
    <w:rsid w:val="00B86F0B"/>
    <w:rsid w:val="00B870A6"/>
    <w:rsid w:val="00B87139"/>
    <w:rsid w:val="00B87351"/>
    <w:rsid w:val="00B874FC"/>
    <w:rsid w:val="00B87640"/>
    <w:rsid w:val="00B87A3C"/>
    <w:rsid w:val="00B87A97"/>
    <w:rsid w:val="00B87D96"/>
    <w:rsid w:val="00B90079"/>
    <w:rsid w:val="00B90827"/>
    <w:rsid w:val="00B90AEA"/>
    <w:rsid w:val="00B90BD0"/>
    <w:rsid w:val="00B90C76"/>
    <w:rsid w:val="00B90D1F"/>
    <w:rsid w:val="00B90EEC"/>
    <w:rsid w:val="00B90F64"/>
    <w:rsid w:val="00B90F81"/>
    <w:rsid w:val="00B90F9C"/>
    <w:rsid w:val="00B910FC"/>
    <w:rsid w:val="00B91203"/>
    <w:rsid w:val="00B91698"/>
    <w:rsid w:val="00B919A4"/>
    <w:rsid w:val="00B91A45"/>
    <w:rsid w:val="00B91F2A"/>
    <w:rsid w:val="00B91F3B"/>
    <w:rsid w:val="00B9205D"/>
    <w:rsid w:val="00B92473"/>
    <w:rsid w:val="00B9272B"/>
    <w:rsid w:val="00B92969"/>
    <w:rsid w:val="00B92A56"/>
    <w:rsid w:val="00B92F43"/>
    <w:rsid w:val="00B92FB5"/>
    <w:rsid w:val="00B93297"/>
    <w:rsid w:val="00B93298"/>
    <w:rsid w:val="00B9332A"/>
    <w:rsid w:val="00B93566"/>
    <w:rsid w:val="00B9369B"/>
    <w:rsid w:val="00B93A4B"/>
    <w:rsid w:val="00B93B09"/>
    <w:rsid w:val="00B93BF1"/>
    <w:rsid w:val="00B93C84"/>
    <w:rsid w:val="00B93DAB"/>
    <w:rsid w:val="00B94036"/>
    <w:rsid w:val="00B94129"/>
    <w:rsid w:val="00B94286"/>
    <w:rsid w:val="00B94401"/>
    <w:rsid w:val="00B944EC"/>
    <w:rsid w:val="00B94739"/>
    <w:rsid w:val="00B94B23"/>
    <w:rsid w:val="00B94B7B"/>
    <w:rsid w:val="00B94BDA"/>
    <w:rsid w:val="00B94BE7"/>
    <w:rsid w:val="00B94CB4"/>
    <w:rsid w:val="00B94CF7"/>
    <w:rsid w:val="00B94DAF"/>
    <w:rsid w:val="00B94E84"/>
    <w:rsid w:val="00B95307"/>
    <w:rsid w:val="00B95836"/>
    <w:rsid w:val="00B9592E"/>
    <w:rsid w:val="00B95B06"/>
    <w:rsid w:val="00B95B2F"/>
    <w:rsid w:val="00B95B5C"/>
    <w:rsid w:val="00B95FE1"/>
    <w:rsid w:val="00B961C3"/>
    <w:rsid w:val="00B962BD"/>
    <w:rsid w:val="00B96432"/>
    <w:rsid w:val="00B96448"/>
    <w:rsid w:val="00B9657F"/>
    <w:rsid w:val="00B967ED"/>
    <w:rsid w:val="00B96944"/>
    <w:rsid w:val="00B969A7"/>
    <w:rsid w:val="00B96A64"/>
    <w:rsid w:val="00B96B95"/>
    <w:rsid w:val="00B96C8A"/>
    <w:rsid w:val="00B96CA1"/>
    <w:rsid w:val="00B97262"/>
    <w:rsid w:val="00B9743A"/>
    <w:rsid w:val="00B9755E"/>
    <w:rsid w:val="00B976B5"/>
    <w:rsid w:val="00B977BE"/>
    <w:rsid w:val="00B97A8C"/>
    <w:rsid w:val="00B97A9C"/>
    <w:rsid w:val="00B97AC3"/>
    <w:rsid w:val="00B97AE4"/>
    <w:rsid w:val="00B97EC2"/>
    <w:rsid w:val="00B97F8F"/>
    <w:rsid w:val="00BA0136"/>
    <w:rsid w:val="00BA0196"/>
    <w:rsid w:val="00BA029D"/>
    <w:rsid w:val="00BA0470"/>
    <w:rsid w:val="00BA0613"/>
    <w:rsid w:val="00BA0667"/>
    <w:rsid w:val="00BA06C3"/>
    <w:rsid w:val="00BA06FA"/>
    <w:rsid w:val="00BA06FF"/>
    <w:rsid w:val="00BA0AFB"/>
    <w:rsid w:val="00BA0AFF"/>
    <w:rsid w:val="00BA0CE6"/>
    <w:rsid w:val="00BA0ECB"/>
    <w:rsid w:val="00BA1082"/>
    <w:rsid w:val="00BA10FA"/>
    <w:rsid w:val="00BA1298"/>
    <w:rsid w:val="00BA1392"/>
    <w:rsid w:val="00BA156C"/>
    <w:rsid w:val="00BA17CA"/>
    <w:rsid w:val="00BA17EF"/>
    <w:rsid w:val="00BA1D35"/>
    <w:rsid w:val="00BA1E9F"/>
    <w:rsid w:val="00BA20B8"/>
    <w:rsid w:val="00BA2105"/>
    <w:rsid w:val="00BA224A"/>
    <w:rsid w:val="00BA24DC"/>
    <w:rsid w:val="00BA29E6"/>
    <w:rsid w:val="00BA2E7C"/>
    <w:rsid w:val="00BA31B1"/>
    <w:rsid w:val="00BA38C3"/>
    <w:rsid w:val="00BA3C03"/>
    <w:rsid w:val="00BA3F12"/>
    <w:rsid w:val="00BA3F9C"/>
    <w:rsid w:val="00BA42FF"/>
    <w:rsid w:val="00BA4386"/>
    <w:rsid w:val="00BA4388"/>
    <w:rsid w:val="00BA43BE"/>
    <w:rsid w:val="00BA44C4"/>
    <w:rsid w:val="00BA4869"/>
    <w:rsid w:val="00BA4915"/>
    <w:rsid w:val="00BA4966"/>
    <w:rsid w:val="00BA4A94"/>
    <w:rsid w:val="00BA4B4D"/>
    <w:rsid w:val="00BA4BE6"/>
    <w:rsid w:val="00BA4DE9"/>
    <w:rsid w:val="00BA5156"/>
    <w:rsid w:val="00BA53A9"/>
    <w:rsid w:val="00BA5477"/>
    <w:rsid w:val="00BA5528"/>
    <w:rsid w:val="00BA580B"/>
    <w:rsid w:val="00BA587C"/>
    <w:rsid w:val="00BA5A46"/>
    <w:rsid w:val="00BA5E5B"/>
    <w:rsid w:val="00BA5EA0"/>
    <w:rsid w:val="00BA6626"/>
    <w:rsid w:val="00BA66DA"/>
    <w:rsid w:val="00BA67B7"/>
    <w:rsid w:val="00BA6CDC"/>
    <w:rsid w:val="00BA6FDD"/>
    <w:rsid w:val="00BA712A"/>
    <w:rsid w:val="00BA7314"/>
    <w:rsid w:val="00BA7A93"/>
    <w:rsid w:val="00BA7B58"/>
    <w:rsid w:val="00BA7BAC"/>
    <w:rsid w:val="00BA7BB6"/>
    <w:rsid w:val="00BA7BFB"/>
    <w:rsid w:val="00BB010E"/>
    <w:rsid w:val="00BB0411"/>
    <w:rsid w:val="00BB04BA"/>
    <w:rsid w:val="00BB08A9"/>
    <w:rsid w:val="00BB08EA"/>
    <w:rsid w:val="00BB0A62"/>
    <w:rsid w:val="00BB0DAF"/>
    <w:rsid w:val="00BB0F26"/>
    <w:rsid w:val="00BB1132"/>
    <w:rsid w:val="00BB11F9"/>
    <w:rsid w:val="00BB126A"/>
    <w:rsid w:val="00BB1C1B"/>
    <w:rsid w:val="00BB1C9C"/>
    <w:rsid w:val="00BB227B"/>
    <w:rsid w:val="00BB234A"/>
    <w:rsid w:val="00BB2696"/>
    <w:rsid w:val="00BB28AC"/>
    <w:rsid w:val="00BB2C4A"/>
    <w:rsid w:val="00BB2C99"/>
    <w:rsid w:val="00BB2E58"/>
    <w:rsid w:val="00BB2F1A"/>
    <w:rsid w:val="00BB310F"/>
    <w:rsid w:val="00BB31B7"/>
    <w:rsid w:val="00BB3245"/>
    <w:rsid w:val="00BB32CE"/>
    <w:rsid w:val="00BB32FE"/>
    <w:rsid w:val="00BB34DD"/>
    <w:rsid w:val="00BB351E"/>
    <w:rsid w:val="00BB3594"/>
    <w:rsid w:val="00BB37AC"/>
    <w:rsid w:val="00BB37FA"/>
    <w:rsid w:val="00BB3A5E"/>
    <w:rsid w:val="00BB3A67"/>
    <w:rsid w:val="00BB3B29"/>
    <w:rsid w:val="00BB3BA2"/>
    <w:rsid w:val="00BB3ECE"/>
    <w:rsid w:val="00BB4855"/>
    <w:rsid w:val="00BB4BE3"/>
    <w:rsid w:val="00BB4BE7"/>
    <w:rsid w:val="00BB4BF6"/>
    <w:rsid w:val="00BB4FBD"/>
    <w:rsid w:val="00BB4FBE"/>
    <w:rsid w:val="00BB511E"/>
    <w:rsid w:val="00BB51D5"/>
    <w:rsid w:val="00BB53D2"/>
    <w:rsid w:val="00BB543A"/>
    <w:rsid w:val="00BB54DE"/>
    <w:rsid w:val="00BB55C1"/>
    <w:rsid w:val="00BB5635"/>
    <w:rsid w:val="00BB5768"/>
    <w:rsid w:val="00BB5876"/>
    <w:rsid w:val="00BB59DF"/>
    <w:rsid w:val="00BB5A0D"/>
    <w:rsid w:val="00BB5D59"/>
    <w:rsid w:val="00BB5D73"/>
    <w:rsid w:val="00BB62E7"/>
    <w:rsid w:val="00BB630E"/>
    <w:rsid w:val="00BB63B6"/>
    <w:rsid w:val="00BB68DE"/>
    <w:rsid w:val="00BB6AEA"/>
    <w:rsid w:val="00BB6B86"/>
    <w:rsid w:val="00BB6D9B"/>
    <w:rsid w:val="00BB6EA6"/>
    <w:rsid w:val="00BB6FF0"/>
    <w:rsid w:val="00BB70CB"/>
    <w:rsid w:val="00BB725F"/>
    <w:rsid w:val="00BB7445"/>
    <w:rsid w:val="00BB7454"/>
    <w:rsid w:val="00BB7537"/>
    <w:rsid w:val="00BB7C54"/>
    <w:rsid w:val="00BB7D9D"/>
    <w:rsid w:val="00BB7E47"/>
    <w:rsid w:val="00BC00E1"/>
    <w:rsid w:val="00BC0362"/>
    <w:rsid w:val="00BC03BB"/>
    <w:rsid w:val="00BC0530"/>
    <w:rsid w:val="00BC068B"/>
    <w:rsid w:val="00BC0892"/>
    <w:rsid w:val="00BC0A2B"/>
    <w:rsid w:val="00BC0C2E"/>
    <w:rsid w:val="00BC0CB9"/>
    <w:rsid w:val="00BC0D31"/>
    <w:rsid w:val="00BC0F9E"/>
    <w:rsid w:val="00BC11EC"/>
    <w:rsid w:val="00BC1358"/>
    <w:rsid w:val="00BC14FE"/>
    <w:rsid w:val="00BC1674"/>
    <w:rsid w:val="00BC190C"/>
    <w:rsid w:val="00BC1C1B"/>
    <w:rsid w:val="00BC1DA4"/>
    <w:rsid w:val="00BC1DB1"/>
    <w:rsid w:val="00BC1FC2"/>
    <w:rsid w:val="00BC25B3"/>
    <w:rsid w:val="00BC2634"/>
    <w:rsid w:val="00BC2984"/>
    <w:rsid w:val="00BC2B45"/>
    <w:rsid w:val="00BC2F1D"/>
    <w:rsid w:val="00BC313A"/>
    <w:rsid w:val="00BC36F5"/>
    <w:rsid w:val="00BC3887"/>
    <w:rsid w:val="00BC3C2B"/>
    <w:rsid w:val="00BC3C74"/>
    <w:rsid w:val="00BC407B"/>
    <w:rsid w:val="00BC40B4"/>
    <w:rsid w:val="00BC42BA"/>
    <w:rsid w:val="00BC47C9"/>
    <w:rsid w:val="00BC4C29"/>
    <w:rsid w:val="00BC4C97"/>
    <w:rsid w:val="00BC4D69"/>
    <w:rsid w:val="00BC4DA8"/>
    <w:rsid w:val="00BC4DFA"/>
    <w:rsid w:val="00BC4E72"/>
    <w:rsid w:val="00BC548F"/>
    <w:rsid w:val="00BC5E72"/>
    <w:rsid w:val="00BC5EB8"/>
    <w:rsid w:val="00BC6524"/>
    <w:rsid w:val="00BC6739"/>
    <w:rsid w:val="00BC68AD"/>
    <w:rsid w:val="00BC691E"/>
    <w:rsid w:val="00BC6941"/>
    <w:rsid w:val="00BC6BA3"/>
    <w:rsid w:val="00BC711E"/>
    <w:rsid w:val="00BC7650"/>
    <w:rsid w:val="00BC778B"/>
    <w:rsid w:val="00BC77D5"/>
    <w:rsid w:val="00BC7D6C"/>
    <w:rsid w:val="00BC7D89"/>
    <w:rsid w:val="00BC7F12"/>
    <w:rsid w:val="00BD0026"/>
    <w:rsid w:val="00BD0242"/>
    <w:rsid w:val="00BD024C"/>
    <w:rsid w:val="00BD03C6"/>
    <w:rsid w:val="00BD0835"/>
    <w:rsid w:val="00BD086D"/>
    <w:rsid w:val="00BD0B2A"/>
    <w:rsid w:val="00BD0B83"/>
    <w:rsid w:val="00BD0BE1"/>
    <w:rsid w:val="00BD0C23"/>
    <w:rsid w:val="00BD0EBB"/>
    <w:rsid w:val="00BD1091"/>
    <w:rsid w:val="00BD14FF"/>
    <w:rsid w:val="00BD1557"/>
    <w:rsid w:val="00BD16B5"/>
    <w:rsid w:val="00BD188E"/>
    <w:rsid w:val="00BD1942"/>
    <w:rsid w:val="00BD1958"/>
    <w:rsid w:val="00BD1CCD"/>
    <w:rsid w:val="00BD20E6"/>
    <w:rsid w:val="00BD21C6"/>
    <w:rsid w:val="00BD21FC"/>
    <w:rsid w:val="00BD235F"/>
    <w:rsid w:val="00BD27F6"/>
    <w:rsid w:val="00BD2B77"/>
    <w:rsid w:val="00BD2DD9"/>
    <w:rsid w:val="00BD2DDF"/>
    <w:rsid w:val="00BD3133"/>
    <w:rsid w:val="00BD327C"/>
    <w:rsid w:val="00BD34E2"/>
    <w:rsid w:val="00BD3503"/>
    <w:rsid w:val="00BD36EB"/>
    <w:rsid w:val="00BD3949"/>
    <w:rsid w:val="00BD398F"/>
    <w:rsid w:val="00BD3ADC"/>
    <w:rsid w:val="00BD3AE8"/>
    <w:rsid w:val="00BD3B04"/>
    <w:rsid w:val="00BD3D54"/>
    <w:rsid w:val="00BD3D5D"/>
    <w:rsid w:val="00BD4011"/>
    <w:rsid w:val="00BD4110"/>
    <w:rsid w:val="00BD41C3"/>
    <w:rsid w:val="00BD46AD"/>
    <w:rsid w:val="00BD480E"/>
    <w:rsid w:val="00BD4943"/>
    <w:rsid w:val="00BD4A9B"/>
    <w:rsid w:val="00BD4AF2"/>
    <w:rsid w:val="00BD4E8D"/>
    <w:rsid w:val="00BD4F31"/>
    <w:rsid w:val="00BD502A"/>
    <w:rsid w:val="00BD522A"/>
    <w:rsid w:val="00BD533E"/>
    <w:rsid w:val="00BD541F"/>
    <w:rsid w:val="00BD5606"/>
    <w:rsid w:val="00BD5A40"/>
    <w:rsid w:val="00BD5D07"/>
    <w:rsid w:val="00BD5DE7"/>
    <w:rsid w:val="00BD5EF2"/>
    <w:rsid w:val="00BD6022"/>
    <w:rsid w:val="00BD616F"/>
    <w:rsid w:val="00BD6240"/>
    <w:rsid w:val="00BD6313"/>
    <w:rsid w:val="00BD636A"/>
    <w:rsid w:val="00BD6B79"/>
    <w:rsid w:val="00BD6DCD"/>
    <w:rsid w:val="00BD6FD9"/>
    <w:rsid w:val="00BD7015"/>
    <w:rsid w:val="00BD7021"/>
    <w:rsid w:val="00BD713B"/>
    <w:rsid w:val="00BD7188"/>
    <w:rsid w:val="00BD71F5"/>
    <w:rsid w:val="00BD7412"/>
    <w:rsid w:val="00BD7A0A"/>
    <w:rsid w:val="00BD7AE4"/>
    <w:rsid w:val="00BD7C0F"/>
    <w:rsid w:val="00BE0220"/>
    <w:rsid w:val="00BE031B"/>
    <w:rsid w:val="00BE047F"/>
    <w:rsid w:val="00BE057B"/>
    <w:rsid w:val="00BE05CD"/>
    <w:rsid w:val="00BE06EA"/>
    <w:rsid w:val="00BE071D"/>
    <w:rsid w:val="00BE0748"/>
    <w:rsid w:val="00BE0775"/>
    <w:rsid w:val="00BE0874"/>
    <w:rsid w:val="00BE08B4"/>
    <w:rsid w:val="00BE091B"/>
    <w:rsid w:val="00BE0933"/>
    <w:rsid w:val="00BE094D"/>
    <w:rsid w:val="00BE0E5A"/>
    <w:rsid w:val="00BE0F53"/>
    <w:rsid w:val="00BE0F64"/>
    <w:rsid w:val="00BE0FD1"/>
    <w:rsid w:val="00BE12D4"/>
    <w:rsid w:val="00BE1339"/>
    <w:rsid w:val="00BE1398"/>
    <w:rsid w:val="00BE13D4"/>
    <w:rsid w:val="00BE1737"/>
    <w:rsid w:val="00BE18D1"/>
    <w:rsid w:val="00BE191B"/>
    <w:rsid w:val="00BE197C"/>
    <w:rsid w:val="00BE199A"/>
    <w:rsid w:val="00BE1A5A"/>
    <w:rsid w:val="00BE1B2F"/>
    <w:rsid w:val="00BE1CF1"/>
    <w:rsid w:val="00BE1DCF"/>
    <w:rsid w:val="00BE2295"/>
    <w:rsid w:val="00BE2355"/>
    <w:rsid w:val="00BE24E7"/>
    <w:rsid w:val="00BE288D"/>
    <w:rsid w:val="00BE2C3C"/>
    <w:rsid w:val="00BE2C53"/>
    <w:rsid w:val="00BE2CF2"/>
    <w:rsid w:val="00BE2D84"/>
    <w:rsid w:val="00BE2E06"/>
    <w:rsid w:val="00BE2FD2"/>
    <w:rsid w:val="00BE30BF"/>
    <w:rsid w:val="00BE3198"/>
    <w:rsid w:val="00BE334F"/>
    <w:rsid w:val="00BE366F"/>
    <w:rsid w:val="00BE37FE"/>
    <w:rsid w:val="00BE398D"/>
    <w:rsid w:val="00BE39A4"/>
    <w:rsid w:val="00BE3B0A"/>
    <w:rsid w:val="00BE3B34"/>
    <w:rsid w:val="00BE3D77"/>
    <w:rsid w:val="00BE4344"/>
    <w:rsid w:val="00BE438F"/>
    <w:rsid w:val="00BE449F"/>
    <w:rsid w:val="00BE4525"/>
    <w:rsid w:val="00BE483C"/>
    <w:rsid w:val="00BE4941"/>
    <w:rsid w:val="00BE4F09"/>
    <w:rsid w:val="00BE5130"/>
    <w:rsid w:val="00BE5504"/>
    <w:rsid w:val="00BE5763"/>
    <w:rsid w:val="00BE5B91"/>
    <w:rsid w:val="00BE5F32"/>
    <w:rsid w:val="00BE6118"/>
    <w:rsid w:val="00BE623E"/>
    <w:rsid w:val="00BE6252"/>
    <w:rsid w:val="00BE630D"/>
    <w:rsid w:val="00BE685C"/>
    <w:rsid w:val="00BE694E"/>
    <w:rsid w:val="00BE695D"/>
    <w:rsid w:val="00BE69B6"/>
    <w:rsid w:val="00BE6B05"/>
    <w:rsid w:val="00BE6BF8"/>
    <w:rsid w:val="00BE6DD5"/>
    <w:rsid w:val="00BE7317"/>
    <w:rsid w:val="00BE74AE"/>
    <w:rsid w:val="00BE74CF"/>
    <w:rsid w:val="00BE7501"/>
    <w:rsid w:val="00BE78A4"/>
    <w:rsid w:val="00BE7E9A"/>
    <w:rsid w:val="00BF0256"/>
    <w:rsid w:val="00BF05DE"/>
    <w:rsid w:val="00BF08B5"/>
    <w:rsid w:val="00BF0B85"/>
    <w:rsid w:val="00BF0DEA"/>
    <w:rsid w:val="00BF0ECB"/>
    <w:rsid w:val="00BF10AA"/>
    <w:rsid w:val="00BF14CF"/>
    <w:rsid w:val="00BF1984"/>
    <w:rsid w:val="00BF19D0"/>
    <w:rsid w:val="00BF1ACC"/>
    <w:rsid w:val="00BF1C2C"/>
    <w:rsid w:val="00BF1C7A"/>
    <w:rsid w:val="00BF1C92"/>
    <w:rsid w:val="00BF1CF2"/>
    <w:rsid w:val="00BF1D67"/>
    <w:rsid w:val="00BF1F08"/>
    <w:rsid w:val="00BF1F9E"/>
    <w:rsid w:val="00BF2407"/>
    <w:rsid w:val="00BF2508"/>
    <w:rsid w:val="00BF26D1"/>
    <w:rsid w:val="00BF271C"/>
    <w:rsid w:val="00BF27DF"/>
    <w:rsid w:val="00BF2B07"/>
    <w:rsid w:val="00BF2B15"/>
    <w:rsid w:val="00BF2C0B"/>
    <w:rsid w:val="00BF2DE7"/>
    <w:rsid w:val="00BF2F14"/>
    <w:rsid w:val="00BF2FE3"/>
    <w:rsid w:val="00BF304B"/>
    <w:rsid w:val="00BF3139"/>
    <w:rsid w:val="00BF31D1"/>
    <w:rsid w:val="00BF3433"/>
    <w:rsid w:val="00BF3508"/>
    <w:rsid w:val="00BF36B4"/>
    <w:rsid w:val="00BF375F"/>
    <w:rsid w:val="00BF38CF"/>
    <w:rsid w:val="00BF3A05"/>
    <w:rsid w:val="00BF3E95"/>
    <w:rsid w:val="00BF3EF1"/>
    <w:rsid w:val="00BF467B"/>
    <w:rsid w:val="00BF471B"/>
    <w:rsid w:val="00BF4842"/>
    <w:rsid w:val="00BF48A2"/>
    <w:rsid w:val="00BF48A5"/>
    <w:rsid w:val="00BF4A27"/>
    <w:rsid w:val="00BF4BC1"/>
    <w:rsid w:val="00BF4C5F"/>
    <w:rsid w:val="00BF4E1B"/>
    <w:rsid w:val="00BF4FBB"/>
    <w:rsid w:val="00BF505D"/>
    <w:rsid w:val="00BF50E0"/>
    <w:rsid w:val="00BF5228"/>
    <w:rsid w:val="00BF5476"/>
    <w:rsid w:val="00BF553A"/>
    <w:rsid w:val="00BF59BD"/>
    <w:rsid w:val="00BF5C9C"/>
    <w:rsid w:val="00BF5D8D"/>
    <w:rsid w:val="00BF5F3D"/>
    <w:rsid w:val="00BF5FFC"/>
    <w:rsid w:val="00BF62E4"/>
    <w:rsid w:val="00BF6458"/>
    <w:rsid w:val="00BF6823"/>
    <w:rsid w:val="00BF6CBD"/>
    <w:rsid w:val="00BF6CD0"/>
    <w:rsid w:val="00BF6D21"/>
    <w:rsid w:val="00BF6E71"/>
    <w:rsid w:val="00BF7303"/>
    <w:rsid w:val="00BF7D07"/>
    <w:rsid w:val="00BF7F3F"/>
    <w:rsid w:val="00BF7F49"/>
    <w:rsid w:val="00C00027"/>
    <w:rsid w:val="00C00105"/>
    <w:rsid w:val="00C0017A"/>
    <w:rsid w:val="00C001E0"/>
    <w:rsid w:val="00C002C9"/>
    <w:rsid w:val="00C00413"/>
    <w:rsid w:val="00C00430"/>
    <w:rsid w:val="00C00523"/>
    <w:rsid w:val="00C009B7"/>
    <w:rsid w:val="00C00B2E"/>
    <w:rsid w:val="00C00F65"/>
    <w:rsid w:val="00C01157"/>
    <w:rsid w:val="00C012B7"/>
    <w:rsid w:val="00C014FF"/>
    <w:rsid w:val="00C01627"/>
    <w:rsid w:val="00C01814"/>
    <w:rsid w:val="00C018C4"/>
    <w:rsid w:val="00C01AF4"/>
    <w:rsid w:val="00C01E19"/>
    <w:rsid w:val="00C01F27"/>
    <w:rsid w:val="00C01F58"/>
    <w:rsid w:val="00C01FEB"/>
    <w:rsid w:val="00C024EE"/>
    <w:rsid w:val="00C02638"/>
    <w:rsid w:val="00C02769"/>
    <w:rsid w:val="00C02926"/>
    <w:rsid w:val="00C02A1C"/>
    <w:rsid w:val="00C02BD1"/>
    <w:rsid w:val="00C02C14"/>
    <w:rsid w:val="00C02D32"/>
    <w:rsid w:val="00C02DB7"/>
    <w:rsid w:val="00C0306C"/>
    <w:rsid w:val="00C032C8"/>
    <w:rsid w:val="00C032D9"/>
    <w:rsid w:val="00C03330"/>
    <w:rsid w:val="00C03366"/>
    <w:rsid w:val="00C033CF"/>
    <w:rsid w:val="00C038D3"/>
    <w:rsid w:val="00C03D1C"/>
    <w:rsid w:val="00C03F83"/>
    <w:rsid w:val="00C03FA9"/>
    <w:rsid w:val="00C03FD6"/>
    <w:rsid w:val="00C0411C"/>
    <w:rsid w:val="00C04174"/>
    <w:rsid w:val="00C045F2"/>
    <w:rsid w:val="00C046DA"/>
    <w:rsid w:val="00C046DF"/>
    <w:rsid w:val="00C0484B"/>
    <w:rsid w:val="00C04A49"/>
    <w:rsid w:val="00C04CCA"/>
    <w:rsid w:val="00C04F09"/>
    <w:rsid w:val="00C04F8F"/>
    <w:rsid w:val="00C04F91"/>
    <w:rsid w:val="00C04FA4"/>
    <w:rsid w:val="00C05598"/>
    <w:rsid w:val="00C0589F"/>
    <w:rsid w:val="00C058CE"/>
    <w:rsid w:val="00C058E5"/>
    <w:rsid w:val="00C05939"/>
    <w:rsid w:val="00C05D9D"/>
    <w:rsid w:val="00C060A6"/>
    <w:rsid w:val="00C0651E"/>
    <w:rsid w:val="00C06568"/>
    <w:rsid w:val="00C066AD"/>
    <w:rsid w:val="00C067C3"/>
    <w:rsid w:val="00C06B6A"/>
    <w:rsid w:val="00C06F76"/>
    <w:rsid w:val="00C0703B"/>
    <w:rsid w:val="00C07352"/>
    <w:rsid w:val="00C07525"/>
    <w:rsid w:val="00C077EE"/>
    <w:rsid w:val="00C0780E"/>
    <w:rsid w:val="00C078A7"/>
    <w:rsid w:val="00C07C05"/>
    <w:rsid w:val="00C07CE8"/>
    <w:rsid w:val="00C07ECE"/>
    <w:rsid w:val="00C10033"/>
    <w:rsid w:val="00C101DD"/>
    <w:rsid w:val="00C10401"/>
    <w:rsid w:val="00C1043D"/>
    <w:rsid w:val="00C10A10"/>
    <w:rsid w:val="00C10B3E"/>
    <w:rsid w:val="00C10B73"/>
    <w:rsid w:val="00C10D18"/>
    <w:rsid w:val="00C10E22"/>
    <w:rsid w:val="00C1110A"/>
    <w:rsid w:val="00C111FF"/>
    <w:rsid w:val="00C1120B"/>
    <w:rsid w:val="00C115DA"/>
    <w:rsid w:val="00C11624"/>
    <w:rsid w:val="00C11821"/>
    <w:rsid w:val="00C11A39"/>
    <w:rsid w:val="00C11A7D"/>
    <w:rsid w:val="00C11BA2"/>
    <w:rsid w:val="00C12139"/>
    <w:rsid w:val="00C12168"/>
    <w:rsid w:val="00C121D1"/>
    <w:rsid w:val="00C123C0"/>
    <w:rsid w:val="00C12426"/>
    <w:rsid w:val="00C124EA"/>
    <w:rsid w:val="00C12597"/>
    <w:rsid w:val="00C12744"/>
    <w:rsid w:val="00C12A0E"/>
    <w:rsid w:val="00C12A8E"/>
    <w:rsid w:val="00C131DA"/>
    <w:rsid w:val="00C13439"/>
    <w:rsid w:val="00C1368F"/>
    <w:rsid w:val="00C143F0"/>
    <w:rsid w:val="00C14527"/>
    <w:rsid w:val="00C146F0"/>
    <w:rsid w:val="00C14749"/>
    <w:rsid w:val="00C1485B"/>
    <w:rsid w:val="00C14A10"/>
    <w:rsid w:val="00C14AA2"/>
    <w:rsid w:val="00C14B5F"/>
    <w:rsid w:val="00C14BFC"/>
    <w:rsid w:val="00C14C76"/>
    <w:rsid w:val="00C14F3B"/>
    <w:rsid w:val="00C14FEA"/>
    <w:rsid w:val="00C153B9"/>
    <w:rsid w:val="00C154E4"/>
    <w:rsid w:val="00C154EB"/>
    <w:rsid w:val="00C1558C"/>
    <w:rsid w:val="00C155C7"/>
    <w:rsid w:val="00C1566F"/>
    <w:rsid w:val="00C157F8"/>
    <w:rsid w:val="00C1594F"/>
    <w:rsid w:val="00C15A6C"/>
    <w:rsid w:val="00C15EA4"/>
    <w:rsid w:val="00C162D2"/>
    <w:rsid w:val="00C1688C"/>
    <w:rsid w:val="00C16DBC"/>
    <w:rsid w:val="00C16DFD"/>
    <w:rsid w:val="00C16F03"/>
    <w:rsid w:val="00C16F94"/>
    <w:rsid w:val="00C17027"/>
    <w:rsid w:val="00C17280"/>
    <w:rsid w:val="00C175CF"/>
    <w:rsid w:val="00C17A10"/>
    <w:rsid w:val="00C17A6C"/>
    <w:rsid w:val="00C2004C"/>
    <w:rsid w:val="00C20145"/>
    <w:rsid w:val="00C201E6"/>
    <w:rsid w:val="00C20284"/>
    <w:rsid w:val="00C20753"/>
    <w:rsid w:val="00C209A0"/>
    <w:rsid w:val="00C20A12"/>
    <w:rsid w:val="00C20FB0"/>
    <w:rsid w:val="00C20FF0"/>
    <w:rsid w:val="00C21013"/>
    <w:rsid w:val="00C21182"/>
    <w:rsid w:val="00C2123C"/>
    <w:rsid w:val="00C21328"/>
    <w:rsid w:val="00C21869"/>
    <w:rsid w:val="00C219BD"/>
    <w:rsid w:val="00C21AE1"/>
    <w:rsid w:val="00C21AF3"/>
    <w:rsid w:val="00C21B52"/>
    <w:rsid w:val="00C21BA9"/>
    <w:rsid w:val="00C21E1B"/>
    <w:rsid w:val="00C220E7"/>
    <w:rsid w:val="00C221A5"/>
    <w:rsid w:val="00C22217"/>
    <w:rsid w:val="00C2240F"/>
    <w:rsid w:val="00C227C9"/>
    <w:rsid w:val="00C22910"/>
    <w:rsid w:val="00C22A8A"/>
    <w:rsid w:val="00C22C1C"/>
    <w:rsid w:val="00C22CBA"/>
    <w:rsid w:val="00C22D08"/>
    <w:rsid w:val="00C23040"/>
    <w:rsid w:val="00C23356"/>
    <w:rsid w:val="00C234FD"/>
    <w:rsid w:val="00C237FD"/>
    <w:rsid w:val="00C238B9"/>
    <w:rsid w:val="00C23D54"/>
    <w:rsid w:val="00C23D6C"/>
    <w:rsid w:val="00C23EEF"/>
    <w:rsid w:val="00C23F11"/>
    <w:rsid w:val="00C24038"/>
    <w:rsid w:val="00C24127"/>
    <w:rsid w:val="00C24189"/>
    <w:rsid w:val="00C24417"/>
    <w:rsid w:val="00C2462F"/>
    <w:rsid w:val="00C24651"/>
    <w:rsid w:val="00C2492B"/>
    <w:rsid w:val="00C24CE3"/>
    <w:rsid w:val="00C24D37"/>
    <w:rsid w:val="00C24F54"/>
    <w:rsid w:val="00C24FCA"/>
    <w:rsid w:val="00C24FE1"/>
    <w:rsid w:val="00C252DF"/>
    <w:rsid w:val="00C25370"/>
    <w:rsid w:val="00C2548A"/>
    <w:rsid w:val="00C255A8"/>
    <w:rsid w:val="00C257B7"/>
    <w:rsid w:val="00C257EC"/>
    <w:rsid w:val="00C25C68"/>
    <w:rsid w:val="00C25C6A"/>
    <w:rsid w:val="00C25E4B"/>
    <w:rsid w:val="00C25F2B"/>
    <w:rsid w:val="00C25F58"/>
    <w:rsid w:val="00C25FC8"/>
    <w:rsid w:val="00C26130"/>
    <w:rsid w:val="00C26220"/>
    <w:rsid w:val="00C26291"/>
    <w:rsid w:val="00C2638E"/>
    <w:rsid w:val="00C2659E"/>
    <w:rsid w:val="00C26853"/>
    <w:rsid w:val="00C269EA"/>
    <w:rsid w:val="00C26A0B"/>
    <w:rsid w:val="00C26C27"/>
    <w:rsid w:val="00C26E8E"/>
    <w:rsid w:val="00C26F03"/>
    <w:rsid w:val="00C2705E"/>
    <w:rsid w:val="00C2706C"/>
    <w:rsid w:val="00C27221"/>
    <w:rsid w:val="00C2758F"/>
    <w:rsid w:val="00C27717"/>
    <w:rsid w:val="00C2779C"/>
    <w:rsid w:val="00C27870"/>
    <w:rsid w:val="00C27D64"/>
    <w:rsid w:val="00C27E1D"/>
    <w:rsid w:val="00C27FEF"/>
    <w:rsid w:val="00C3031B"/>
    <w:rsid w:val="00C3041D"/>
    <w:rsid w:val="00C3086B"/>
    <w:rsid w:val="00C30987"/>
    <w:rsid w:val="00C30C37"/>
    <w:rsid w:val="00C31023"/>
    <w:rsid w:val="00C3174E"/>
    <w:rsid w:val="00C317F7"/>
    <w:rsid w:val="00C31841"/>
    <w:rsid w:val="00C31861"/>
    <w:rsid w:val="00C3191F"/>
    <w:rsid w:val="00C31A7E"/>
    <w:rsid w:val="00C31F7B"/>
    <w:rsid w:val="00C32146"/>
    <w:rsid w:val="00C32224"/>
    <w:rsid w:val="00C3224A"/>
    <w:rsid w:val="00C32261"/>
    <w:rsid w:val="00C3230B"/>
    <w:rsid w:val="00C32639"/>
    <w:rsid w:val="00C32A30"/>
    <w:rsid w:val="00C32EF5"/>
    <w:rsid w:val="00C3321E"/>
    <w:rsid w:val="00C33406"/>
    <w:rsid w:val="00C335A4"/>
    <w:rsid w:val="00C33B15"/>
    <w:rsid w:val="00C33B3D"/>
    <w:rsid w:val="00C33DE4"/>
    <w:rsid w:val="00C33FE3"/>
    <w:rsid w:val="00C342AB"/>
    <w:rsid w:val="00C344D1"/>
    <w:rsid w:val="00C346D4"/>
    <w:rsid w:val="00C3491F"/>
    <w:rsid w:val="00C34A02"/>
    <w:rsid w:val="00C34A3F"/>
    <w:rsid w:val="00C34B0B"/>
    <w:rsid w:val="00C35045"/>
    <w:rsid w:val="00C350A3"/>
    <w:rsid w:val="00C3540F"/>
    <w:rsid w:val="00C354D7"/>
    <w:rsid w:val="00C35584"/>
    <w:rsid w:val="00C35A8D"/>
    <w:rsid w:val="00C35BE1"/>
    <w:rsid w:val="00C35D43"/>
    <w:rsid w:val="00C35EA1"/>
    <w:rsid w:val="00C361F5"/>
    <w:rsid w:val="00C3654C"/>
    <w:rsid w:val="00C365C9"/>
    <w:rsid w:val="00C365DD"/>
    <w:rsid w:val="00C367F0"/>
    <w:rsid w:val="00C36E02"/>
    <w:rsid w:val="00C37152"/>
    <w:rsid w:val="00C371C8"/>
    <w:rsid w:val="00C37504"/>
    <w:rsid w:val="00C377E0"/>
    <w:rsid w:val="00C3786C"/>
    <w:rsid w:val="00C378BB"/>
    <w:rsid w:val="00C37B97"/>
    <w:rsid w:val="00C37BED"/>
    <w:rsid w:val="00C4001F"/>
    <w:rsid w:val="00C4004B"/>
    <w:rsid w:val="00C400BE"/>
    <w:rsid w:val="00C40355"/>
    <w:rsid w:val="00C4047C"/>
    <w:rsid w:val="00C40630"/>
    <w:rsid w:val="00C40893"/>
    <w:rsid w:val="00C408C2"/>
    <w:rsid w:val="00C40CDD"/>
    <w:rsid w:val="00C40D7E"/>
    <w:rsid w:val="00C40DD6"/>
    <w:rsid w:val="00C41092"/>
    <w:rsid w:val="00C41247"/>
    <w:rsid w:val="00C412DC"/>
    <w:rsid w:val="00C41750"/>
    <w:rsid w:val="00C41D70"/>
    <w:rsid w:val="00C41EB5"/>
    <w:rsid w:val="00C41F3A"/>
    <w:rsid w:val="00C41FAB"/>
    <w:rsid w:val="00C41FAD"/>
    <w:rsid w:val="00C422A6"/>
    <w:rsid w:val="00C42752"/>
    <w:rsid w:val="00C427B0"/>
    <w:rsid w:val="00C428D7"/>
    <w:rsid w:val="00C42926"/>
    <w:rsid w:val="00C42BA7"/>
    <w:rsid w:val="00C42BEB"/>
    <w:rsid w:val="00C42E77"/>
    <w:rsid w:val="00C42F5E"/>
    <w:rsid w:val="00C430FF"/>
    <w:rsid w:val="00C43198"/>
    <w:rsid w:val="00C43311"/>
    <w:rsid w:val="00C433D5"/>
    <w:rsid w:val="00C4340E"/>
    <w:rsid w:val="00C436B8"/>
    <w:rsid w:val="00C43AB7"/>
    <w:rsid w:val="00C43C6B"/>
    <w:rsid w:val="00C43CD4"/>
    <w:rsid w:val="00C43D5F"/>
    <w:rsid w:val="00C43E9A"/>
    <w:rsid w:val="00C43F14"/>
    <w:rsid w:val="00C43F30"/>
    <w:rsid w:val="00C44008"/>
    <w:rsid w:val="00C442F6"/>
    <w:rsid w:val="00C4460D"/>
    <w:rsid w:val="00C446A7"/>
    <w:rsid w:val="00C44805"/>
    <w:rsid w:val="00C44835"/>
    <w:rsid w:val="00C44B5A"/>
    <w:rsid w:val="00C44C2A"/>
    <w:rsid w:val="00C44CAA"/>
    <w:rsid w:val="00C44D9F"/>
    <w:rsid w:val="00C44DE1"/>
    <w:rsid w:val="00C44FC1"/>
    <w:rsid w:val="00C450D5"/>
    <w:rsid w:val="00C453C4"/>
    <w:rsid w:val="00C458B9"/>
    <w:rsid w:val="00C458FE"/>
    <w:rsid w:val="00C45B3B"/>
    <w:rsid w:val="00C45B99"/>
    <w:rsid w:val="00C45E4D"/>
    <w:rsid w:val="00C45ED9"/>
    <w:rsid w:val="00C4603C"/>
    <w:rsid w:val="00C461EE"/>
    <w:rsid w:val="00C46222"/>
    <w:rsid w:val="00C46229"/>
    <w:rsid w:val="00C462A5"/>
    <w:rsid w:val="00C463FA"/>
    <w:rsid w:val="00C4671B"/>
    <w:rsid w:val="00C46740"/>
    <w:rsid w:val="00C468B2"/>
    <w:rsid w:val="00C46BB1"/>
    <w:rsid w:val="00C46E87"/>
    <w:rsid w:val="00C47112"/>
    <w:rsid w:val="00C47292"/>
    <w:rsid w:val="00C478EC"/>
    <w:rsid w:val="00C4798E"/>
    <w:rsid w:val="00C47A52"/>
    <w:rsid w:val="00C50004"/>
    <w:rsid w:val="00C5002E"/>
    <w:rsid w:val="00C500B4"/>
    <w:rsid w:val="00C50220"/>
    <w:rsid w:val="00C50434"/>
    <w:rsid w:val="00C5049B"/>
    <w:rsid w:val="00C504B7"/>
    <w:rsid w:val="00C5056C"/>
    <w:rsid w:val="00C505D9"/>
    <w:rsid w:val="00C5078A"/>
    <w:rsid w:val="00C50839"/>
    <w:rsid w:val="00C509E2"/>
    <w:rsid w:val="00C50AB8"/>
    <w:rsid w:val="00C50B3B"/>
    <w:rsid w:val="00C50D49"/>
    <w:rsid w:val="00C50DB9"/>
    <w:rsid w:val="00C50DC4"/>
    <w:rsid w:val="00C51092"/>
    <w:rsid w:val="00C51357"/>
    <w:rsid w:val="00C5177C"/>
    <w:rsid w:val="00C5179C"/>
    <w:rsid w:val="00C51894"/>
    <w:rsid w:val="00C51B87"/>
    <w:rsid w:val="00C51D7A"/>
    <w:rsid w:val="00C521EE"/>
    <w:rsid w:val="00C524B2"/>
    <w:rsid w:val="00C5269B"/>
    <w:rsid w:val="00C52720"/>
    <w:rsid w:val="00C5287F"/>
    <w:rsid w:val="00C528A6"/>
    <w:rsid w:val="00C52DAA"/>
    <w:rsid w:val="00C52DE0"/>
    <w:rsid w:val="00C52F85"/>
    <w:rsid w:val="00C5316D"/>
    <w:rsid w:val="00C53285"/>
    <w:rsid w:val="00C53373"/>
    <w:rsid w:val="00C53546"/>
    <w:rsid w:val="00C537AA"/>
    <w:rsid w:val="00C537C8"/>
    <w:rsid w:val="00C5385D"/>
    <w:rsid w:val="00C5386A"/>
    <w:rsid w:val="00C53975"/>
    <w:rsid w:val="00C53A27"/>
    <w:rsid w:val="00C53AE0"/>
    <w:rsid w:val="00C53AF1"/>
    <w:rsid w:val="00C53C98"/>
    <w:rsid w:val="00C53CA4"/>
    <w:rsid w:val="00C53ECE"/>
    <w:rsid w:val="00C54386"/>
    <w:rsid w:val="00C547A3"/>
    <w:rsid w:val="00C54B63"/>
    <w:rsid w:val="00C54DDA"/>
    <w:rsid w:val="00C556ED"/>
    <w:rsid w:val="00C55984"/>
    <w:rsid w:val="00C55B67"/>
    <w:rsid w:val="00C55E44"/>
    <w:rsid w:val="00C55E61"/>
    <w:rsid w:val="00C56022"/>
    <w:rsid w:val="00C5661C"/>
    <w:rsid w:val="00C56B06"/>
    <w:rsid w:val="00C56C61"/>
    <w:rsid w:val="00C57914"/>
    <w:rsid w:val="00C57AB2"/>
    <w:rsid w:val="00C57DA7"/>
    <w:rsid w:val="00C6002B"/>
    <w:rsid w:val="00C60198"/>
    <w:rsid w:val="00C602EE"/>
    <w:rsid w:val="00C60443"/>
    <w:rsid w:val="00C604FC"/>
    <w:rsid w:val="00C6065D"/>
    <w:rsid w:val="00C60764"/>
    <w:rsid w:val="00C608BF"/>
    <w:rsid w:val="00C608D5"/>
    <w:rsid w:val="00C61130"/>
    <w:rsid w:val="00C61183"/>
    <w:rsid w:val="00C61368"/>
    <w:rsid w:val="00C6161B"/>
    <w:rsid w:val="00C61633"/>
    <w:rsid w:val="00C616EA"/>
    <w:rsid w:val="00C6174F"/>
    <w:rsid w:val="00C617E3"/>
    <w:rsid w:val="00C61B5B"/>
    <w:rsid w:val="00C61D27"/>
    <w:rsid w:val="00C62976"/>
    <w:rsid w:val="00C62AB8"/>
    <w:rsid w:val="00C62E00"/>
    <w:rsid w:val="00C63061"/>
    <w:rsid w:val="00C63309"/>
    <w:rsid w:val="00C633A1"/>
    <w:rsid w:val="00C63476"/>
    <w:rsid w:val="00C63562"/>
    <w:rsid w:val="00C6380F"/>
    <w:rsid w:val="00C63BF7"/>
    <w:rsid w:val="00C63DFB"/>
    <w:rsid w:val="00C63E13"/>
    <w:rsid w:val="00C63E76"/>
    <w:rsid w:val="00C6415A"/>
    <w:rsid w:val="00C64192"/>
    <w:rsid w:val="00C6449D"/>
    <w:rsid w:val="00C644E3"/>
    <w:rsid w:val="00C645AB"/>
    <w:rsid w:val="00C648C1"/>
    <w:rsid w:val="00C64BF8"/>
    <w:rsid w:val="00C64C5A"/>
    <w:rsid w:val="00C64F41"/>
    <w:rsid w:val="00C64FE6"/>
    <w:rsid w:val="00C653B0"/>
    <w:rsid w:val="00C65458"/>
    <w:rsid w:val="00C6567E"/>
    <w:rsid w:val="00C65947"/>
    <w:rsid w:val="00C65D81"/>
    <w:rsid w:val="00C65FC1"/>
    <w:rsid w:val="00C661C0"/>
    <w:rsid w:val="00C662E2"/>
    <w:rsid w:val="00C66300"/>
    <w:rsid w:val="00C6646D"/>
    <w:rsid w:val="00C66B18"/>
    <w:rsid w:val="00C66C3D"/>
    <w:rsid w:val="00C66C84"/>
    <w:rsid w:val="00C6700A"/>
    <w:rsid w:val="00C670D9"/>
    <w:rsid w:val="00C672C0"/>
    <w:rsid w:val="00C67420"/>
    <w:rsid w:val="00C67683"/>
    <w:rsid w:val="00C67B94"/>
    <w:rsid w:val="00C67C15"/>
    <w:rsid w:val="00C67C19"/>
    <w:rsid w:val="00C67E0F"/>
    <w:rsid w:val="00C7001A"/>
    <w:rsid w:val="00C7003E"/>
    <w:rsid w:val="00C70156"/>
    <w:rsid w:val="00C701E9"/>
    <w:rsid w:val="00C70274"/>
    <w:rsid w:val="00C704AE"/>
    <w:rsid w:val="00C705C4"/>
    <w:rsid w:val="00C70979"/>
    <w:rsid w:val="00C70D06"/>
    <w:rsid w:val="00C70EC8"/>
    <w:rsid w:val="00C70EEE"/>
    <w:rsid w:val="00C71029"/>
    <w:rsid w:val="00C7103F"/>
    <w:rsid w:val="00C710FD"/>
    <w:rsid w:val="00C7121D"/>
    <w:rsid w:val="00C715C7"/>
    <w:rsid w:val="00C71618"/>
    <w:rsid w:val="00C7175D"/>
    <w:rsid w:val="00C71881"/>
    <w:rsid w:val="00C71B8E"/>
    <w:rsid w:val="00C71CE9"/>
    <w:rsid w:val="00C71F10"/>
    <w:rsid w:val="00C7200D"/>
    <w:rsid w:val="00C72362"/>
    <w:rsid w:val="00C72627"/>
    <w:rsid w:val="00C72BA5"/>
    <w:rsid w:val="00C72F6B"/>
    <w:rsid w:val="00C73140"/>
    <w:rsid w:val="00C737D6"/>
    <w:rsid w:val="00C738A5"/>
    <w:rsid w:val="00C7395D"/>
    <w:rsid w:val="00C739F7"/>
    <w:rsid w:val="00C7412B"/>
    <w:rsid w:val="00C74529"/>
    <w:rsid w:val="00C748EC"/>
    <w:rsid w:val="00C74A5F"/>
    <w:rsid w:val="00C74D2C"/>
    <w:rsid w:val="00C74E26"/>
    <w:rsid w:val="00C751AA"/>
    <w:rsid w:val="00C752B7"/>
    <w:rsid w:val="00C75329"/>
    <w:rsid w:val="00C75387"/>
    <w:rsid w:val="00C75395"/>
    <w:rsid w:val="00C754A4"/>
    <w:rsid w:val="00C7559C"/>
    <w:rsid w:val="00C75A02"/>
    <w:rsid w:val="00C762AF"/>
    <w:rsid w:val="00C76570"/>
    <w:rsid w:val="00C76636"/>
    <w:rsid w:val="00C76851"/>
    <w:rsid w:val="00C76BF5"/>
    <w:rsid w:val="00C76F13"/>
    <w:rsid w:val="00C76F2D"/>
    <w:rsid w:val="00C77216"/>
    <w:rsid w:val="00C77270"/>
    <w:rsid w:val="00C77382"/>
    <w:rsid w:val="00C774B1"/>
    <w:rsid w:val="00C77529"/>
    <w:rsid w:val="00C776A3"/>
    <w:rsid w:val="00C77914"/>
    <w:rsid w:val="00C77944"/>
    <w:rsid w:val="00C77AE3"/>
    <w:rsid w:val="00C77E2C"/>
    <w:rsid w:val="00C801C7"/>
    <w:rsid w:val="00C80314"/>
    <w:rsid w:val="00C80454"/>
    <w:rsid w:val="00C807C4"/>
    <w:rsid w:val="00C80B56"/>
    <w:rsid w:val="00C80C31"/>
    <w:rsid w:val="00C80F0D"/>
    <w:rsid w:val="00C80F5B"/>
    <w:rsid w:val="00C81151"/>
    <w:rsid w:val="00C81274"/>
    <w:rsid w:val="00C81542"/>
    <w:rsid w:val="00C81808"/>
    <w:rsid w:val="00C81A7B"/>
    <w:rsid w:val="00C81C5E"/>
    <w:rsid w:val="00C81D14"/>
    <w:rsid w:val="00C81E6F"/>
    <w:rsid w:val="00C821F4"/>
    <w:rsid w:val="00C821F5"/>
    <w:rsid w:val="00C82386"/>
    <w:rsid w:val="00C82399"/>
    <w:rsid w:val="00C8242A"/>
    <w:rsid w:val="00C827AF"/>
    <w:rsid w:val="00C82AE8"/>
    <w:rsid w:val="00C82DDC"/>
    <w:rsid w:val="00C83175"/>
    <w:rsid w:val="00C831AA"/>
    <w:rsid w:val="00C8329F"/>
    <w:rsid w:val="00C838C3"/>
    <w:rsid w:val="00C83978"/>
    <w:rsid w:val="00C83A87"/>
    <w:rsid w:val="00C841A9"/>
    <w:rsid w:val="00C842DB"/>
    <w:rsid w:val="00C8448F"/>
    <w:rsid w:val="00C84848"/>
    <w:rsid w:val="00C849FF"/>
    <w:rsid w:val="00C84A1A"/>
    <w:rsid w:val="00C84B04"/>
    <w:rsid w:val="00C84C37"/>
    <w:rsid w:val="00C84C77"/>
    <w:rsid w:val="00C84CBF"/>
    <w:rsid w:val="00C850B1"/>
    <w:rsid w:val="00C851CF"/>
    <w:rsid w:val="00C852AC"/>
    <w:rsid w:val="00C85474"/>
    <w:rsid w:val="00C8569A"/>
    <w:rsid w:val="00C856C3"/>
    <w:rsid w:val="00C8576C"/>
    <w:rsid w:val="00C8578E"/>
    <w:rsid w:val="00C8588A"/>
    <w:rsid w:val="00C858B1"/>
    <w:rsid w:val="00C85A35"/>
    <w:rsid w:val="00C85AAA"/>
    <w:rsid w:val="00C85AC0"/>
    <w:rsid w:val="00C85C6E"/>
    <w:rsid w:val="00C85D8C"/>
    <w:rsid w:val="00C85EBC"/>
    <w:rsid w:val="00C85F3E"/>
    <w:rsid w:val="00C86029"/>
    <w:rsid w:val="00C86137"/>
    <w:rsid w:val="00C862EE"/>
    <w:rsid w:val="00C8635A"/>
    <w:rsid w:val="00C8644C"/>
    <w:rsid w:val="00C86493"/>
    <w:rsid w:val="00C868C4"/>
    <w:rsid w:val="00C86944"/>
    <w:rsid w:val="00C86C1E"/>
    <w:rsid w:val="00C86F4E"/>
    <w:rsid w:val="00C87083"/>
    <w:rsid w:val="00C8717F"/>
    <w:rsid w:val="00C871AA"/>
    <w:rsid w:val="00C875C6"/>
    <w:rsid w:val="00C878CA"/>
    <w:rsid w:val="00C87DEC"/>
    <w:rsid w:val="00C87E47"/>
    <w:rsid w:val="00C904BA"/>
    <w:rsid w:val="00C905FD"/>
    <w:rsid w:val="00C9084A"/>
    <w:rsid w:val="00C90939"/>
    <w:rsid w:val="00C90DBB"/>
    <w:rsid w:val="00C90DD8"/>
    <w:rsid w:val="00C90EB2"/>
    <w:rsid w:val="00C910FA"/>
    <w:rsid w:val="00C9124D"/>
    <w:rsid w:val="00C91276"/>
    <w:rsid w:val="00C91520"/>
    <w:rsid w:val="00C916C2"/>
    <w:rsid w:val="00C9171B"/>
    <w:rsid w:val="00C9172C"/>
    <w:rsid w:val="00C917FD"/>
    <w:rsid w:val="00C918F1"/>
    <w:rsid w:val="00C91B06"/>
    <w:rsid w:val="00C91C93"/>
    <w:rsid w:val="00C9214A"/>
    <w:rsid w:val="00C92279"/>
    <w:rsid w:val="00C922CE"/>
    <w:rsid w:val="00C92315"/>
    <w:rsid w:val="00C923FC"/>
    <w:rsid w:val="00C92503"/>
    <w:rsid w:val="00C928BD"/>
    <w:rsid w:val="00C92A0D"/>
    <w:rsid w:val="00C92B64"/>
    <w:rsid w:val="00C92BB6"/>
    <w:rsid w:val="00C93129"/>
    <w:rsid w:val="00C93276"/>
    <w:rsid w:val="00C9328C"/>
    <w:rsid w:val="00C935B5"/>
    <w:rsid w:val="00C93697"/>
    <w:rsid w:val="00C936D8"/>
    <w:rsid w:val="00C93905"/>
    <w:rsid w:val="00C9391E"/>
    <w:rsid w:val="00C93969"/>
    <w:rsid w:val="00C939D6"/>
    <w:rsid w:val="00C93A32"/>
    <w:rsid w:val="00C93F7D"/>
    <w:rsid w:val="00C9409C"/>
    <w:rsid w:val="00C942AD"/>
    <w:rsid w:val="00C94417"/>
    <w:rsid w:val="00C94563"/>
    <w:rsid w:val="00C94767"/>
    <w:rsid w:val="00C9488D"/>
    <w:rsid w:val="00C949D3"/>
    <w:rsid w:val="00C94ADB"/>
    <w:rsid w:val="00C94BB2"/>
    <w:rsid w:val="00C94CEF"/>
    <w:rsid w:val="00C950B8"/>
    <w:rsid w:val="00C95152"/>
    <w:rsid w:val="00C958D6"/>
    <w:rsid w:val="00C9594B"/>
    <w:rsid w:val="00C95A89"/>
    <w:rsid w:val="00C95ACA"/>
    <w:rsid w:val="00C95CA0"/>
    <w:rsid w:val="00C95D7A"/>
    <w:rsid w:val="00C95E01"/>
    <w:rsid w:val="00C960B6"/>
    <w:rsid w:val="00C96167"/>
    <w:rsid w:val="00C963A4"/>
    <w:rsid w:val="00C96451"/>
    <w:rsid w:val="00C96B4E"/>
    <w:rsid w:val="00C96BA4"/>
    <w:rsid w:val="00C96CCB"/>
    <w:rsid w:val="00C97059"/>
    <w:rsid w:val="00C974D1"/>
    <w:rsid w:val="00C974D7"/>
    <w:rsid w:val="00C976D9"/>
    <w:rsid w:val="00C977CA"/>
    <w:rsid w:val="00C97AED"/>
    <w:rsid w:val="00CA02DB"/>
    <w:rsid w:val="00CA09CA"/>
    <w:rsid w:val="00CA0CDC"/>
    <w:rsid w:val="00CA12C2"/>
    <w:rsid w:val="00CA133F"/>
    <w:rsid w:val="00CA1349"/>
    <w:rsid w:val="00CA14BA"/>
    <w:rsid w:val="00CA15E4"/>
    <w:rsid w:val="00CA1744"/>
    <w:rsid w:val="00CA1A1F"/>
    <w:rsid w:val="00CA1B59"/>
    <w:rsid w:val="00CA1BEA"/>
    <w:rsid w:val="00CA1E81"/>
    <w:rsid w:val="00CA2021"/>
    <w:rsid w:val="00CA2035"/>
    <w:rsid w:val="00CA20F4"/>
    <w:rsid w:val="00CA2393"/>
    <w:rsid w:val="00CA23DE"/>
    <w:rsid w:val="00CA2593"/>
    <w:rsid w:val="00CA2AE7"/>
    <w:rsid w:val="00CA2D60"/>
    <w:rsid w:val="00CA300E"/>
    <w:rsid w:val="00CA3202"/>
    <w:rsid w:val="00CA3267"/>
    <w:rsid w:val="00CA33C3"/>
    <w:rsid w:val="00CA35F0"/>
    <w:rsid w:val="00CA3715"/>
    <w:rsid w:val="00CA37FE"/>
    <w:rsid w:val="00CA39A8"/>
    <w:rsid w:val="00CA39ED"/>
    <w:rsid w:val="00CA3A2C"/>
    <w:rsid w:val="00CA3EE6"/>
    <w:rsid w:val="00CA3F80"/>
    <w:rsid w:val="00CA43C2"/>
    <w:rsid w:val="00CA45C3"/>
    <w:rsid w:val="00CA4679"/>
    <w:rsid w:val="00CA48A8"/>
    <w:rsid w:val="00CA4A50"/>
    <w:rsid w:val="00CA4BCF"/>
    <w:rsid w:val="00CA4C12"/>
    <w:rsid w:val="00CA4C39"/>
    <w:rsid w:val="00CA514C"/>
    <w:rsid w:val="00CA515E"/>
    <w:rsid w:val="00CA545F"/>
    <w:rsid w:val="00CA5693"/>
    <w:rsid w:val="00CA586D"/>
    <w:rsid w:val="00CA58D7"/>
    <w:rsid w:val="00CA5EC2"/>
    <w:rsid w:val="00CA6207"/>
    <w:rsid w:val="00CA6618"/>
    <w:rsid w:val="00CA6731"/>
    <w:rsid w:val="00CA6C5F"/>
    <w:rsid w:val="00CA6C90"/>
    <w:rsid w:val="00CA7317"/>
    <w:rsid w:val="00CA732E"/>
    <w:rsid w:val="00CA7779"/>
    <w:rsid w:val="00CA788A"/>
    <w:rsid w:val="00CA7988"/>
    <w:rsid w:val="00CA79D5"/>
    <w:rsid w:val="00CA7B0A"/>
    <w:rsid w:val="00CA7C73"/>
    <w:rsid w:val="00CA7D72"/>
    <w:rsid w:val="00CA7DCF"/>
    <w:rsid w:val="00CA7DDB"/>
    <w:rsid w:val="00CA7F26"/>
    <w:rsid w:val="00CB0218"/>
    <w:rsid w:val="00CB024D"/>
    <w:rsid w:val="00CB038D"/>
    <w:rsid w:val="00CB0812"/>
    <w:rsid w:val="00CB095B"/>
    <w:rsid w:val="00CB0989"/>
    <w:rsid w:val="00CB099F"/>
    <w:rsid w:val="00CB0AD0"/>
    <w:rsid w:val="00CB0C00"/>
    <w:rsid w:val="00CB0CB4"/>
    <w:rsid w:val="00CB0CFC"/>
    <w:rsid w:val="00CB0F7D"/>
    <w:rsid w:val="00CB17E2"/>
    <w:rsid w:val="00CB1AFC"/>
    <w:rsid w:val="00CB1FE4"/>
    <w:rsid w:val="00CB21D0"/>
    <w:rsid w:val="00CB243B"/>
    <w:rsid w:val="00CB2791"/>
    <w:rsid w:val="00CB2A96"/>
    <w:rsid w:val="00CB2D3E"/>
    <w:rsid w:val="00CB2DFA"/>
    <w:rsid w:val="00CB2EBB"/>
    <w:rsid w:val="00CB2FA6"/>
    <w:rsid w:val="00CB3043"/>
    <w:rsid w:val="00CB30F2"/>
    <w:rsid w:val="00CB33BE"/>
    <w:rsid w:val="00CB36DD"/>
    <w:rsid w:val="00CB383F"/>
    <w:rsid w:val="00CB396C"/>
    <w:rsid w:val="00CB41A8"/>
    <w:rsid w:val="00CB41BC"/>
    <w:rsid w:val="00CB43C3"/>
    <w:rsid w:val="00CB4611"/>
    <w:rsid w:val="00CB463B"/>
    <w:rsid w:val="00CB47BC"/>
    <w:rsid w:val="00CB48D3"/>
    <w:rsid w:val="00CB4B1A"/>
    <w:rsid w:val="00CB4DB6"/>
    <w:rsid w:val="00CB4E2E"/>
    <w:rsid w:val="00CB5449"/>
    <w:rsid w:val="00CB5643"/>
    <w:rsid w:val="00CB5838"/>
    <w:rsid w:val="00CB58A2"/>
    <w:rsid w:val="00CB58C1"/>
    <w:rsid w:val="00CB5AB0"/>
    <w:rsid w:val="00CB5AD5"/>
    <w:rsid w:val="00CB5EE7"/>
    <w:rsid w:val="00CB62C0"/>
    <w:rsid w:val="00CB62C2"/>
    <w:rsid w:val="00CB650C"/>
    <w:rsid w:val="00CB6723"/>
    <w:rsid w:val="00CB67C0"/>
    <w:rsid w:val="00CB67CC"/>
    <w:rsid w:val="00CB6E59"/>
    <w:rsid w:val="00CB6E93"/>
    <w:rsid w:val="00CB6FA7"/>
    <w:rsid w:val="00CB7177"/>
    <w:rsid w:val="00CB7467"/>
    <w:rsid w:val="00CB74CB"/>
    <w:rsid w:val="00CB774F"/>
    <w:rsid w:val="00CB78B0"/>
    <w:rsid w:val="00CB7900"/>
    <w:rsid w:val="00CB7B3C"/>
    <w:rsid w:val="00CB7F8C"/>
    <w:rsid w:val="00CB7FEA"/>
    <w:rsid w:val="00CC0049"/>
    <w:rsid w:val="00CC00D5"/>
    <w:rsid w:val="00CC01D7"/>
    <w:rsid w:val="00CC0483"/>
    <w:rsid w:val="00CC0517"/>
    <w:rsid w:val="00CC05BE"/>
    <w:rsid w:val="00CC07E8"/>
    <w:rsid w:val="00CC0C5A"/>
    <w:rsid w:val="00CC0DA7"/>
    <w:rsid w:val="00CC0F03"/>
    <w:rsid w:val="00CC1377"/>
    <w:rsid w:val="00CC137E"/>
    <w:rsid w:val="00CC13F8"/>
    <w:rsid w:val="00CC156D"/>
    <w:rsid w:val="00CC1598"/>
    <w:rsid w:val="00CC1846"/>
    <w:rsid w:val="00CC1875"/>
    <w:rsid w:val="00CC1C5D"/>
    <w:rsid w:val="00CC1CFA"/>
    <w:rsid w:val="00CC2091"/>
    <w:rsid w:val="00CC2136"/>
    <w:rsid w:val="00CC2550"/>
    <w:rsid w:val="00CC29CE"/>
    <w:rsid w:val="00CC2A05"/>
    <w:rsid w:val="00CC2AAA"/>
    <w:rsid w:val="00CC2ABF"/>
    <w:rsid w:val="00CC2B07"/>
    <w:rsid w:val="00CC2C4D"/>
    <w:rsid w:val="00CC2C63"/>
    <w:rsid w:val="00CC2D17"/>
    <w:rsid w:val="00CC30F8"/>
    <w:rsid w:val="00CC327A"/>
    <w:rsid w:val="00CC33F5"/>
    <w:rsid w:val="00CC3764"/>
    <w:rsid w:val="00CC3875"/>
    <w:rsid w:val="00CC3986"/>
    <w:rsid w:val="00CC3B0E"/>
    <w:rsid w:val="00CC3EBE"/>
    <w:rsid w:val="00CC416B"/>
    <w:rsid w:val="00CC4364"/>
    <w:rsid w:val="00CC4482"/>
    <w:rsid w:val="00CC4705"/>
    <w:rsid w:val="00CC47C8"/>
    <w:rsid w:val="00CC481A"/>
    <w:rsid w:val="00CC4AF6"/>
    <w:rsid w:val="00CC4BA3"/>
    <w:rsid w:val="00CC4CB2"/>
    <w:rsid w:val="00CC4DC8"/>
    <w:rsid w:val="00CC5826"/>
    <w:rsid w:val="00CC5A96"/>
    <w:rsid w:val="00CC5AFE"/>
    <w:rsid w:val="00CC5C0E"/>
    <w:rsid w:val="00CC5CB4"/>
    <w:rsid w:val="00CC5F43"/>
    <w:rsid w:val="00CC6114"/>
    <w:rsid w:val="00CC614D"/>
    <w:rsid w:val="00CC6453"/>
    <w:rsid w:val="00CC6599"/>
    <w:rsid w:val="00CC66F0"/>
    <w:rsid w:val="00CC688A"/>
    <w:rsid w:val="00CC69BF"/>
    <w:rsid w:val="00CC6ABD"/>
    <w:rsid w:val="00CC6AE8"/>
    <w:rsid w:val="00CC6BEB"/>
    <w:rsid w:val="00CC6DB3"/>
    <w:rsid w:val="00CC6E60"/>
    <w:rsid w:val="00CC7079"/>
    <w:rsid w:val="00CC718E"/>
    <w:rsid w:val="00CC755B"/>
    <w:rsid w:val="00CC7A3C"/>
    <w:rsid w:val="00CC7E1D"/>
    <w:rsid w:val="00CD0285"/>
    <w:rsid w:val="00CD0313"/>
    <w:rsid w:val="00CD05AA"/>
    <w:rsid w:val="00CD05FB"/>
    <w:rsid w:val="00CD069E"/>
    <w:rsid w:val="00CD092C"/>
    <w:rsid w:val="00CD0A0F"/>
    <w:rsid w:val="00CD0C23"/>
    <w:rsid w:val="00CD0C4C"/>
    <w:rsid w:val="00CD0C72"/>
    <w:rsid w:val="00CD0EDB"/>
    <w:rsid w:val="00CD0FB8"/>
    <w:rsid w:val="00CD10CA"/>
    <w:rsid w:val="00CD113C"/>
    <w:rsid w:val="00CD1239"/>
    <w:rsid w:val="00CD17D9"/>
    <w:rsid w:val="00CD1846"/>
    <w:rsid w:val="00CD1B68"/>
    <w:rsid w:val="00CD1C0D"/>
    <w:rsid w:val="00CD1C52"/>
    <w:rsid w:val="00CD1E22"/>
    <w:rsid w:val="00CD207F"/>
    <w:rsid w:val="00CD22B8"/>
    <w:rsid w:val="00CD2764"/>
    <w:rsid w:val="00CD29F0"/>
    <w:rsid w:val="00CD2BAA"/>
    <w:rsid w:val="00CD32EF"/>
    <w:rsid w:val="00CD3322"/>
    <w:rsid w:val="00CD370C"/>
    <w:rsid w:val="00CD388E"/>
    <w:rsid w:val="00CD38F7"/>
    <w:rsid w:val="00CD39AB"/>
    <w:rsid w:val="00CD3BB6"/>
    <w:rsid w:val="00CD3DC9"/>
    <w:rsid w:val="00CD3E04"/>
    <w:rsid w:val="00CD3E3B"/>
    <w:rsid w:val="00CD3E9B"/>
    <w:rsid w:val="00CD3F80"/>
    <w:rsid w:val="00CD4015"/>
    <w:rsid w:val="00CD4157"/>
    <w:rsid w:val="00CD41EF"/>
    <w:rsid w:val="00CD420A"/>
    <w:rsid w:val="00CD4267"/>
    <w:rsid w:val="00CD42E4"/>
    <w:rsid w:val="00CD43E6"/>
    <w:rsid w:val="00CD45D3"/>
    <w:rsid w:val="00CD45E1"/>
    <w:rsid w:val="00CD4756"/>
    <w:rsid w:val="00CD4832"/>
    <w:rsid w:val="00CD485F"/>
    <w:rsid w:val="00CD4DA8"/>
    <w:rsid w:val="00CD4DFD"/>
    <w:rsid w:val="00CD5102"/>
    <w:rsid w:val="00CD5168"/>
    <w:rsid w:val="00CD51CD"/>
    <w:rsid w:val="00CD5206"/>
    <w:rsid w:val="00CD5418"/>
    <w:rsid w:val="00CD5517"/>
    <w:rsid w:val="00CD55BA"/>
    <w:rsid w:val="00CD59B2"/>
    <w:rsid w:val="00CD5C75"/>
    <w:rsid w:val="00CD5D87"/>
    <w:rsid w:val="00CD5DA0"/>
    <w:rsid w:val="00CD5EC2"/>
    <w:rsid w:val="00CD5F38"/>
    <w:rsid w:val="00CD60C8"/>
    <w:rsid w:val="00CD63B3"/>
    <w:rsid w:val="00CD6493"/>
    <w:rsid w:val="00CD64BF"/>
    <w:rsid w:val="00CD671D"/>
    <w:rsid w:val="00CD68CC"/>
    <w:rsid w:val="00CD6C90"/>
    <w:rsid w:val="00CD6DF9"/>
    <w:rsid w:val="00CD6E6A"/>
    <w:rsid w:val="00CD6F6F"/>
    <w:rsid w:val="00CD70A1"/>
    <w:rsid w:val="00CD7117"/>
    <w:rsid w:val="00CD7123"/>
    <w:rsid w:val="00CD7217"/>
    <w:rsid w:val="00CD7435"/>
    <w:rsid w:val="00CD743E"/>
    <w:rsid w:val="00CD756B"/>
    <w:rsid w:val="00CD7678"/>
    <w:rsid w:val="00CD78EA"/>
    <w:rsid w:val="00CD7901"/>
    <w:rsid w:val="00CD796C"/>
    <w:rsid w:val="00CD7C79"/>
    <w:rsid w:val="00CD7DC2"/>
    <w:rsid w:val="00CD7E80"/>
    <w:rsid w:val="00CD7F08"/>
    <w:rsid w:val="00CD7FBF"/>
    <w:rsid w:val="00CE019E"/>
    <w:rsid w:val="00CE0412"/>
    <w:rsid w:val="00CE069E"/>
    <w:rsid w:val="00CE06E0"/>
    <w:rsid w:val="00CE08D7"/>
    <w:rsid w:val="00CE094E"/>
    <w:rsid w:val="00CE09DC"/>
    <w:rsid w:val="00CE0A93"/>
    <w:rsid w:val="00CE0B7A"/>
    <w:rsid w:val="00CE0D3C"/>
    <w:rsid w:val="00CE0F57"/>
    <w:rsid w:val="00CE102F"/>
    <w:rsid w:val="00CE11AB"/>
    <w:rsid w:val="00CE1257"/>
    <w:rsid w:val="00CE199D"/>
    <w:rsid w:val="00CE1E06"/>
    <w:rsid w:val="00CE1F2C"/>
    <w:rsid w:val="00CE1FAC"/>
    <w:rsid w:val="00CE2500"/>
    <w:rsid w:val="00CE26CA"/>
    <w:rsid w:val="00CE29A9"/>
    <w:rsid w:val="00CE29C7"/>
    <w:rsid w:val="00CE2D53"/>
    <w:rsid w:val="00CE30AF"/>
    <w:rsid w:val="00CE35B9"/>
    <w:rsid w:val="00CE3787"/>
    <w:rsid w:val="00CE3856"/>
    <w:rsid w:val="00CE3988"/>
    <w:rsid w:val="00CE42A8"/>
    <w:rsid w:val="00CE474D"/>
    <w:rsid w:val="00CE4860"/>
    <w:rsid w:val="00CE4A25"/>
    <w:rsid w:val="00CE4FE6"/>
    <w:rsid w:val="00CE514D"/>
    <w:rsid w:val="00CE52FC"/>
    <w:rsid w:val="00CE53B0"/>
    <w:rsid w:val="00CE53E3"/>
    <w:rsid w:val="00CE569D"/>
    <w:rsid w:val="00CE5931"/>
    <w:rsid w:val="00CE5950"/>
    <w:rsid w:val="00CE5E6F"/>
    <w:rsid w:val="00CE6010"/>
    <w:rsid w:val="00CE6171"/>
    <w:rsid w:val="00CE62CC"/>
    <w:rsid w:val="00CE62F1"/>
    <w:rsid w:val="00CE635B"/>
    <w:rsid w:val="00CE65DE"/>
    <w:rsid w:val="00CE6A90"/>
    <w:rsid w:val="00CE6AF3"/>
    <w:rsid w:val="00CE6B4C"/>
    <w:rsid w:val="00CE6B60"/>
    <w:rsid w:val="00CE6D92"/>
    <w:rsid w:val="00CE6E98"/>
    <w:rsid w:val="00CE742A"/>
    <w:rsid w:val="00CE74B2"/>
    <w:rsid w:val="00CE7A3C"/>
    <w:rsid w:val="00CE7B92"/>
    <w:rsid w:val="00CE7B98"/>
    <w:rsid w:val="00CE7D82"/>
    <w:rsid w:val="00CE7FFE"/>
    <w:rsid w:val="00CF00D8"/>
    <w:rsid w:val="00CF020A"/>
    <w:rsid w:val="00CF0254"/>
    <w:rsid w:val="00CF05EB"/>
    <w:rsid w:val="00CF062D"/>
    <w:rsid w:val="00CF09BB"/>
    <w:rsid w:val="00CF0BEB"/>
    <w:rsid w:val="00CF0D3E"/>
    <w:rsid w:val="00CF0DDF"/>
    <w:rsid w:val="00CF1273"/>
    <w:rsid w:val="00CF13BB"/>
    <w:rsid w:val="00CF182C"/>
    <w:rsid w:val="00CF1BFC"/>
    <w:rsid w:val="00CF1E42"/>
    <w:rsid w:val="00CF22DC"/>
    <w:rsid w:val="00CF2508"/>
    <w:rsid w:val="00CF25BF"/>
    <w:rsid w:val="00CF26DE"/>
    <w:rsid w:val="00CF26FE"/>
    <w:rsid w:val="00CF2873"/>
    <w:rsid w:val="00CF2D69"/>
    <w:rsid w:val="00CF2ED2"/>
    <w:rsid w:val="00CF31CE"/>
    <w:rsid w:val="00CF3254"/>
    <w:rsid w:val="00CF35AD"/>
    <w:rsid w:val="00CF368E"/>
    <w:rsid w:val="00CF3C85"/>
    <w:rsid w:val="00CF3E71"/>
    <w:rsid w:val="00CF3EC7"/>
    <w:rsid w:val="00CF3FBF"/>
    <w:rsid w:val="00CF3FF4"/>
    <w:rsid w:val="00CF4019"/>
    <w:rsid w:val="00CF43BF"/>
    <w:rsid w:val="00CF4465"/>
    <w:rsid w:val="00CF44E5"/>
    <w:rsid w:val="00CF45BA"/>
    <w:rsid w:val="00CF46FE"/>
    <w:rsid w:val="00CF4708"/>
    <w:rsid w:val="00CF4875"/>
    <w:rsid w:val="00CF4A5E"/>
    <w:rsid w:val="00CF4C81"/>
    <w:rsid w:val="00CF51DA"/>
    <w:rsid w:val="00CF5613"/>
    <w:rsid w:val="00CF564F"/>
    <w:rsid w:val="00CF5653"/>
    <w:rsid w:val="00CF57B0"/>
    <w:rsid w:val="00CF6145"/>
    <w:rsid w:val="00CF6300"/>
    <w:rsid w:val="00CF6306"/>
    <w:rsid w:val="00CF6655"/>
    <w:rsid w:val="00CF6816"/>
    <w:rsid w:val="00CF69D3"/>
    <w:rsid w:val="00CF6A74"/>
    <w:rsid w:val="00CF6A86"/>
    <w:rsid w:val="00CF6C01"/>
    <w:rsid w:val="00CF6D0D"/>
    <w:rsid w:val="00CF6D1A"/>
    <w:rsid w:val="00CF6DA4"/>
    <w:rsid w:val="00CF6E55"/>
    <w:rsid w:val="00CF6EBD"/>
    <w:rsid w:val="00CF6EEC"/>
    <w:rsid w:val="00CF7054"/>
    <w:rsid w:val="00CF7097"/>
    <w:rsid w:val="00CF728B"/>
    <w:rsid w:val="00CF729A"/>
    <w:rsid w:val="00CF770E"/>
    <w:rsid w:val="00CF7E9C"/>
    <w:rsid w:val="00CF7EBF"/>
    <w:rsid w:val="00CF7F71"/>
    <w:rsid w:val="00D0008F"/>
    <w:rsid w:val="00D00325"/>
    <w:rsid w:val="00D0093F"/>
    <w:rsid w:val="00D010AA"/>
    <w:rsid w:val="00D0134D"/>
    <w:rsid w:val="00D013C6"/>
    <w:rsid w:val="00D0160D"/>
    <w:rsid w:val="00D0171E"/>
    <w:rsid w:val="00D01946"/>
    <w:rsid w:val="00D01985"/>
    <w:rsid w:val="00D0213B"/>
    <w:rsid w:val="00D0220D"/>
    <w:rsid w:val="00D02A45"/>
    <w:rsid w:val="00D02AD2"/>
    <w:rsid w:val="00D02B69"/>
    <w:rsid w:val="00D02BDB"/>
    <w:rsid w:val="00D02CA3"/>
    <w:rsid w:val="00D02E73"/>
    <w:rsid w:val="00D02FAD"/>
    <w:rsid w:val="00D039FE"/>
    <w:rsid w:val="00D03A09"/>
    <w:rsid w:val="00D03AEA"/>
    <w:rsid w:val="00D03CB2"/>
    <w:rsid w:val="00D03D96"/>
    <w:rsid w:val="00D03E98"/>
    <w:rsid w:val="00D041F6"/>
    <w:rsid w:val="00D042FB"/>
    <w:rsid w:val="00D04380"/>
    <w:rsid w:val="00D04572"/>
    <w:rsid w:val="00D04EB7"/>
    <w:rsid w:val="00D05102"/>
    <w:rsid w:val="00D05296"/>
    <w:rsid w:val="00D0529B"/>
    <w:rsid w:val="00D053E5"/>
    <w:rsid w:val="00D054D0"/>
    <w:rsid w:val="00D05528"/>
    <w:rsid w:val="00D056A0"/>
    <w:rsid w:val="00D0579C"/>
    <w:rsid w:val="00D058CA"/>
    <w:rsid w:val="00D059C2"/>
    <w:rsid w:val="00D05F9A"/>
    <w:rsid w:val="00D06553"/>
    <w:rsid w:val="00D065AC"/>
    <w:rsid w:val="00D069F9"/>
    <w:rsid w:val="00D06DD4"/>
    <w:rsid w:val="00D06DD5"/>
    <w:rsid w:val="00D07082"/>
    <w:rsid w:val="00D07304"/>
    <w:rsid w:val="00D07744"/>
    <w:rsid w:val="00D07875"/>
    <w:rsid w:val="00D078C7"/>
    <w:rsid w:val="00D10013"/>
    <w:rsid w:val="00D100FD"/>
    <w:rsid w:val="00D1021F"/>
    <w:rsid w:val="00D1030C"/>
    <w:rsid w:val="00D10412"/>
    <w:rsid w:val="00D104FC"/>
    <w:rsid w:val="00D10547"/>
    <w:rsid w:val="00D107C9"/>
    <w:rsid w:val="00D111D9"/>
    <w:rsid w:val="00D113DF"/>
    <w:rsid w:val="00D11423"/>
    <w:rsid w:val="00D11472"/>
    <w:rsid w:val="00D115F1"/>
    <w:rsid w:val="00D11A1B"/>
    <w:rsid w:val="00D11AAA"/>
    <w:rsid w:val="00D11C67"/>
    <w:rsid w:val="00D1246A"/>
    <w:rsid w:val="00D124AE"/>
    <w:rsid w:val="00D13111"/>
    <w:rsid w:val="00D135D6"/>
    <w:rsid w:val="00D13621"/>
    <w:rsid w:val="00D13844"/>
    <w:rsid w:val="00D13A1C"/>
    <w:rsid w:val="00D13B9B"/>
    <w:rsid w:val="00D13BCD"/>
    <w:rsid w:val="00D13D2C"/>
    <w:rsid w:val="00D14556"/>
    <w:rsid w:val="00D14597"/>
    <w:rsid w:val="00D14D20"/>
    <w:rsid w:val="00D14D49"/>
    <w:rsid w:val="00D1536C"/>
    <w:rsid w:val="00D1543C"/>
    <w:rsid w:val="00D154BF"/>
    <w:rsid w:val="00D157A0"/>
    <w:rsid w:val="00D15AAF"/>
    <w:rsid w:val="00D15C9D"/>
    <w:rsid w:val="00D15CE5"/>
    <w:rsid w:val="00D15DBE"/>
    <w:rsid w:val="00D15EC3"/>
    <w:rsid w:val="00D1611F"/>
    <w:rsid w:val="00D16297"/>
    <w:rsid w:val="00D163F8"/>
    <w:rsid w:val="00D165F9"/>
    <w:rsid w:val="00D16777"/>
    <w:rsid w:val="00D168FA"/>
    <w:rsid w:val="00D16905"/>
    <w:rsid w:val="00D16AEE"/>
    <w:rsid w:val="00D16B53"/>
    <w:rsid w:val="00D16CC8"/>
    <w:rsid w:val="00D17045"/>
    <w:rsid w:val="00D17152"/>
    <w:rsid w:val="00D172E7"/>
    <w:rsid w:val="00D1762C"/>
    <w:rsid w:val="00D17643"/>
    <w:rsid w:val="00D17813"/>
    <w:rsid w:val="00D179F9"/>
    <w:rsid w:val="00D17B1D"/>
    <w:rsid w:val="00D17D0C"/>
    <w:rsid w:val="00D20257"/>
    <w:rsid w:val="00D20352"/>
    <w:rsid w:val="00D203B6"/>
    <w:rsid w:val="00D20423"/>
    <w:rsid w:val="00D20514"/>
    <w:rsid w:val="00D205CF"/>
    <w:rsid w:val="00D207DF"/>
    <w:rsid w:val="00D208C3"/>
    <w:rsid w:val="00D20A9E"/>
    <w:rsid w:val="00D20B0E"/>
    <w:rsid w:val="00D20DFB"/>
    <w:rsid w:val="00D21006"/>
    <w:rsid w:val="00D2109D"/>
    <w:rsid w:val="00D21166"/>
    <w:rsid w:val="00D21235"/>
    <w:rsid w:val="00D21371"/>
    <w:rsid w:val="00D213A4"/>
    <w:rsid w:val="00D21460"/>
    <w:rsid w:val="00D216F0"/>
    <w:rsid w:val="00D21783"/>
    <w:rsid w:val="00D217E6"/>
    <w:rsid w:val="00D2187F"/>
    <w:rsid w:val="00D218DA"/>
    <w:rsid w:val="00D21A90"/>
    <w:rsid w:val="00D21B40"/>
    <w:rsid w:val="00D21DB8"/>
    <w:rsid w:val="00D21E7A"/>
    <w:rsid w:val="00D21E89"/>
    <w:rsid w:val="00D221AF"/>
    <w:rsid w:val="00D2229D"/>
    <w:rsid w:val="00D22402"/>
    <w:rsid w:val="00D226C7"/>
    <w:rsid w:val="00D228FC"/>
    <w:rsid w:val="00D22A3B"/>
    <w:rsid w:val="00D2301A"/>
    <w:rsid w:val="00D2304E"/>
    <w:rsid w:val="00D2325B"/>
    <w:rsid w:val="00D2327C"/>
    <w:rsid w:val="00D233F3"/>
    <w:rsid w:val="00D23656"/>
    <w:rsid w:val="00D23AC8"/>
    <w:rsid w:val="00D23CD5"/>
    <w:rsid w:val="00D23D80"/>
    <w:rsid w:val="00D23E08"/>
    <w:rsid w:val="00D23F47"/>
    <w:rsid w:val="00D240C4"/>
    <w:rsid w:val="00D24142"/>
    <w:rsid w:val="00D24318"/>
    <w:rsid w:val="00D2443D"/>
    <w:rsid w:val="00D24504"/>
    <w:rsid w:val="00D248A7"/>
    <w:rsid w:val="00D2491E"/>
    <w:rsid w:val="00D2493B"/>
    <w:rsid w:val="00D24D93"/>
    <w:rsid w:val="00D24EF0"/>
    <w:rsid w:val="00D2501F"/>
    <w:rsid w:val="00D25056"/>
    <w:rsid w:val="00D251B5"/>
    <w:rsid w:val="00D25233"/>
    <w:rsid w:val="00D25257"/>
    <w:rsid w:val="00D2526B"/>
    <w:rsid w:val="00D252EA"/>
    <w:rsid w:val="00D25323"/>
    <w:rsid w:val="00D25476"/>
    <w:rsid w:val="00D2554C"/>
    <w:rsid w:val="00D2583A"/>
    <w:rsid w:val="00D25BC3"/>
    <w:rsid w:val="00D25D14"/>
    <w:rsid w:val="00D260D4"/>
    <w:rsid w:val="00D261C1"/>
    <w:rsid w:val="00D2631F"/>
    <w:rsid w:val="00D26500"/>
    <w:rsid w:val="00D2668A"/>
    <w:rsid w:val="00D269AA"/>
    <w:rsid w:val="00D26CE4"/>
    <w:rsid w:val="00D2723A"/>
    <w:rsid w:val="00D27676"/>
    <w:rsid w:val="00D3026A"/>
    <w:rsid w:val="00D30558"/>
    <w:rsid w:val="00D30596"/>
    <w:rsid w:val="00D30841"/>
    <w:rsid w:val="00D308BE"/>
    <w:rsid w:val="00D30AAB"/>
    <w:rsid w:val="00D30C2A"/>
    <w:rsid w:val="00D30D8F"/>
    <w:rsid w:val="00D30F9D"/>
    <w:rsid w:val="00D31037"/>
    <w:rsid w:val="00D310F3"/>
    <w:rsid w:val="00D311F5"/>
    <w:rsid w:val="00D31261"/>
    <w:rsid w:val="00D312A2"/>
    <w:rsid w:val="00D31474"/>
    <w:rsid w:val="00D31490"/>
    <w:rsid w:val="00D3156E"/>
    <w:rsid w:val="00D318DD"/>
    <w:rsid w:val="00D31A6C"/>
    <w:rsid w:val="00D31BFE"/>
    <w:rsid w:val="00D31E15"/>
    <w:rsid w:val="00D31F9E"/>
    <w:rsid w:val="00D3216E"/>
    <w:rsid w:val="00D321DB"/>
    <w:rsid w:val="00D32BFE"/>
    <w:rsid w:val="00D32DC5"/>
    <w:rsid w:val="00D32DDF"/>
    <w:rsid w:val="00D32DFF"/>
    <w:rsid w:val="00D32FBB"/>
    <w:rsid w:val="00D32FDF"/>
    <w:rsid w:val="00D330B0"/>
    <w:rsid w:val="00D330E5"/>
    <w:rsid w:val="00D330EA"/>
    <w:rsid w:val="00D331AB"/>
    <w:rsid w:val="00D331EF"/>
    <w:rsid w:val="00D332CF"/>
    <w:rsid w:val="00D33571"/>
    <w:rsid w:val="00D335E7"/>
    <w:rsid w:val="00D337F1"/>
    <w:rsid w:val="00D3385E"/>
    <w:rsid w:val="00D33901"/>
    <w:rsid w:val="00D33A1D"/>
    <w:rsid w:val="00D33B55"/>
    <w:rsid w:val="00D33C23"/>
    <w:rsid w:val="00D33D86"/>
    <w:rsid w:val="00D33F6D"/>
    <w:rsid w:val="00D3409C"/>
    <w:rsid w:val="00D340D0"/>
    <w:rsid w:val="00D34323"/>
    <w:rsid w:val="00D343C8"/>
    <w:rsid w:val="00D3447E"/>
    <w:rsid w:val="00D3471A"/>
    <w:rsid w:val="00D34726"/>
    <w:rsid w:val="00D34C49"/>
    <w:rsid w:val="00D34D22"/>
    <w:rsid w:val="00D34D94"/>
    <w:rsid w:val="00D34F0A"/>
    <w:rsid w:val="00D3509E"/>
    <w:rsid w:val="00D350BB"/>
    <w:rsid w:val="00D3522A"/>
    <w:rsid w:val="00D353D6"/>
    <w:rsid w:val="00D35456"/>
    <w:rsid w:val="00D35517"/>
    <w:rsid w:val="00D357C6"/>
    <w:rsid w:val="00D357D8"/>
    <w:rsid w:val="00D35875"/>
    <w:rsid w:val="00D358B8"/>
    <w:rsid w:val="00D35917"/>
    <w:rsid w:val="00D35A1D"/>
    <w:rsid w:val="00D362E5"/>
    <w:rsid w:val="00D363B2"/>
    <w:rsid w:val="00D36483"/>
    <w:rsid w:val="00D36BD4"/>
    <w:rsid w:val="00D36C0F"/>
    <w:rsid w:val="00D36DB6"/>
    <w:rsid w:val="00D36DE4"/>
    <w:rsid w:val="00D36F12"/>
    <w:rsid w:val="00D3705A"/>
    <w:rsid w:val="00D3709B"/>
    <w:rsid w:val="00D37438"/>
    <w:rsid w:val="00D374E7"/>
    <w:rsid w:val="00D37546"/>
    <w:rsid w:val="00D376BA"/>
    <w:rsid w:val="00D37801"/>
    <w:rsid w:val="00D37C72"/>
    <w:rsid w:val="00D37F1A"/>
    <w:rsid w:val="00D40231"/>
    <w:rsid w:val="00D4029E"/>
    <w:rsid w:val="00D408AE"/>
    <w:rsid w:val="00D40983"/>
    <w:rsid w:val="00D40A25"/>
    <w:rsid w:val="00D40B73"/>
    <w:rsid w:val="00D40CD5"/>
    <w:rsid w:val="00D40D89"/>
    <w:rsid w:val="00D40E7B"/>
    <w:rsid w:val="00D41000"/>
    <w:rsid w:val="00D41323"/>
    <w:rsid w:val="00D4139E"/>
    <w:rsid w:val="00D41538"/>
    <w:rsid w:val="00D417AB"/>
    <w:rsid w:val="00D417D5"/>
    <w:rsid w:val="00D41B98"/>
    <w:rsid w:val="00D41E3E"/>
    <w:rsid w:val="00D41EFE"/>
    <w:rsid w:val="00D42348"/>
    <w:rsid w:val="00D42518"/>
    <w:rsid w:val="00D425CE"/>
    <w:rsid w:val="00D429B3"/>
    <w:rsid w:val="00D42C0F"/>
    <w:rsid w:val="00D42D69"/>
    <w:rsid w:val="00D42EB5"/>
    <w:rsid w:val="00D4311E"/>
    <w:rsid w:val="00D431CC"/>
    <w:rsid w:val="00D43309"/>
    <w:rsid w:val="00D43432"/>
    <w:rsid w:val="00D43504"/>
    <w:rsid w:val="00D4355D"/>
    <w:rsid w:val="00D43C28"/>
    <w:rsid w:val="00D43D57"/>
    <w:rsid w:val="00D43DFA"/>
    <w:rsid w:val="00D44052"/>
    <w:rsid w:val="00D440C1"/>
    <w:rsid w:val="00D44471"/>
    <w:rsid w:val="00D44480"/>
    <w:rsid w:val="00D446BB"/>
    <w:rsid w:val="00D44A81"/>
    <w:rsid w:val="00D44AC5"/>
    <w:rsid w:val="00D44AF2"/>
    <w:rsid w:val="00D44BCF"/>
    <w:rsid w:val="00D44E63"/>
    <w:rsid w:val="00D4525C"/>
    <w:rsid w:val="00D4534C"/>
    <w:rsid w:val="00D45524"/>
    <w:rsid w:val="00D458B9"/>
    <w:rsid w:val="00D458CE"/>
    <w:rsid w:val="00D45A33"/>
    <w:rsid w:val="00D45B5F"/>
    <w:rsid w:val="00D45CE5"/>
    <w:rsid w:val="00D45E33"/>
    <w:rsid w:val="00D461CD"/>
    <w:rsid w:val="00D462A5"/>
    <w:rsid w:val="00D4634E"/>
    <w:rsid w:val="00D463BD"/>
    <w:rsid w:val="00D463EB"/>
    <w:rsid w:val="00D46549"/>
    <w:rsid w:val="00D466E0"/>
    <w:rsid w:val="00D4686A"/>
    <w:rsid w:val="00D46993"/>
    <w:rsid w:val="00D469EF"/>
    <w:rsid w:val="00D46AE1"/>
    <w:rsid w:val="00D46D69"/>
    <w:rsid w:val="00D46E59"/>
    <w:rsid w:val="00D470DB"/>
    <w:rsid w:val="00D475FF"/>
    <w:rsid w:val="00D4772C"/>
    <w:rsid w:val="00D47926"/>
    <w:rsid w:val="00D479B0"/>
    <w:rsid w:val="00D47AD4"/>
    <w:rsid w:val="00D47AFD"/>
    <w:rsid w:val="00D47B14"/>
    <w:rsid w:val="00D47DCD"/>
    <w:rsid w:val="00D50538"/>
    <w:rsid w:val="00D505F5"/>
    <w:rsid w:val="00D50646"/>
    <w:rsid w:val="00D5069B"/>
    <w:rsid w:val="00D506A3"/>
    <w:rsid w:val="00D507F5"/>
    <w:rsid w:val="00D50A44"/>
    <w:rsid w:val="00D50BE1"/>
    <w:rsid w:val="00D50BFD"/>
    <w:rsid w:val="00D50E65"/>
    <w:rsid w:val="00D51032"/>
    <w:rsid w:val="00D5123A"/>
    <w:rsid w:val="00D515A2"/>
    <w:rsid w:val="00D5179E"/>
    <w:rsid w:val="00D51835"/>
    <w:rsid w:val="00D51D19"/>
    <w:rsid w:val="00D520C4"/>
    <w:rsid w:val="00D520DD"/>
    <w:rsid w:val="00D5218D"/>
    <w:rsid w:val="00D52219"/>
    <w:rsid w:val="00D52380"/>
    <w:rsid w:val="00D52484"/>
    <w:rsid w:val="00D526E6"/>
    <w:rsid w:val="00D52702"/>
    <w:rsid w:val="00D52816"/>
    <w:rsid w:val="00D52AA3"/>
    <w:rsid w:val="00D530C1"/>
    <w:rsid w:val="00D53209"/>
    <w:rsid w:val="00D534A3"/>
    <w:rsid w:val="00D5368B"/>
    <w:rsid w:val="00D53792"/>
    <w:rsid w:val="00D53869"/>
    <w:rsid w:val="00D53B48"/>
    <w:rsid w:val="00D53FD9"/>
    <w:rsid w:val="00D5427B"/>
    <w:rsid w:val="00D546BA"/>
    <w:rsid w:val="00D5472C"/>
    <w:rsid w:val="00D549AF"/>
    <w:rsid w:val="00D54AAA"/>
    <w:rsid w:val="00D54B6B"/>
    <w:rsid w:val="00D54C80"/>
    <w:rsid w:val="00D54DA2"/>
    <w:rsid w:val="00D54FF1"/>
    <w:rsid w:val="00D5519B"/>
    <w:rsid w:val="00D554B0"/>
    <w:rsid w:val="00D55549"/>
    <w:rsid w:val="00D55668"/>
    <w:rsid w:val="00D556BA"/>
    <w:rsid w:val="00D556DD"/>
    <w:rsid w:val="00D55E5A"/>
    <w:rsid w:val="00D55FCC"/>
    <w:rsid w:val="00D56200"/>
    <w:rsid w:val="00D562A9"/>
    <w:rsid w:val="00D56548"/>
    <w:rsid w:val="00D56864"/>
    <w:rsid w:val="00D56921"/>
    <w:rsid w:val="00D56A0F"/>
    <w:rsid w:val="00D56BA7"/>
    <w:rsid w:val="00D56CF3"/>
    <w:rsid w:val="00D56F2F"/>
    <w:rsid w:val="00D5750B"/>
    <w:rsid w:val="00D576EB"/>
    <w:rsid w:val="00D5770F"/>
    <w:rsid w:val="00D600D9"/>
    <w:rsid w:val="00D604FA"/>
    <w:rsid w:val="00D605E2"/>
    <w:rsid w:val="00D60817"/>
    <w:rsid w:val="00D609CB"/>
    <w:rsid w:val="00D60B41"/>
    <w:rsid w:val="00D60BED"/>
    <w:rsid w:val="00D60BF1"/>
    <w:rsid w:val="00D611AC"/>
    <w:rsid w:val="00D61372"/>
    <w:rsid w:val="00D61585"/>
    <w:rsid w:val="00D61672"/>
    <w:rsid w:val="00D61849"/>
    <w:rsid w:val="00D6214C"/>
    <w:rsid w:val="00D6248D"/>
    <w:rsid w:val="00D62B1B"/>
    <w:rsid w:val="00D62F46"/>
    <w:rsid w:val="00D62F5A"/>
    <w:rsid w:val="00D632F1"/>
    <w:rsid w:val="00D63385"/>
    <w:rsid w:val="00D63478"/>
    <w:rsid w:val="00D63773"/>
    <w:rsid w:val="00D63D7C"/>
    <w:rsid w:val="00D63D90"/>
    <w:rsid w:val="00D63F00"/>
    <w:rsid w:val="00D642E5"/>
    <w:rsid w:val="00D64969"/>
    <w:rsid w:val="00D64C46"/>
    <w:rsid w:val="00D64E1F"/>
    <w:rsid w:val="00D64ECB"/>
    <w:rsid w:val="00D64F99"/>
    <w:rsid w:val="00D65069"/>
    <w:rsid w:val="00D65120"/>
    <w:rsid w:val="00D65654"/>
    <w:rsid w:val="00D658E8"/>
    <w:rsid w:val="00D6592C"/>
    <w:rsid w:val="00D65AA2"/>
    <w:rsid w:val="00D65B9B"/>
    <w:rsid w:val="00D65C10"/>
    <w:rsid w:val="00D65C3F"/>
    <w:rsid w:val="00D65C54"/>
    <w:rsid w:val="00D65CC7"/>
    <w:rsid w:val="00D65F76"/>
    <w:rsid w:val="00D6623F"/>
    <w:rsid w:val="00D6638C"/>
    <w:rsid w:val="00D666D7"/>
    <w:rsid w:val="00D66765"/>
    <w:rsid w:val="00D66841"/>
    <w:rsid w:val="00D669E4"/>
    <w:rsid w:val="00D66C4E"/>
    <w:rsid w:val="00D66CAF"/>
    <w:rsid w:val="00D66EF6"/>
    <w:rsid w:val="00D6706B"/>
    <w:rsid w:val="00D670D6"/>
    <w:rsid w:val="00D67350"/>
    <w:rsid w:val="00D676FC"/>
    <w:rsid w:val="00D67860"/>
    <w:rsid w:val="00D67A4A"/>
    <w:rsid w:val="00D67A96"/>
    <w:rsid w:val="00D67EF0"/>
    <w:rsid w:val="00D67EF8"/>
    <w:rsid w:val="00D70245"/>
    <w:rsid w:val="00D7057C"/>
    <w:rsid w:val="00D706A9"/>
    <w:rsid w:val="00D7084B"/>
    <w:rsid w:val="00D708E7"/>
    <w:rsid w:val="00D70C7C"/>
    <w:rsid w:val="00D70DC0"/>
    <w:rsid w:val="00D70DED"/>
    <w:rsid w:val="00D719EC"/>
    <w:rsid w:val="00D71DF5"/>
    <w:rsid w:val="00D71FC5"/>
    <w:rsid w:val="00D722EA"/>
    <w:rsid w:val="00D722F8"/>
    <w:rsid w:val="00D72576"/>
    <w:rsid w:val="00D726F7"/>
    <w:rsid w:val="00D72C77"/>
    <w:rsid w:val="00D72E36"/>
    <w:rsid w:val="00D72FAA"/>
    <w:rsid w:val="00D7316A"/>
    <w:rsid w:val="00D7326A"/>
    <w:rsid w:val="00D733AA"/>
    <w:rsid w:val="00D73630"/>
    <w:rsid w:val="00D73672"/>
    <w:rsid w:val="00D737E2"/>
    <w:rsid w:val="00D73810"/>
    <w:rsid w:val="00D73D2F"/>
    <w:rsid w:val="00D73DBE"/>
    <w:rsid w:val="00D742FE"/>
    <w:rsid w:val="00D74322"/>
    <w:rsid w:val="00D74804"/>
    <w:rsid w:val="00D7490E"/>
    <w:rsid w:val="00D749EF"/>
    <w:rsid w:val="00D74B71"/>
    <w:rsid w:val="00D74C70"/>
    <w:rsid w:val="00D74E9B"/>
    <w:rsid w:val="00D75023"/>
    <w:rsid w:val="00D753B7"/>
    <w:rsid w:val="00D75B27"/>
    <w:rsid w:val="00D75BD6"/>
    <w:rsid w:val="00D75EA9"/>
    <w:rsid w:val="00D762AC"/>
    <w:rsid w:val="00D762AD"/>
    <w:rsid w:val="00D7644D"/>
    <w:rsid w:val="00D7648B"/>
    <w:rsid w:val="00D764CC"/>
    <w:rsid w:val="00D76B29"/>
    <w:rsid w:val="00D76B2E"/>
    <w:rsid w:val="00D76C70"/>
    <w:rsid w:val="00D7702F"/>
    <w:rsid w:val="00D770B4"/>
    <w:rsid w:val="00D77298"/>
    <w:rsid w:val="00D77590"/>
    <w:rsid w:val="00D77982"/>
    <w:rsid w:val="00D77AC9"/>
    <w:rsid w:val="00D77D4F"/>
    <w:rsid w:val="00D77D6B"/>
    <w:rsid w:val="00D77D7B"/>
    <w:rsid w:val="00D77E06"/>
    <w:rsid w:val="00D80071"/>
    <w:rsid w:val="00D80359"/>
    <w:rsid w:val="00D8036F"/>
    <w:rsid w:val="00D8051F"/>
    <w:rsid w:val="00D8077D"/>
    <w:rsid w:val="00D809B4"/>
    <w:rsid w:val="00D80FC4"/>
    <w:rsid w:val="00D81011"/>
    <w:rsid w:val="00D81100"/>
    <w:rsid w:val="00D8125A"/>
    <w:rsid w:val="00D816E1"/>
    <w:rsid w:val="00D81761"/>
    <w:rsid w:val="00D81881"/>
    <w:rsid w:val="00D81ABC"/>
    <w:rsid w:val="00D81F39"/>
    <w:rsid w:val="00D829B3"/>
    <w:rsid w:val="00D82A7B"/>
    <w:rsid w:val="00D82CC7"/>
    <w:rsid w:val="00D82E1B"/>
    <w:rsid w:val="00D82FDF"/>
    <w:rsid w:val="00D8301F"/>
    <w:rsid w:val="00D83085"/>
    <w:rsid w:val="00D830ED"/>
    <w:rsid w:val="00D83322"/>
    <w:rsid w:val="00D83481"/>
    <w:rsid w:val="00D8356D"/>
    <w:rsid w:val="00D835E8"/>
    <w:rsid w:val="00D836E9"/>
    <w:rsid w:val="00D83B03"/>
    <w:rsid w:val="00D83C6F"/>
    <w:rsid w:val="00D83D78"/>
    <w:rsid w:val="00D83FC9"/>
    <w:rsid w:val="00D84250"/>
    <w:rsid w:val="00D84336"/>
    <w:rsid w:val="00D8448A"/>
    <w:rsid w:val="00D8459E"/>
    <w:rsid w:val="00D849F5"/>
    <w:rsid w:val="00D84B38"/>
    <w:rsid w:val="00D84C34"/>
    <w:rsid w:val="00D84E99"/>
    <w:rsid w:val="00D858A8"/>
    <w:rsid w:val="00D85A75"/>
    <w:rsid w:val="00D85AE0"/>
    <w:rsid w:val="00D85ED0"/>
    <w:rsid w:val="00D85FD0"/>
    <w:rsid w:val="00D86567"/>
    <w:rsid w:val="00D867FA"/>
    <w:rsid w:val="00D86AC7"/>
    <w:rsid w:val="00D86BEC"/>
    <w:rsid w:val="00D86F15"/>
    <w:rsid w:val="00D86F2E"/>
    <w:rsid w:val="00D86F51"/>
    <w:rsid w:val="00D86F75"/>
    <w:rsid w:val="00D876BB"/>
    <w:rsid w:val="00D876CA"/>
    <w:rsid w:val="00D877A5"/>
    <w:rsid w:val="00D8796C"/>
    <w:rsid w:val="00D87A23"/>
    <w:rsid w:val="00D87F8A"/>
    <w:rsid w:val="00D90418"/>
    <w:rsid w:val="00D90668"/>
    <w:rsid w:val="00D907BD"/>
    <w:rsid w:val="00D9092F"/>
    <w:rsid w:val="00D90BAB"/>
    <w:rsid w:val="00D90C73"/>
    <w:rsid w:val="00D90FC6"/>
    <w:rsid w:val="00D915F4"/>
    <w:rsid w:val="00D91825"/>
    <w:rsid w:val="00D91CA9"/>
    <w:rsid w:val="00D92202"/>
    <w:rsid w:val="00D92316"/>
    <w:rsid w:val="00D923C7"/>
    <w:rsid w:val="00D925BD"/>
    <w:rsid w:val="00D929A7"/>
    <w:rsid w:val="00D92A29"/>
    <w:rsid w:val="00D92AE5"/>
    <w:rsid w:val="00D92F97"/>
    <w:rsid w:val="00D92FAF"/>
    <w:rsid w:val="00D935A3"/>
    <w:rsid w:val="00D936A6"/>
    <w:rsid w:val="00D9382F"/>
    <w:rsid w:val="00D93837"/>
    <w:rsid w:val="00D939EE"/>
    <w:rsid w:val="00D93B8A"/>
    <w:rsid w:val="00D93D23"/>
    <w:rsid w:val="00D944A1"/>
    <w:rsid w:val="00D945BE"/>
    <w:rsid w:val="00D946C6"/>
    <w:rsid w:val="00D948B0"/>
    <w:rsid w:val="00D949E9"/>
    <w:rsid w:val="00D94E53"/>
    <w:rsid w:val="00D94EB1"/>
    <w:rsid w:val="00D95336"/>
    <w:rsid w:val="00D95623"/>
    <w:rsid w:val="00D9589E"/>
    <w:rsid w:val="00D958A5"/>
    <w:rsid w:val="00D95C68"/>
    <w:rsid w:val="00D95EE4"/>
    <w:rsid w:val="00D95F01"/>
    <w:rsid w:val="00D96016"/>
    <w:rsid w:val="00D966EF"/>
    <w:rsid w:val="00D9693A"/>
    <w:rsid w:val="00D969FD"/>
    <w:rsid w:val="00D96AFD"/>
    <w:rsid w:val="00D96D78"/>
    <w:rsid w:val="00D96FB2"/>
    <w:rsid w:val="00D973A8"/>
    <w:rsid w:val="00D9748A"/>
    <w:rsid w:val="00D97646"/>
    <w:rsid w:val="00D9781B"/>
    <w:rsid w:val="00D97AEE"/>
    <w:rsid w:val="00D97DE3"/>
    <w:rsid w:val="00D97FAE"/>
    <w:rsid w:val="00D97FC9"/>
    <w:rsid w:val="00DA0107"/>
    <w:rsid w:val="00DA023F"/>
    <w:rsid w:val="00DA03E1"/>
    <w:rsid w:val="00DA0510"/>
    <w:rsid w:val="00DA05D9"/>
    <w:rsid w:val="00DA05F5"/>
    <w:rsid w:val="00DA074B"/>
    <w:rsid w:val="00DA08E6"/>
    <w:rsid w:val="00DA095F"/>
    <w:rsid w:val="00DA0CE1"/>
    <w:rsid w:val="00DA0CED"/>
    <w:rsid w:val="00DA0E6E"/>
    <w:rsid w:val="00DA0FB3"/>
    <w:rsid w:val="00DA10EB"/>
    <w:rsid w:val="00DA1137"/>
    <w:rsid w:val="00DA14E2"/>
    <w:rsid w:val="00DA163F"/>
    <w:rsid w:val="00DA1698"/>
    <w:rsid w:val="00DA1912"/>
    <w:rsid w:val="00DA1A3E"/>
    <w:rsid w:val="00DA1C09"/>
    <w:rsid w:val="00DA1D9C"/>
    <w:rsid w:val="00DA2042"/>
    <w:rsid w:val="00DA21F6"/>
    <w:rsid w:val="00DA22BF"/>
    <w:rsid w:val="00DA2493"/>
    <w:rsid w:val="00DA26F8"/>
    <w:rsid w:val="00DA2864"/>
    <w:rsid w:val="00DA287E"/>
    <w:rsid w:val="00DA2894"/>
    <w:rsid w:val="00DA2A20"/>
    <w:rsid w:val="00DA2A3F"/>
    <w:rsid w:val="00DA2A67"/>
    <w:rsid w:val="00DA2D3A"/>
    <w:rsid w:val="00DA2F03"/>
    <w:rsid w:val="00DA2FD5"/>
    <w:rsid w:val="00DA300E"/>
    <w:rsid w:val="00DA3176"/>
    <w:rsid w:val="00DA3262"/>
    <w:rsid w:val="00DA3326"/>
    <w:rsid w:val="00DA336D"/>
    <w:rsid w:val="00DA3B3B"/>
    <w:rsid w:val="00DA3C3F"/>
    <w:rsid w:val="00DA3DCC"/>
    <w:rsid w:val="00DA3F6E"/>
    <w:rsid w:val="00DA4017"/>
    <w:rsid w:val="00DA41A2"/>
    <w:rsid w:val="00DA41B4"/>
    <w:rsid w:val="00DA42EA"/>
    <w:rsid w:val="00DA4401"/>
    <w:rsid w:val="00DA4438"/>
    <w:rsid w:val="00DA4BFF"/>
    <w:rsid w:val="00DA4E0D"/>
    <w:rsid w:val="00DA4F5B"/>
    <w:rsid w:val="00DA52A4"/>
    <w:rsid w:val="00DA52DE"/>
    <w:rsid w:val="00DA5305"/>
    <w:rsid w:val="00DA5479"/>
    <w:rsid w:val="00DA5552"/>
    <w:rsid w:val="00DA58A4"/>
    <w:rsid w:val="00DA59FF"/>
    <w:rsid w:val="00DA5B44"/>
    <w:rsid w:val="00DA5B8F"/>
    <w:rsid w:val="00DA5BF1"/>
    <w:rsid w:val="00DA5E87"/>
    <w:rsid w:val="00DA6149"/>
    <w:rsid w:val="00DA6307"/>
    <w:rsid w:val="00DA65EC"/>
    <w:rsid w:val="00DA6611"/>
    <w:rsid w:val="00DA66D2"/>
    <w:rsid w:val="00DA67F5"/>
    <w:rsid w:val="00DA68E9"/>
    <w:rsid w:val="00DA69BE"/>
    <w:rsid w:val="00DA69D2"/>
    <w:rsid w:val="00DA6C12"/>
    <w:rsid w:val="00DA6DBE"/>
    <w:rsid w:val="00DA6DC1"/>
    <w:rsid w:val="00DA6FD2"/>
    <w:rsid w:val="00DA701F"/>
    <w:rsid w:val="00DA7091"/>
    <w:rsid w:val="00DA77D5"/>
    <w:rsid w:val="00DA78E5"/>
    <w:rsid w:val="00DA7911"/>
    <w:rsid w:val="00DA7977"/>
    <w:rsid w:val="00DA7A39"/>
    <w:rsid w:val="00DA7B33"/>
    <w:rsid w:val="00DA7E46"/>
    <w:rsid w:val="00DA7F42"/>
    <w:rsid w:val="00DB00AC"/>
    <w:rsid w:val="00DB014A"/>
    <w:rsid w:val="00DB026B"/>
    <w:rsid w:val="00DB0468"/>
    <w:rsid w:val="00DB05C9"/>
    <w:rsid w:val="00DB0613"/>
    <w:rsid w:val="00DB064C"/>
    <w:rsid w:val="00DB08AA"/>
    <w:rsid w:val="00DB0962"/>
    <w:rsid w:val="00DB0B3F"/>
    <w:rsid w:val="00DB0E81"/>
    <w:rsid w:val="00DB0F0C"/>
    <w:rsid w:val="00DB106A"/>
    <w:rsid w:val="00DB10D2"/>
    <w:rsid w:val="00DB1592"/>
    <w:rsid w:val="00DB18F1"/>
    <w:rsid w:val="00DB1924"/>
    <w:rsid w:val="00DB1A30"/>
    <w:rsid w:val="00DB1A41"/>
    <w:rsid w:val="00DB1A4B"/>
    <w:rsid w:val="00DB1B6B"/>
    <w:rsid w:val="00DB23E9"/>
    <w:rsid w:val="00DB2911"/>
    <w:rsid w:val="00DB2B0D"/>
    <w:rsid w:val="00DB2C21"/>
    <w:rsid w:val="00DB2E89"/>
    <w:rsid w:val="00DB2FC0"/>
    <w:rsid w:val="00DB331C"/>
    <w:rsid w:val="00DB33A9"/>
    <w:rsid w:val="00DB33D2"/>
    <w:rsid w:val="00DB3418"/>
    <w:rsid w:val="00DB3465"/>
    <w:rsid w:val="00DB3643"/>
    <w:rsid w:val="00DB3950"/>
    <w:rsid w:val="00DB3A1B"/>
    <w:rsid w:val="00DB3A40"/>
    <w:rsid w:val="00DB3B02"/>
    <w:rsid w:val="00DB3B95"/>
    <w:rsid w:val="00DB3D1A"/>
    <w:rsid w:val="00DB3F67"/>
    <w:rsid w:val="00DB41AC"/>
    <w:rsid w:val="00DB4B2D"/>
    <w:rsid w:val="00DB4B9E"/>
    <w:rsid w:val="00DB4BCA"/>
    <w:rsid w:val="00DB4CAA"/>
    <w:rsid w:val="00DB4CB4"/>
    <w:rsid w:val="00DB4D72"/>
    <w:rsid w:val="00DB51AA"/>
    <w:rsid w:val="00DB5201"/>
    <w:rsid w:val="00DB56E4"/>
    <w:rsid w:val="00DB5BC5"/>
    <w:rsid w:val="00DB5BF3"/>
    <w:rsid w:val="00DB5D4C"/>
    <w:rsid w:val="00DB5E6E"/>
    <w:rsid w:val="00DB61A2"/>
    <w:rsid w:val="00DB644C"/>
    <w:rsid w:val="00DB6451"/>
    <w:rsid w:val="00DB650E"/>
    <w:rsid w:val="00DB6524"/>
    <w:rsid w:val="00DB66D9"/>
    <w:rsid w:val="00DB6762"/>
    <w:rsid w:val="00DB67C1"/>
    <w:rsid w:val="00DB6A55"/>
    <w:rsid w:val="00DB6E14"/>
    <w:rsid w:val="00DB75CD"/>
    <w:rsid w:val="00DB7919"/>
    <w:rsid w:val="00DB7B8A"/>
    <w:rsid w:val="00DB7C65"/>
    <w:rsid w:val="00DB7C6A"/>
    <w:rsid w:val="00DB7D70"/>
    <w:rsid w:val="00DB7D88"/>
    <w:rsid w:val="00DB7E18"/>
    <w:rsid w:val="00DB7F39"/>
    <w:rsid w:val="00DC0323"/>
    <w:rsid w:val="00DC035C"/>
    <w:rsid w:val="00DC048B"/>
    <w:rsid w:val="00DC0502"/>
    <w:rsid w:val="00DC06A5"/>
    <w:rsid w:val="00DC07B0"/>
    <w:rsid w:val="00DC0A94"/>
    <w:rsid w:val="00DC0B44"/>
    <w:rsid w:val="00DC0D9F"/>
    <w:rsid w:val="00DC0EDD"/>
    <w:rsid w:val="00DC0F26"/>
    <w:rsid w:val="00DC1025"/>
    <w:rsid w:val="00DC1035"/>
    <w:rsid w:val="00DC1216"/>
    <w:rsid w:val="00DC153A"/>
    <w:rsid w:val="00DC1782"/>
    <w:rsid w:val="00DC1878"/>
    <w:rsid w:val="00DC19D5"/>
    <w:rsid w:val="00DC1D09"/>
    <w:rsid w:val="00DC2177"/>
    <w:rsid w:val="00DC222C"/>
    <w:rsid w:val="00DC230E"/>
    <w:rsid w:val="00DC2320"/>
    <w:rsid w:val="00DC262F"/>
    <w:rsid w:val="00DC29FA"/>
    <w:rsid w:val="00DC2B83"/>
    <w:rsid w:val="00DC2BA6"/>
    <w:rsid w:val="00DC2FDB"/>
    <w:rsid w:val="00DC3113"/>
    <w:rsid w:val="00DC3147"/>
    <w:rsid w:val="00DC31C6"/>
    <w:rsid w:val="00DC34C6"/>
    <w:rsid w:val="00DC359C"/>
    <w:rsid w:val="00DC38CA"/>
    <w:rsid w:val="00DC39DC"/>
    <w:rsid w:val="00DC3C0C"/>
    <w:rsid w:val="00DC3E02"/>
    <w:rsid w:val="00DC41A4"/>
    <w:rsid w:val="00DC4316"/>
    <w:rsid w:val="00DC450E"/>
    <w:rsid w:val="00DC45E9"/>
    <w:rsid w:val="00DC4780"/>
    <w:rsid w:val="00DC495B"/>
    <w:rsid w:val="00DC49C3"/>
    <w:rsid w:val="00DC4E53"/>
    <w:rsid w:val="00DC4E87"/>
    <w:rsid w:val="00DC4FFA"/>
    <w:rsid w:val="00DC505E"/>
    <w:rsid w:val="00DC507C"/>
    <w:rsid w:val="00DC5087"/>
    <w:rsid w:val="00DC5364"/>
    <w:rsid w:val="00DC5546"/>
    <w:rsid w:val="00DC5829"/>
    <w:rsid w:val="00DC5B0B"/>
    <w:rsid w:val="00DC5DD3"/>
    <w:rsid w:val="00DC6091"/>
    <w:rsid w:val="00DC65B6"/>
    <w:rsid w:val="00DC66D2"/>
    <w:rsid w:val="00DC68F2"/>
    <w:rsid w:val="00DC6A8E"/>
    <w:rsid w:val="00DC6A93"/>
    <w:rsid w:val="00DC6AC2"/>
    <w:rsid w:val="00DC6C70"/>
    <w:rsid w:val="00DC6E80"/>
    <w:rsid w:val="00DC7089"/>
    <w:rsid w:val="00DC71ED"/>
    <w:rsid w:val="00DC720F"/>
    <w:rsid w:val="00DC776E"/>
    <w:rsid w:val="00DC7861"/>
    <w:rsid w:val="00DC7BE9"/>
    <w:rsid w:val="00DD00A5"/>
    <w:rsid w:val="00DD026E"/>
    <w:rsid w:val="00DD0560"/>
    <w:rsid w:val="00DD0752"/>
    <w:rsid w:val="00DD097E"/>
    <w:rsid w:val="00DD0A69"/>
    <w:rsid w:val="00DD11A5"/>
    <w:rsid w:val="00DD13FA"/>
    <w:rsid w:val="00DD15A7"/>
    <w:rsid w:val="00DD1642"/>
    <w:rsid w:val="00DD173E"/>
    <w:rsid w:val="00DD174C"/>
    <w:rsid w:val="00DD17DF"/>
    <w:rsid w:val="00DD19D5"/>
    <w:rsid w:val="00DD1D0B"/>
    <w:rsid w:val="00DD1EF7"/>
    <w:rsid w:val="00DD2225"/>
    <w:rsid w:val="00DD26C7"/>
    <w:rsid w:val="00DD26CB"/>
    <w:rsid w:val="00DD2B71"/>
    <w:rsid w:val="00DD2BD4"/>
    <w:rsid w:val="00DD2D91"/>
    <w:rsid w:val="00DD2ECD"/>
    <w:rsid w:val="00DD2ED1"/>
    <w:rsid w:val="00DD3107"/>
    <w:rsid w:val="00DD32E2"/>
    <w:rsid w:val="00DD36BC"/>
    <w:rsid w:val="00DD36E3"/>
    <w:rsid w:val="00DD3806"/>
    <w:rsid w:val="00DD39C0"/>
    <w:rsid w:val="00DD3B36"/>
    <w:rsid w:val="00DD3C01"/>
    <w:rsid w:val="00DD4048"/>
    <w:rsid w:val="00DD4097"/>
    <w:rsid w:val="00DD4530"/>
    <w:rsid w:val="00DD45B2"/>
    <w:rsid w:val="00DD4651"/>
    <w:rsid w:val="00DD470C"/>
    <w:rsid w:val="00DD4790"/>
    <w:rsid w:val="00DD4848"/>
    <w:rsid w:val="00DD498D"/>
    <w:rsid w:val="00DD4EC2"/>
    <w:rsid w:val="00DD4ED5"/>
    <w:rsid w:val="00DD5C14"/>
    <w:rsid w:val="00DD5C29"/>
    <w:rsid w:val="00DD5D06"/>
    <w:rsid w:val="00DD5ED1"/>
    <w:rsid w:val="00DD6054"/>
    <w:rsid w:val="00DD623D"/>
    <w:rsid w:val="00DD6502"/>
    <w:rsid w:val="00DD6A25"/>
    <w:rsid w:val="00DD6A87"/>
    <w:rsid w:val="00DD7035"/>
    <w:rsid w:val="00DD715C"/>
    <w:rsid w:val="00DD7271"/>
    <w:rsid w:val="00DD7316"/>
    <w:rsid w:val="00DD73C6"/>
    <w:rsid w:val="00DD75A7"/>
    <w:rsid w:val="00DD75B7"/>
    <w:rsid w:val="00DD7717"/>
    <w:rsid w:val="00DD7770"/>
    <w:rsid w:val="00DD779A"/>
    <w:rsid w:val="00DD7830"/>
    <w:rsid w:val="00DD7A04"/>
    <w:rsid w:val="00DD7BD6"/>
    <w:rsid w:val="00DD7D9B"/>
    <w:rsid w:val="00DD7F64"/>
    <w:rsid w:val="00DD7F99"/>
    <w:rsid w:val="00DD7FAC"/>
    <w:rsid w:val="00DE0393"/>
    <w:rsid w:val="00DE054B"/>
    <w:rsid w:val="00DE0744"/>
    <w:rsid w:val="00DE08CE"/>
    <w:rsid w:val="00DE0C8B"/>
    <w:rsid w:val="00DE0E18"/>
    <w:rsid w:val="00DE0FE8"/>
    <w:rsid w:val="00DE1491"/>
    <w:rsid w:val="00DE15BD"/>
    <w:rsid w:val="00DE163D"/>
    <w:rsid w:val="00DE19AE"/>
    <w:rsid w:val="00DE1D3B"/>
    <w:rsid w:val="00DE1DF4"/>
    <w:rsid w:val="00DE21C8"/>
    <w:rsid w:val="00DE23B5"/>
    <w:rsid w:val="00DE269D"/>
    <w:rsid w:val="00DE2BE3"/>
    <w:rsid w:val="00DE2C52"/>
    <w:rsid w:val="00DE2C74"/>
    <w:rsid w:val="00DE2C9E"/>
    <w:rsid w:val="00DE2E4A"/>
    <w:rsid w:val="00DE30FF"/>
    <w:rsid w:val="00DE31D6"/>
    <w:rsid w:val="00DE32C1"/>
    <w:rsid w:val="00DE33C6"/>
    <w:rsid w:val="00DE35E7"/>
    <w:rsid w:val="00DE35FD"/>
    <w:rsid w:val="00DE3610"/>
    <w:rsid w:val="00DE37AF"/>
    <w:rsid w:val="00DE39B4"/>
    <w:rsid w:val="00DE3BD4"/>
    <w:rsid w:val="00DE3EBD"/>
    <w:rsid w:val="00DE3FE2"/>
    <w:rsid w:val="00DE4004"/>
    <w:rsid w:val="00DE406F"/>
    <w:rsid w:val="00DE4162"/>
    <w:rsid w:val="00DE445C"/>
    <w:rsid w:val="00DE468F"/>
    <w:rsid w:val="00DE499B"/>
    <w:rsid w:val="00DE4B8E"/>
    <w:rsid w:val="00DE4BCB"/>
    <w:rsid w:val="00DE4E09"/>
    <w:rsid w:val="00DE50A8"/>
    <w:rsid w:val="00DE50FA"/>
    <w:rsid w:val="00DE5221"/>
    <w:rsid w:val="00DE52BF"/>
    <w:rsid w:val="00DE535E"/>
    <w:rsid w:val="00DE548A"/>
    <w:rsid w:val="00DE54EF"/>
    <w:rsid w:val="00DE5549"/>
    <w:rsid w:val="00DE5550"/>
    <w:rsid w:val="00DE55AF"/>
    <w:rsid w:val="00DE56CF"/>
    <w:rsid w:val="00DE57D2"/>
    <w:rsid w:val="00DE582B"/>
    <w:rsid w:val="00DE5A21"/>
    <w:rsid w:val="00DE5C66"/>
    <w:rsid w:val="00DE5C91"/>
    <w:rsid w:val="00DE5F89"/>
    <w:rsid w:val="00DE60C3"/>
    <w:rsid w:val="00DE6304"/>
    <w:rsid w:val="00DE652D"/>
    <w:rsid w:val="00DE6553"/>
    <w:rsid w:val="00DE6802"/>
    <w:rsid w:val="00DE68C2"/>
    <w:rsid w:val="00DE698D"/>
    <w:rsid w:val="00DE69C9"/>
    <w:rsid w:val="00DE6C04"/>
    <w:rsid w:val="00DE6FEA"/>
    <w:rsid w:val="00DE723C"/>
    <w:rsid w:val="00DE7401"/>
    <w:rsid w:val="00DE7708"/>
    <w:rsid w:val="00DE77E5"/>
    <w:rsid w:val="00DE7829"/>
    <w:rsid w:val="00DE7863"/>
    <w:rsid w:val="00DE7926"/>
    <w:rsid w:val="00DE7BB2"/>
    <w:rsid w:val="00DE7BBD"/>
    <w:rsid w:val="00DE7E1E"/>
    <w:rsid w:val="00DE7E45"/>
    <w:rsid w:val="00DF0048"/>
    <w:rsid w:val="00DF0129"/>
    <w:rsid w:val="00DF0156"/>
    <w:rsid w:val="00DF017A"/>
    <w:rsid w:val="00DF01DE"/>
    <w:rsid w:val="00DF05E5"/>
    <w:rsid w:val="00DF0762"/>
    <w:rsid w:val="00DF092E"/>
    <w:rsid w:val="00DF102C"/>
    <w:rsid w:val="00DF130D"/>
    <w:rsid w:val="00DF1392"/>
    <w:rsid w:val="00DF13E1"/>
    <w:rsid w:val="00DF143B"/>
    <w:rsid w:val="00DF174F"/>
    <w:rsid w:val="00DF176E"/>
    <w:rsid w:val="00DF18C9"/>
    <w:rsid w:val="00DF1932"/>
    <w:rsid w:val="00DF1942"/>
    <w:rsid w:val="00DF1C2F"/>
    <w:rsid w:val="00DF1F3A"/>
    <w:rsid w:val="00DF2096"/>
    <w:rsid w:val="00DF20EE"/>
    <w:rsid w:val="00DF22B1"/>
    <w:rsid w:val="00DF23A3"/>
    <w:rsid w:val="00DF2599"/>
    <w:rsid w:val="00DF27BB"/>
    <w:rsid w:val="00DF2840"/>
    <w:rsid w:val="00DF29FC"/>
    <w:rsid w:val="00DF2A13"/>
    <w:rsid w:val="00DF2ADF"/>
    <w:rsid w:val="00DF2AE8"/>
    <w:rsid w:val="00DF2B18"/>
    <w:rsid w:val="00DF2B4D"/>
    <w:rsid w:val="00DF353B"/>
    <w:rsid w:val="00DF353F"/>
    <w:rsid w:val="00DF3576"/>
    <w:rsid w:val="00DF35E4"/>
    <w:rsid w:val="00DF36E8"/>
    <w:rsid w:val="00DF3A34"/>
    <w:rsid w:val="00DF3C92"/>
    <w:rsid w:val="00DF3E80"/>
    <w:rsid w:val="00DF47D7"/>
    <w:rsid w:val="00DF48D4"/>
    <w:rsid w:val="00DF4A82"/>
    <w:rsid w:val="00DF4B52"/>
    <w:rsid w:val="00DF4DFA"/>
    <w:rsid w:val="00DF4E05"/>
    <w:rsid w:val="00DF5093"/>
    <w:rsid w:val="00DF51BF"/>
    <w:rsid w:val="00DF525A"/>
    <w:rsid w:val="00DF5328"/>
    <w:rsid w:val="00DF5356"/>
    <w:rsid w:val="00DF5813"/>
    <w:rsid w:val="00DF58AB"/>
    <w:rsid w:val="00DF5CE4"/>
    <w:rsid w:val="00DF5E44"/>
    <w:rsid w:val="00DF5F91"/>
    <w:rsid w:val="00DF61B0"/>
    <w:rsid w:val="00DF6224"/>
    <w:rsid w:val="00DF6358"/>
    <w:rsid w:val="00DF6565"/>
    <w:rsid w:val="00DF67BA"/>
    <w:rsid w:val="00DF67DB"/>
    <w:rsid w:val="00DF6A19"/>
    <w:rsid w:val="00DF6B17"/>
    <w:rsid w:val="00DF6D54"/>
    <w:rsid w:val="00DF6F30"/>
    <w:rsid w:val="00DF7070"/>
    <w:rsid w:val="00DF7079"/>
    <w:rsid w:val="00DF70DB"/>
    <w:rsid w:val="00DF7174"/>
    <w:rsid w:val="00DF74BC"/>
    <w:rsid w:val="00DF767C"/>
    <w:rsid w:val="00DF7691"/>
    <w:rsid w:val="00DF7A4B"/>
    <w:rsid w:val="00DF7E26"/>
    <w:rsid w:val="00DF7FE3"/>
    <w:rsid w:val="00E001A9"/>
    <w:rsid w:val="00E0035E"/>
    <w:rsid w:val="00E00561"/>
    <w:rsid w:val="00E00651"/>
    <w:rsid w:val="00E006FC"/>
    <w:rsid w:val="00E008DB"/>
    <w:rsid w:val="00E00910"/>
    <w:rsid w:val="00E0096A"/>
    <w:rsid w:val="00E009F6"/>
    <w:rsid w:val="00E00EFE"/>
    <w:rsid w:val="00E01271"/>
    <w:rsid w:val="00E012BE"/>
    <w:rsid w:val="00E019D8"/>
    <w:rsid w:val="00E01CB9"/>
    <w:rsid w:val="00E01E74"/>
    <w:rsid w:val="00E01EA7"/>
    <w:rsid w:val="00E0248A"/>
    <w:rsid w:val="00E02664"/>
    <w:rsid w:val="00E028FA"/>
    <w:rsid w:val="00E02BED"/>
    <w:rsid w:val="00E02DEA"/>
    <w:rsid w:val="00E0304E"/>
    <w:rsid w:val="00E03081"/>
    <w:rsid w:val="00E0323F"/>
    <w:rsid w:val="00E0342B"/>
    <w:rsid w:val="00E035E3"/>
    <w:rsid w:val="00E03841"/>
    <w:rsid w:val="00E03862"/>
    <w:rsid w:val="00E03ACB"/>
    <w:rsid w:val="00E03CCF"/>
    <w:rsid w:val="00E03D5C"/>
    <w:rsid w:val="00E03EA5"/>
    <w:rsid w:val="00E03F7F"/>
    <w:rsid w:val="00E044F6"/>
    <w:rsid w:val="00E045BF"/>
    <w:rsid w:val="00E045CE"/>
    <w:rsid w:val="00E04616"/>
    <w:rsid w:val="00E04779"/>
    <w:rsid w:val="00E0495C"/>
    <w:rsid w:val="00E04A14"/>
    <w:rsid w:val="00E04B57"/>
    <w:rsid w:val="00E04BD7"/>
    <w:rsid w:val="00E04C36"/>
    <w:rsid w:val="00E04E3E"/>
    <w:rsid w:val="00E04E77"/>
    <w:rsid w:val="00E04E91"/>
    <w:rsid w:val="00E0522C"/>
    <w:rsid w:val="00E053C5"/>
    <w:rsid w:val="00E05A22"/>
    <w:rsid w:val="00E05A84"/>
    <w:rsid w:val="00E05B08"/>
    <w:rsid w:val="00E05FB6"/>
    <w:rsid w:val="00E05FD7"/>
    <w:rsid w:val="00E06132"/>
    <w:rsid w:val="00E0626D"/>
    <w:rsid w:val="00E063B4"/>
    <w:rsid w:val="00E067A1"/>
    <w:rsid w:val="00E06925"/>
    <w:rsid w:val="00E06A47"/>
    <w:rsid w:val="00E06B2D"/>
    <w:rsid w:val="00E06CBF"/>
    <w:rsid w:val="00E06DDB"/>
    <w:rsid w:val="00E06E68"/>
    <w:rsid w:val="00E06E77"/>
    <w:rsid w:val="00E06F7C"/>
    <w:rsid w:val="00E07107"/>
    <w:rsid w:val="00E0733B"/>
    <w:rsid w:val="00E073A6"/>
    <w:rsid w:val="00E075A4"/>
    <w:rsid w:val="00E0760C"/>
    <w:rsid w:val="00E07740"/>
    <w:rsid w:val="00E077B9"/>
    <w:rsid w:val="00E07D15"/>
    <w:rsid w:val="00E07D6F"/>
    <w:rsid w:val="00E106B7"/>
    <w:rsid w:val="00E1084E"/>
    <w:rsid w:val="00E10913"/>
    <w:rsid w:val="00E10977"/>
    <w:rsid w:val="00E10BC4"/>
    <w:rsid w:val="00E10D03"/>
    <w:rsid w:val="00E10E07"/>
    <w:rsid w:val="00E10E91"/>
    <w:rsid w:val="00E11278"/>
    <w:rsid w:val="00E114FA"/>
    <w:rsid w:val="00E1152A"/>
    <w:rsid w:val="00E1159F"/>
    <w:rsid w:val="00E11621"/>
    <w:rsid w:val="00E11946"/>
    <w:rsid w:val="00E1217D"/>
    <w:rsid w:val="00E12694"/>
    <w:rsid w:val="00E12953"/>
    <w:rsid w:val="00E12B10"/>
    <w:rsid w:val="00E12FE2"/>
    <w:rsid w:val="00E1307D"/>
    <w:rsid w:val="00E13132"/>
    <w:rsid w:val="00E131F3"/>
    <w:rsid w:val="00E1341E"/>
    <w:rsid w:val="00E13E9B"/>
    <w:rsid w:val="00E14028"/>
    <w:rsid w:val="00E14126"/>
    <w:rsid w:val="00E1440D"/>
    <w:rsid w:val="00E14677"/>
    <w:rsid w:val="00E14844"/>
    <w:rsid w:val="00E149B6"/>
    <w:rsid w:val="00E14BC0"/>
    <w:rsid w:val="00E14C5F"/>
    <w:rsid w:val="00E14E3C"/>
    <w:rsid w:val="00E14FC1"/>
    <w:rsid w:val="00E152FC"/>
    <w:rsid w:val="00E15636"/>
    <w:rsid w:val="00E15789"/>
    <w:rsid w:val="00E159D8"/>
    <w:rsid w:val="00E15CBE"/>
    <w:rsid w:val="00E16065"/>
    <w:rsid w:val="00E160AE"/>
    <w:rsid w:val="00E16184"/>
    <w:rsid w:val="00E161F6"/>
    <w:rsid w:val="00E16276"/>
    <w:rsid w:val="00E16468"/>
    <w:rsid w:val="00E16546"/>
    <w:rsid w:val="00E16A4A"/>
    <w:rsid w:val="00E16C2E"/>
    <w:rsid w:val="00E16E74"/>
    <w:rsid w:val="00E1722F"/>
    <w:rsid w:val="00E1742E"/>
    <w:rsid w:val="00E17A5E"/>
    <w:rsid w:val="00E17B42"/>
    <w:rsid w:val="00E17D06"/>
    <w:rsid w:val="00E17D6F"/>
    <w:rsid w:val="00E17D78"/>
    <w:rsid w:val="00E17E62"/>
    <w:rsid w:val="00E17E81"/>
    <w:rsid w:val="00E17FC6"/>
    <w:rsid w:val="00E200F5"/>
    <w:rsid w:val="00E20226"/>
    <w:rsid w:val="00E203E2"/>
    <w:rsid w:val="00E2049A"/>
    <w:rsid w:val="00E20BD1"/>
    <w:rsid w:val="00E20F1F"/>
    <w:rsid w:val="00E20F91"/>
    <w:rsid w:val="00E2128C"/>
    <w:rsid w:val="00E21419"/>
    <w:rsid w:val="00E21759"/>
    <w:rsid w:val="00E21AC3"/>
    <w:rsid w:val="00E220EF"/>
    <w:rsid w:val="00E22203"/>
    <w:rsid w:val="00E22378"/>
    <w:rsid w:val="00E223EA"/>
    <w:rsid w:val="00E226A7"/>
    <w:rsid w:val="00E2282B"/>
    <w:rsid w:val="00E22862"/>
    <w:rsid w:val="00E2293C"/>
    <w:rsid w:val="00E22952"/>
    <w:rsid w:val="00E22A05"/>
    <w:rsid w:val="00E22A51"/>
    <w:rsid w:val="00E22CAE"/>
    <w:rsid w:val="00E22E09"/>
    <w:rsid w:val="00E22F20"/>
    <w:rsid w:val="00E235A0"/>
    <w:rsid w:val="00E23755"/>
    <w:rsid w:val="00E23976"/>
    <w:rsid w:val="00E239E7"/>
    <w:rsid w:val="00E23CB3"/>
    <w:rsid w:val="00E23ED3"/>
    <w:rsid w:val="00E240E9"/>
    <w:rsid w:val="00E2427A"/>
    <w:rsid w:val="00E244CC"/>
    <w:rsid w:val="00E24666"/>
    <w:rsid w:val="00E246B2"/>
    <w:rsid w:val="00E24A2C"/>
    <w:rsid w:val="00E24A32"/>
    <w:rsid w:val="00E24A8A"/>
    <w:rsid w:val="00E24B39"/>
    <w:rsid w:val="00E24CE3"/>
    <w:rsid w:val="00E24CE9"/>
    <w:rsid w:val="00E24E8D"/>
    <w:rsid w:val="00E2543C"/>
    <w:rsid w:val="00E25776"/>
    <w:rsid w:val="00E25BA2"/>
    <w:rsid w:val="00E25D42"/>
    <w:rsid w:val="00E25E42"/>
    <w:rsid w:val="00E25EE1"/>
    <w:rsid w:val="00E26081"/>
    <w:rsid w:val="00E261CD"/>
    <w:rsid w:val="00E261E7"/>
    <w:rsid w:val="00E26398"/>
    <w:rsid w:val="00E264D0"/>
    <w:rsid w:val="00E267DF"/>
    <w:rsid w:val="00E268B6"/>
    <w:rsid w:val="00E26F04"/>
    <w:rsid w:val="00E26F57"/>
    <w:rsid w:val="00E271BE"/>
    <w:rsid w:val="00E2720B"/>
    <w:rsid w:val="00E27336"/>
    <w:rsid w:val="00E273E5"/>
    <w:rsid w:val="00E27419"/>
    <w:rsid w:val="00E27571"/>
    <w:rsid w:val="00E275D7"/>
    <w:rsid w:val="00E27A53"/>
    <w:rsid w:val="00E27AE3"/>
    <w:rsid w:val="00E27AF7"/>
    <w:rsid w:val="00E27B3A"/>
    <w:rsid w:val="00E27BBA"/>
    <w:rsid w:val="00E3014B"/>
    <w:rsid w:val="00E301BE"/>
    <w:rsid w:val="00E3039D"/>
    <w:rsid w:val="00E306AB"/>
    <w:rsid w:val="00E3089E"/>
    <w:rsid w:val="00E309F1"/>
    <w:rsid w:val="00E30AE9"/>
    <w:rsid w:val="00E30B79"/>
    <w:rsid w:val="00E30C80"/>
    <w:rsid w:val="00E30D83"/>
    <w:rsid w:val="00E30E8C"/>
    <w:rsid w:val="00E30FD5"/>
    <w:rsid w:val="00E3104B"/>
    <w:rsid w:val="00E311A3"/>
    <w:rsid w:val="00E314B6"/>
    <w:rsid w:val="00E31579"/>
    <w:rsid w:val="00E31655"/>
    <w:rsid w:val="00E31A2E"/>
    <w:rsid w:val="00E31D44"/>
    <w:rsid w:val="00E31DB8"/>
    <w:rsid w:val="00E3205B"/>
    <w:rsid w:val="00E3236E"/>
    <w:rsid w:val="00E323A6"/>
    <w:rsid w:val="00E32940"/>
    <w:rsid w:val="00E32CFA"/>
    <w:rsid w:val="00E33196"/>
    <w:rsid w:val="00E33222"/>
    <w:rsid w:val="00E333E2"/>
    <w:rsid w:val="00E3356B"/>
    <w:rsid w:val="00E33AFD"/>
    <w:rsid w:val="00E33C28"/>
    <w:rsid w:val="00E3403A"/>
    <w:rsid w:val="00E34754"/>
    <w:rsid w:val="00E34889"/>
    <w:rsid w:val="00E3491B"/>
    <w:rsid w:val="00E34ADA"/>
    <w:rsid w:val="00E34EAF"/>
    <w:rsid w:val="00E34F4D"/>
    <w:rsid w:val="00E352DB"/>
    <w:rsid w:val="00E3558F"/>
    <w:rsid w:val="00E35688"/>
    <w:rsid w:val="00E35690"/>
    <w:rsid w:val="00E35870"/>
    <w:rsid w:val="00E35B4A"/>
    <w:rsid w:val="00E35C37"/>
    <w:rsid w:val="00E35C97"/>
    <w:rsid w:val="00E35D4E"/>
    <w:rsid w:val="00E35EFA"/>
    <w:rsid w:val="00E361D2"/>
    <w:rsid w:val="00E36374"/>
    <w:rsid w:val="00E367BB"/>
    <w:rsid w:val="00E36B22"/>
    <w:rsid w:val="00E36C12"/>
    <w:rsid w:val="00E3706C"/>
    <w:rsid w:val="00E37933"/>
    <w:rsid w:val="00E37D4A"/>
    <w:rsid w:val="00E37ED0"/>
    <w:rsid w:val="00E40176"/>
    <w:rsid w:val="00E4041E"/>
    <w:rsid w:val="00E40925"/>
    <w:rsid w:val="00E40BC1"/>
    <w:rsid w:val="00E40BCE"/>
    <w:rsid w:val="00E40EB8"/>
    <w:rsid w:val="00E40F11"/>
    <w:rsid w:val="00E40F46"/>
    <w:rsid w:val="00E40FD5"/>
    <w:rsid w:val="00E41006"/>
    <w:rsid w:val="00E4116C"/>
    <w:rsid w:val="00E411B4"/>
    <w:rsid w:val="00E415CF"/>
    <w:rsid w:val="00E417C2"/>
    <w:rsid w:val="00E41A0A"/>
    <w:rsid w:val="00E41C97"/>
    <w:rsid w:val="00E41CC8"/>
    <w:rsid w:val="00E41D23"/>
    <w:rsid w:val="00E41FAA"/>
    <w:rsid w:val="00E420E7"/>
    <w:rsid w:val="00E42256"/>
    <w:rsid w:val="00E42293"/>
    <w:rsid w:val="00E423D0"/>
    <w:rsid w:val="00E4264A"/>
    <w:rsid w:val="00E426E7"/>
    <w:rsid w:val="00E427C9"/>
    <w:rsid w:val="00E42913"/>
    <w:rsid w:val="00E42DD2"/>
    <w:rsid w:val="00E42F2F"/>
    <w:rsid w:val="00E4309C"/>
    <w:rsid w:val="00E43260"/>
    <w:rsid w:val="00E43383"/>
    <w:rsid w:val="00E43870"/>
    <w:rsid w:val="00E4391E"/>
    <w:rsid w:val="00E43A31"/>
    <w:rsid w:val="00E43EEB"/>
    <w:rsid w:val="00E43FCC"/>
    <w:rsid w:val="00E4443F"/>
    <w:rsid w:val="00E444DB"/>
    <w:rsid w:val="00E44546"/>
    <w:rsid w:val="00E44682"/>
    <w:rsid w:val="00E44930"/>
    <w:rsid w:val="00E44B1E"/>
    <w:rsid w:val="00E44C5D"/>
    <w:rsid w:val="00E44CE5"/>
    <w:rsid w:val="00E44CF6"/>
    <w:rsid w:val="00E44DE5"/>
    <w:rsid w:val="00E44EFA"/>
    <w:rsid w:val="00E44F24"/>
    <w:rsid w:val="00E45393"/>
    <w:rsid w:val="00E453C6"/>
    <w:rsid w:val="00E4548B"/>
    <w:rsid w:val="00E454C6"/>
    <w:rsid w:val="00E4568B"/>
    <w:rsid w:val="00E4573F"/>
    <w:rsid w:val="00E45AB7"/>
    <w:rsid w:val="00E45C2E"/>
    <w:rsid w:val="00E45DD8"/>
    <w:rsid w:val="00E45DE8"/>
    <w:rsid w:val="00E45E05"/>
    <w:rsid w:val="00E4613E"/>
    <w:rsid w:val="00E46192"/>
    <w:rsid w:val="00E464F6"/>
    <w:rsid w:val="00E466A4"/>
    <w:rsid w:val="00E466F0"/>
    <w:rsid w:val="00E46B4B"/>
    <w:rsid w:val="00E46B67"/>
    <w:rsid w:val="00E46C53"/>
    <w:rsid w:val="00E46DF8"/>
    <w:rsid w:val="00E46EC9"/>
    <w:rsid w:val="00E4760F"/>
    <w:rsid w:val="00E47656"/>
    <w:rsid w:val="00E4771B"/>
    <w:rsid w:val="00E478D2"/>
    <w:rsid w:val="00E47A21"/>
    <w:rsid w:val="00E47CFF"/>
    <w:rsid w:val="00E47DB8"/>
    <w:rsid w:val="00E47E97"/>
    <w:rsid w:val="00E47F6A"/>
    <w:rsid w:val="00E50054"/>
    <w:rsid w:val="00E50437"/>
    <w:rsid w:val="00E50641"/>
    <w:rsid w:val="00E506D4"/>
    <w:rsid w:val="00E5087C"/>
    <w:rsid w:val="00E50A03"/>
    <w:rsid w:val="00E50A0A"/>
    <w:rsid w:val="00E50A49"/>
    <w:rsid w:val="00E50B30"/>
    <w:rsid w:val="00E50C26"/>
    <w:rsid w:val="00E50D93"/>
    <w:rsid w:val="00E50FB3"/>
    <w:rsid w:val="00E510C2"/>
    <w:rsid w:val="00E51953"/>
    <w:rsid w:val="00E51B42"/>
    <w:rsid w:val="00E51C6B"/>
    <w:rsid w:val="00E51C86"/>
    <w:rsid w:val="00E5242C"/>
    <w:rsid w:val="00E52438"/>
    <w:rsid w:val="00E52588"/>
    <w:rsid w:val="00E52EC6"/>
    <w:rsid w:val="00E52F47"/>
    <w:rsid w:val="00E52F6D"/>
    <w:rsid w:val="00E530CE"/>
    <w:rsid w:val="00E533F1"/>
    <w:rsid w:val="00E535E0"/>
    <w:rsid w:val="00E53621"/>
    <w:rsid w:val="00E53632"/>
    <w:rsid w:val="00E53738"/>
    <w:rsid w:val="00E53A24"/>
    <w:rsid w:val="00E53B9C"/>
    <w:rsid w:val="00E53F1E"/>
    <w:rsid w:val="00E53F47"/>
    <w:rsid w:val="00E540AA"/>
    <w:rsid w:val="00E545C2"/>
    <w:rsid w:val="00E547DB"/>
    <w:rsid w:val="00E547F0"/>
    <w:rsid w:val="00E54E10"/>
    <w:rsid w:val="00E54E61"/>
    <w:rsid w:val="00E55325"/>
    <w:rsid w:val="00E55557"/>
    <w:rsid w:val="00E556F7"/>
    <w:rsid w:val="00E557A8"/>
    <w:rsid w:val="00E55BE6"/>
    <w:rsid w:val="00E55C04"/>
    <w:rsid w:val="00E55D8E"/>
    <w:rsid w:val="00E55EB1"/>
    <w:rsid w:val="00E56013"/>
    <w:rsid w:val="00E56385"/>
    <w:rsid w:val="00E5667C"/>
    <w:rsid w:val="00E56817"/>
    <w:rsid w:val="00E56AA1"/>
    <w:rsid w:val="00E56B1D"/>
    <w:rsid w:val="00E56D01"/>
    <w:rsid w:val="00E56DCB"/>
    <w:rsid w:val="00E56E42"/>
    <w:rsid w:val="00E56F24"/>
    <w:rsid w:val="00E570B2"/>
    <w:rsid w:val="00E572A6"/>
    <w:rsid w:val="00E57349"/>
    <w:rsid w:val="00E5750A"/>
    <w:rsid w:val="00E577AC"/>
    <w:rsid w:val="00E57A74"/>
    <w:rsid w:val="00E6003C"/>
    <w:rsid w:val="00E601A3"/>
    <w:rsid w:val="00E601CD"/>
    <w:rsid w:val="00E60286"/>
    <w:rsid w:val="00E60E4E"/>
    <w:rsid w:val="00E60F05"/>
    <w:rsid w:val="00E60F2D"/>
    <w:rsid w:val="00E6101C"/>
    <w:rsid w:val="00E61135"/>
    <w:rsid w:val="00E61296"/>
    <w:rsid w:val="00E612C9"/>
    <w:rsid w:val="00E61444"/>
    <w:rsid w:val="00E6153D"/>
    <w:rsid w:val="00E6159C"/>
    <w:rsid w:val="00E615CB"/>
    <w:rsid w:val="00E61BEF"/>
    <w:rsid w:val="00E61EBE"/>
    <w:rsid w:val="00E62130"/>
    <w:rsid w:val="00E621A5"/>
    <w:rsid w:val="00E621E1"/>
    <w:rsid w:val="00E62291"/>
    <w:rsid w:val="00E6261E"/>
    <w:rsid w:val="00E62C7F"/>
    <w:rsid w:val="00E62E06"/>
    <w:rsid w:val="00E62E1D"/>
    <w:rsid w:val="00E63411"/>
    <w:rsid w:val="00E63432"/>
    <w:rsid w:val="00E63557"/>
    <w:rsid w:val="00E6366E"/>
    <w:rsid w:val="00E636D3"/>
    <w:rsid w:val="00E6383D"/>
    <w:rsid w:val="00E63899"/>
    <w:rsid w:val="00E638B3"/>
    <w:rsid w:val="00E63AE6"/>
    <w:rsid w:val="00E63C93"/>
    <w:rsid w:val="00E63F2B"/>
    <w:rsid w:val="00E6401F"/>
    <w:rsid w:val="00E64090"/>
    <w:rsid w:val="00E640C3"/>
    <w:rsid w:val="00E6426A"/>
    <w:rsid w:val="00E64307"/>
    <w:rsid w:val="00E643D6"/>
    <w:rsid w:val="00E6448E"/>
    <w:rsid w:val="00E644B2"/>
    <w:rsid w:val="00E6454D"/>
    <w:rsid w:val="00E645CF"/>
    <w:rsid w:val="00E64691"/>
    <w:rsid w:val="00E6469D"/>
    <w:rsid w:val="00E646C8"/>
    <w:rsid w:val="00E64E4E"/>
    <w:rsid w:val="00E64E82"/>
    <w:rsid w:val="00E651A5"/>
    <w:rsid w:val="00E65584"/>
    <w:rsid w:val="00E656AB"/>
    <w:rsid w:val="00E65898"/>
    <w:rsid w:val="00E658C9"/>
    <w:rsid w:val="00E65AE6"/>
    <w:rsid w:val="00E65B38"/>
    <w:rsid w:val="00E65FFE"/>
    <w:rsid w:val="00E6606F"/>
    <w:rsid w:val="00E660E1"/>
    <w:rsid w:val="00E663F5"/>
    <w:rsid w:val="00E66453"/>
    <w:rsid w:val="00E66523"/>
    <w:rsid w:val="00E668C5"/>
    <w:rsid w:val="00E66CE9"/>
    <w:rsid w:val="00E66F3F"/>
    <w:rsid w:val="00E670BE"/>
    <w:rsid w:val="00E67355"/>
    <w:rsid w:val="00E673C2"/>
    <w:rsid w:val="00E6783E"/>
    <w:rsid w:val="00E67E56"/>
    <w:rsid w:val="00E67EFE"/>
    <w:rsid w:val="00E700CF"/>
    <w:rsid w:val="00E70416"/>
    <w:rsid w:val="00E70466"/>
    <w:rsid w:val="00E7051C"/>
    <w:rsid w:val="00E708FD"/>
    <w:rsid w:val="00E70929"/>
    <w:rsid w:val="00E70D4A"/>
    <w:rsid w:val="00E70F8C"/>
    <w:rsid w:val="00E71349"/>
    <w:rsid w:val="00E713D6"/>
    <w:rsid w:val="00E71643"/>
    <w:rsid w:val="00E7167B"/>
    <w:rsid w:val="00E716E4"/>
    <w:rsid w:val="00E7171E"/>
    <w:rsid w:val="00E71A6C"/>
    <w:rsid w:val="00E71CAA"/>
    <w:rsid w:val="00E71E87"/>
    <w:rsid w:val="00E72036"/>
    <w:rsid w:val="00E72090"/>
    <w:rsid w:val="00E72167"/>
    <w:rsid w:val="00E72225"/>
    <w:rsid w:val="00E7228D"/>
    <w:rsid w:val="00E72369"/>
    <w:rsid w:val="00E723CB"/>
    <w:rsid w:val="00E72487"/>
    <w:rsid w:val="00E725FA"/>
    <w:rsid w:val="00E72745"/>
    <w:rsid w:val="00E72772"/>
    <w:rsid w:val="00E72833"/>
    <w:rsid w:val="00E72A03"/>
    <w:rsid w:val="00E72B8B"/>
    <w:rsid w:val="00E730B8"/>
    <w:rsid w:val="00E73332"/>
    <w:rsid w:val="00E73351"/>
    <w:rsid w:val="00E736F9"/>
    <w:rsid w:val="00E73826"/>
    <w:rsid w:val="00E73C5F"/>
    <w:rsid w:val="00E73FF0"/>
    <w:rsid w:val="00E74034"/>
    <w:rsid w:val="00E7452D"/>
    <w:rsid w:val="00E745F6"/>
    <w:rsid w:val="00E74A36"/>
    <w:rsid w:val="00E74C2E"/>
    <w:rsid w:val="00E74D2B"/>
    <w:rsid w:val="00E75091"/>
    <w:rsid w:val="00E750E2"/>
    <w:rsid w:val="00E751D2"/>
    <w:rsid w:val="00E7556D"/>
    <w:rsid w:val="00E755CB"/>
    <w:rsid w:val="00E75630"/>
    <w:rsid w:val="00E75B9F"/>
    <w:rsid w:val="00E75FD0"/>
    <w:rsid w:val="00E76110"/>
    <w:rsid w:val="00E76158"/>
    <w:rsid w:val="00E761FA"/>
    <w:rsid w:val="00E76422"/>
    <w:rsid w:val="00E766F1"/>
    <w:rsid w:val="00E7675C"/>
    <w:rsid w:val="00E76AEF"/>
    <w:rsid w:val="00E76D25"/>
    <w:rsid w:val="00E76FBF"/>
    <w:rsid w:val="00E7706F"/>
    <w:rsid w:val="00E77122"/>
    <w:rsid w:val="00E7714E"/>
    <w:rsid w:val="00E77320"/>
    <w:rsid w:val="00E77367"/>
    <w:rsid w:val="00E7748F"/>
    <w:rsid w:val="00E775FC"/>
    <w:rsid w:val="00E77761"/>
    <w:rsid w:val="00E777FE"/>
    <w:rsid w:val="00E77913"/>
    <w:rsid w:val="00E7795B"/>
    <w:rsid w:val="00E77970"/>
    <w:rsid w:val="00E77FA4"/>
    <w:rsid w:val="00E77FA5"/>
    <w:rsid w:val="00E80124"/>
    <w:rsid w:val="00E808AA"/>
    <w:rsid w:val="00E80B78"/>
    <w:rsid w:val="00E80BD5"/>
    <w:rsid w:val="00E80C32"/>
    <w:rsid w:val="00E80EBB"/>
    <w:rsid w:val="00E80F45"/>
    <w:rsid w:val="00E80FE8"/>
    <w:rsid w:val="00E8110D"/>
    <w:rsid w:val="00E812B9"/>
    <w:rsid w:val="00E8130F"/>
    <w:rsid w:val="00E81329"/>
    <w:rsid w:val="00E813CA"/>
    <w:rsid w:val="00E814E3"/>
    <w:rsid w:val="00E81D52"/>
    <w:rsid w:val="00E81D86"/>
    <w:rsid w:val="00E81EC9"/>
    <w:rsid w:val="00E81F48"/>
    <w:rsid w:val="00E8238F"/>
    <w:rsid w:val="00E823C4"/>
    <w:rsid w:val="00E8259E"/>
    <w:rsid w:val="00E8273E"/>
    <w:rsid w:val="00E82A1C"/>
    <w:rsid w:val="00E82B7F"/>
    <w:rsid w:val="00E82E85"/>
    <w:rsid w:val="00E83014"/>
    <w:rsid w:val="00E83480"/>
    <w:rsid w:val="00E836B8"/>
    <w:rsid w:val="00E83E10"/>
    <w:rsid w:val="00E83E68"/>
    <w:rsid w:val="00E83F91"/>
    <w:rsid w:val="00E84072"/>
    <w:rsid w:val="00E8415C"/>
    <w:rsid w:val="00E84692"/>
    <w:rsid w:val="00E8479A"/>
    <w:rsid w:val="00E8485E"/>
    <w:rsid w:val="00E84936"/>
    <w:rsid w:val="00E84ADA"/>
    <w:rsid w:val="00E84B76"/>
    <w:rsid w:val="00E84BEB"/>
    <w:rsid w:val="00E84DB1"/>
    <w:rsid w:val="00E8573B"/>
    <w:rsid w:val="00E859E3"/>
    <w:rsid w:val="00E85A5A"/>
    <w:rsid w:val="00E85B3F"/>
    <w:rsid w:val="00E85B5F"/>
    <w:rsid w:val="00E85F41"/>
    <w:rsid w:val="00E863CD"/>
    <w:rsid w:val="00E86400"/>
    <w:rsid w:val="00E86493"/>
    <w:rsid w:val="00E86A8F"/>
    <w:rsid w:val="00E86AF0"/>
    <w:rsid w:val="00E86E31"/>
    <w:rsid w:val="00E86E3C"/>
    <w:rsid w:val="00E86E82"/>
    <w:rsid w:val="00E87396"/>
    <w:rsid w:val="00E87490"/>
    <w:rsid w:val="00E87A19"/>
    <w:rsid w:val="00E87A62"/>
    <w:rsid w:val="00E87A69"/>
    <w:rsid w:val="00E900EF"/>
    <w:rsid w:val="00E90123"/>
    <w:rsid w:val="00E90563"/>
    <w:rsid w:val="00E90596"/>
    <w:rsid w:val="00E905DE"/>
    <w:rsid w:val="00E907C3"/>
    <w:rsid w:val="00E908B8"/>
    <w:rsid w:val="00E908BE"/>
    <w:rsid w:val="00E90931"/>
    <w:rsid w:val="00E90951"/>
    <w:rsid w:val="00E90A4C"/>
    <w:rsid w:val="00E90AB6"/>
    <w:rsid w:val="00E90C4F"/>
    <w:rsid w:val="00E9110F"/>
    <w:rsid w:val="00E91409"/>
    <w:rsid w:val="00E914A6"/>
    <w:rsid w:val="00E914CF"/>
    <w:rsid w:val="00E91AE5"/>
    <w:rsid w:val="00E91C74"/>
    <w:rsid w:val="00E91EB9"/>
    <w:rsid w:val="00E91F15"/>
    <w:rsid w:val="00E92117"/>
    <w:rsid w:val="00E921E0"/>
    <w:rsid w:val="00E923FD"/>
    <w:rsid w:val="00E92550"/>
    <w:rsid w:val="00E925E1"/>
    <w:rsid w:val="00E9260D"/>
    <w:rsid w:val="00E9262C"/>
    <w:rsid w:val="00E926D9"/>
    <w:rsid w:val="00E9284B"/>
    <w:rsid w:val="00E92C34"/>
    <w:rsid w:val="00E92E8F"/>
    <w:rsid w:val="00E9308B"/>
    <w:rsid w:val="00E93306"/>
    <w:rsid w:val="00E936FF"/>
    <w:rsid w:val="00E9389E"/>
    <w:rsid w:val="00E93BAF"/>
    <w:rsid w:val="00E93C0F"/>
    <w:rsid w:val="00E93CBE"/>
    <w:rsid w:val="00E93E30"/>
    <w:rsid w:val="00E93E47"/>
    <w:rsid w:val="00E93F43"/>
    <w:rsid w:val="00E9435B"/>
    <w:rsid w:val="00E945C6"/>
    <w:rsid w:val="00E945CB"/>
    <w:rsid w:val="00E94615"/>
    <w:rsid w:val="00E94783"/>
    <w:rsid w:val="00E947C7"/>
    <w:rsid w:val="00E947CF"/>
    <w:rsid w:val="00E948C5"/>
    <w:rsid w:val="00E948E6"/>
    <w:rsid w:val="00E94A63"/>
    <w:rsid w:val="00E94E1C"/>
    <w:rsid w:val="00E95114"/>
    <w:rsid w:val="00E951A7"/>
    <w:rsid w:val="00E95214"/>
    <w:rsid w:val="00E95216"/>
    <w:rsid w:val="00E956FF"/>
    <w:rsid w:val="00E959C7"/>
    <w:rsid w:val="00E959D5"/>
    <w:rsid w:val="00E959FA"/>
    <w:rsid w:val="00E95A56"/>
    <w:rsid w:val="00E95B3A"/>
    <w:rsid w:val="00E95D4A"/>
    <w:rsid w:val="00E95EA8"/>
    <w:rsid w:val="00E96B6B"/>
    <w:rsid w:val="00E96CE5"/>
    <w:rsid w:val="00E96FA8"/>
    <w:rsid w:val="00E97262"/>
    <w:rsid w:val="00E97504"/>
    <w:rsid w:val="00E9755A"/>
    <w:rsid w:val="00E9755F"/>
    <w:rsid w:val="00E979A0"/>
    <w:rsid w:val="00E979BE"/>
    <w:rsid w:val="00E97A85"/>
    <w:rsid w:val="00E97F88"/>
    <w:rsid w:val="00EA05D7"/>
    <w:rsid w:val="00EA0654"/>
    <w:rsid w:val="00EA09BC"/>
    <w:rsid w:val="00EA0AA5"/>
    <w:rsid w:val="00EA0CDB"/>
    <w:rsid w:val="00EA0D1C"/>
    <w:rsid w:val="00EA0D2F"/>
    <w:rsid w:val="00EA0FBD"/>
    <w:rsid w:val="00EA1586"/>
    <w:rsid w:val="00EA165A"/>
    <w:rsid w:val="00EA191C"/>
    <w:rsid w:val="00EA1927"/>
    <w:rsid w:val="00EA1939"/>
    <w:rsid w:val="00EA19A3"/>
    <w:rsid w:val="00EA19B2"/>
    <w:rsid w:val="00EA1E0E"/>
    <w:rsid w:val="00EA1FB0"/>
    <w:rsid w:val="00EA220C"/>
    <w:rsid w:val="00EA2623"/>
    <w:rsid w:val="00EA28AB"/>
    <w:rsid w:val="00EA2A2F"/>
    <w:rsid w:val="00EA2FEC"/>
    <w:rsid w:val="00EA3444"/>
    <w:rsid w:val="00EA3899"/>
    <w:rsid w:val="00EA395C"/>
    <w:rsid w:val="00EA3998"/>
    <w:rsid w:val="00EA39AE"/>
    <w:rsid w:val="00EA3A24"/>
    <w:rsid w:val="00EA3CC8"/>
    <w:rsid w:val="00EA3FFB"/>
    <w:rsid w:val="00EA40B6"/>
    <w:rsid w:val="00EA40FA"/>
    <w:rsid w:val="00EA4100"/>
    <w:rsid w:val="00EA4222"/>
    <w:rsid w:val="00EA455F"/>
    <w:rsid w:val="00EA4796"/>
    <w:rsid w:val="00EA4B5F"/>
    <w:rsid w:val="00EA4CA6"/>
    <w:rsid w:val="00EA4DAC"/>
    <w:rsid w:val="00EA4FA1"/>
    <w:rsid w:val="00EA4FAF"/>
    <w:rsid w:val="00EA512A"/>
    <w:rsid w:val="00EA53DB"/>
    <w:rsid w:val="00EA55B2"/>
    <w:rsid w:val="00EA5742"/>
    <w:rsid w:val="00EA58FD"/>
    <w:rsid w:val="00EA5987"/>
    <w:rsid w:val="00EA5B6C"/>
    <w:rsid w:val="00EA5EDA"/>
    <w:rsid w:val="00EA5F80"/>
    <w:rsid w:val="00EA6167"/>
    <w:rsid w:val="00EA6206"/>
    <w:rsid w:val="00EA6608"/>
    <w:rsid w:val="00EA676B"/>
    <w:rsid w:val="00EA69B9"/>
    <w:rsid w:val="00EA6A8B"/>
    <w:rsid w:val="00EA6AF4"/>
    <w:rsid w:val="00EA6BAF"/>
    <w:rsid w:val="00EA743A"/>
    <w:rsid w:val="00EA765D"/>
    <w:rsid w:val="00EA7883"/>
    <w:rsid w:val="00EA7BDC"/>
    <w:rsid w:val="00EA7C93"/>
    <w:rsid w:val="00EB006F"/>
    <w:rsid w:val="00EB0593"/>
    <w:rsid w:val="00EB05AF"/>
    <w:rsid w:val="00EB05D6"/>
    <w:rsid w:val="00EB06B9"/>
    <w:rsid w:val="00EB0735"/>
    <w:rsid w:val="00EB08BF"/>
    <w:rsid w:val="00EB0B52"/>
    <w:rsid w:val="00EB0D41"/>
    <w:rsid w:val="00EB0D64"/>
    <w:rsid w:val="00EB0E1B"/>
    <w:rsid w:val="00EB0EF6"/>
    <w:rsid w:val="00EB0F2A"/>
    <w:rsid w:val="00EB12DB"/>
    <w:rsid w:val="00EB17F4"/>
    <w:rsid w:val="00EB182F"/>
    <w:rsid w:val="00EB1882"/>
    <w:rsid w:val="00EB18FE"/>
    <w:rsid w:val="00EB193E"/>
    <w:rsid w:val="00EB1D25"/>
    <w:rsid w:val="00EB1E36"/>
    <w:rsid w:val="00EB1E75"/>
    <w:rsid w:val="00EB24DA"/>
    <w:rsid w:val="00EB254B"/>
    <w:rsid w:val="00EB2551"/>
    <w:rsid w:val="00EB27C0"/>
    <w:rsid w:val="00EB2B0F"/>
    <w:rsid w:val="00EB2DA2"/>
    <w:rsid w:val="00EB2DBC"/>
    <w:rsid w:val="00EB3020"/>
    <w:rsid w:val="00EB361B"/>
    <w:rsid w:val="00EB390A"/>
    <w:rsid w:val="00EB3AB3"/>
    <w:rsid w:val="00EB3C96"/>
    <w:rsid w:val="00EB3D05"/>
    <w:rsid w:val="00EB41C9"/>
    <w:rsid w:val="00EB42F7"/>
    <w:rsid w:val="00EB44B0"/>
    <w:rsid w:val="00EB460F"/>
    <w:rsid w:val="00EB4631"/>
    <w:rsid w:val="00EB4694"/>
    <w:rsid w:val="00EB46CF"/>
    <w:rsid w:val="00EB4A0E"/>
    <w:rsid w:val="00EB4C26"/>
    <w:rsid w:val="00EB4D5D"/>
    <w:rsid w:val="00EB4E46"/>
    <w:rsid w:val="00EB5038"/>
    <w:rsid w:val="00EB532C"/>
    <w:rsid w:val="00EB54A9"/>
    <w:rsid w:val="00EB54C8"/>
    <w:rsid w:val="00EB56B4"/>
    <w:rsid w:val="00EB5926"/>
    <w:rsid w:val="00EB5BC7"/>
    <w:rsid w:val="00EB5C7E"/>
    <w:rsid w:val="00EB5EE8"/>
    <w:rsid w:val="00EB6072"/>
    <w:rsid w:val="00EB618D"/>
    <w:rsid w:val="00EB6208"/>
    <w:rsid w:val="00EB666B"/>
    <w:rsid w:val="00EB66D5"/>
    <w:rsid w:val="00EB68C4"/>
    <w:rsid w:val="00EB6978"/>
    <w:rsid w:val="00EB6990"/>
    <w:rsid w:val="00EB69AB"/>
    <w:rsid w:val="00EB69D0"/>
    <w:rsid w:val="00EB6B55"/>
    <w:rsid w:val="00EB6D12"/>
    <w:rsid w:val="00EB6D6E"/>
    <w:rsid w:val="00EB7197"/>
    <w:rsid w:val="00EB73B3"/>
    <w:rsid w:val="00EB7686"/>
    <w:rsid w:val="00EB7C4C"/>
    <w:rsid w:val="00EB7DB0"/>
    <w:rsid w:val="00EB7EAD"/>
    <w:rsid w:val="00EB7FA5"/>
    <w:rsid w:val="00EC017B"/>
    <w:rsid w:val="00EC020A"/>
    <w:rsid w:val="00EC05D1"/>
    <w:rsid w:val="00EC0825"/>
    <w:rsid w:val="00EC08FA"/>
    <w:rsid w:val="00EC0930"/>
    <w:rsid w:val="00EC0DB2"/>
    <w:rsid w:val="00EC0FA0"/>
    <w:rsid w:val="00EC0FFE"/>
    <w:rsid w:val="00EC1182"/>
    <w:rsid w:val="00EC118D"/>
    <w:rsid w:val="00EC12EC"/>
    <w:rsid w:val="00EC1354"/>
    <w:rsid w:val="00EC1ACE"/>
    <w:rsid w:val="00EC1E88"/>
    <w:rsid w:val="00EC22D4"/>
    <w:rsid w:val="00EC25D8"/>
    <w:rsid w:val="00EC2892"/>
    <w:rsid w:val="00EC2B57"/>
    <w:rsid w:val="00EC2C83"/>
    <w:rsid w:val="00EC2EEC"/>
    <w:rsid w:val="00EC2FA3"/>
    <w:rsid w:val="00EC3301"/>
    <w:rsid w:val="00EC33D5"/>
    <w:rsid w:val="00EC35C3"/>
    <w:rsid w:val="00EC360C"/>
    <w:rsid w:val="00EC373E"/>
    <w:rsid w:val="00EC3E34"/>
    <w:rsid w:val="00EC3E7E"/>
    <w:rsid w:val="00EC3E9D"/>
    <w:rsid w:val="00EC41ED"/>
    <w:rsid w:val="00EC4394"/>
    <w:rsid w:val="00EC4485"/>
    <w:rsid w:val="00EC45B7"/>
    <w:rsid w:val="00EC4617"/>
    <w:rsid w:val="00EC4FC9"/>
    <w:rsid w:val="00EC51EF"/>
    <w:rsid w:val="00EC5283"/>
    <w:rsid w:val="00EC52CC"/>
    <w:rsid w:val="00EC5531"/>
    <w:rsid w:val="00EC55A6"/>
    <w:rsid w:val="00EC587A"/>
    <w:rsid w:val="00EC5A83"/>
    <w:rsid w:val="00EC5B16"/>
    <w:rsid w:val="00EC5C77"/>
    <w:rsid w:val="00EC5CB4"/>
    <w:rsid w:val="00EC6133"/>
    <w:rsid w:val="00EC6581"/>
    <w:rsid w:val="00EC667D"/>
    <w:rsid w:val="00EC67D7"/>
    <w:rsid w:val="00EC68B6"/>
    <w:rsid w:val="00EC6CBE"/>
    <w:rsid w:val="00EC6CE6"/>
    <w:rsid w:val="00EC6D34"/>
    <w:rsid w:val="00EC7105"/>
    <w:rsid w:val="00EC7148"/>
    <w:rsid w:val="00EC7174"/>
    <w:rsid w:val="00EC756A"/>
    <w:rsid w:val="00EC775A"/>
    <w:rsid w:val="00EC79DE"/>
    <w:rsid w:val="00EC7C57"/>
    <w:rsid w:val="00EC7CD7"/>
    <w:rsid w:val="00EC7CEB"/>
    <w:rsid w:val="00EC7DD0"/>
    <w:rsid w:val="00EC7F37"/>
    <w:rsid w:val="00ED00EB"/>
    <w:rsid w:val="00ED0209"/>
    <w:rsid w:val="00ED021C"/>
    <w:rsid w:val="00ED0289"/>
    <w:rsid w:val="00ED033D"/>
    <w:rsid w:val="00ED0502"/>
    <w:rsid w:val="00ED066F"/>
    <w:rsid w:val="00ED06F1"/>
    <w:rsid w:val="00ED0706"/>
    <w:rsid w:val="00ED08E6"/>
    <w:rsid w:val="00ED0AC1"/>
    <w:rsid w:val="00ED0BAA"/>
    <w:rsid w:val="00ED0D30"/>
    <w:rsid w:val="00ED0DFA"/>
    <w:rsid w:val="00ED154B"/>
    <w:rsid w:val="00ED1557"/>
    <w:rsid w:val="00ED15FB"/>
    <w:rsid w:val="00ED16B2"/>
    <w:rsid w:val="00ED16B3"/>
    <w:rsid w:val="00ED1743"/>
    <w:rsid w:val="00ED1AB8"/>
    <w:rsid w:val="00ED1C16"/>
    <w:rsid w:val="00ED1C28"/>
    <w:rsid w:val="00ED1F76"/>
    <w:rsid w:val="00ED1F8B"/>
    <w:rsid w:val="00ED237B"/>
    <w:rsid w:val="00ED23E9"/>
    <w:rsid w:val="00ED24B2"/>
    <w:rsid w:val="00ED2507"/>
    <w:rsid w:val="00ED2536"/>
    <w:rsid w:val="00ED25AD"/>
    <w:rsid w:val="00ED2631"/>
    <w:rsid w:val="00ED2B71"/>
    <w:rsid w:val="00ED2CBA"/>
    <w:rsid w:val="00ED2D5C"/>
    <w:rsid w:val="00ED2E5C"/>
    <w:rsid w:val="00ED2F01"/>
    <w:rsid w:val="00ED3071"/>
    <w:rsid w:val="00ED30A8"/>
    <w:rsid w:val="00ED30F8"/>
    <w:rsid w:val="00ED31FD"/>
    <w:rsid w:val="00ED333A"/>
    <w:rsid w:val="00ED34BF"/>
    <w:rsid w:val="00ED36C2"/>
    <w:rsid w:val="00ED39A3"/>
    <w:rsid w:val="00ED3CFB"/>
    <w:rsid w:val="00ED3D79"/>
    <w:rsid w:val="00ED3EA8"/>
    <w:rsid w:val="00ED41FA"/>
    <w:rsid w:val="00ED4339"/>
    <w:rsid w:val="00ED4B6B"/>
    <w:rsid w:val="00ED4C50"/>
    <w:rsid w:val="00ED4D35"/>
    <w:rsid w:val="00ED4E6A"/>
    <w:rsid w:val="00ED4F0E"/>
    <w:rsid w:val="00ED507A"/>
    <w:rsid w:val="00ED511C"/>
    <w:rsid w:val="00ED5155"/>
    <w:rsid w:val="00ED562A"/>
    <w:rsid w:val="00ED59AE"/>
    <w:rsid w:val="00ED5C52"/>
    <w:rsid w:val="00ED5E87"/>
    <w:rsid w:val="00ED5F5C"/>
    <w:rsid w:val="00ED6213"/>
    <w:rsid w:val="00ED62B7"/>
    <w:rsid w:val="00ED6937"/>
    <w:rsid w:val="00ED6995"/>
    <w:rsid w:val="00ED69DB"/>
    <w:rsid w:val="00ED6CCF"/>
    <w:rsid w:val="00ED71A2"/>
    <w:rsid w:val="00ED7210"/>
    <w:rsid w:val="00ED756E"/>
    <w:rsid w:val="00ED7631"/>
    <w:rsid w:val="00ED7C67"/>
    <w:rsid w:val="00EE00F7"/>
    <w:rsid w:val="00EE012D"/>
    <w:rsid w:val="00EE0258"/>
    <w:rsid w:val="00EE0272"/>
    <w:rsid w:val="00EE04D1"/>
    <w:rsid w:val="00EE0654"/>
    <w:rsid w:val="00EE071B"/>
    <w:rsid w:val="00EE0A89"/>
    <w:rsid w:val="00EE0AB7"/>
    <w:rsid w:val="00EE1150"/>
    <w:rsid w:val="00EE15B2"/>
    <w:rsid w:val="00EE1761"/>
    <w:rsid w:val="00EE197B"/>
    <w:rsid w:val="00EE1B14"/>
    <w:rsid w:val="00EE1F9E"/>
    <w:rsid w:val="00EE21AB"/>
    <w:rsid w:val="00EE22D5"/>
    <w:rsid w:val="00EE2362"/>
    <w:rsid w:val="00EE27AF"/>
    <w:rsid w:val="00EE2817"/>
    <w:rsid w:val="00EE29BF"/>
    <w:rsid w:val="00EE2A79"/>
    <w:rsid w:val="00EE2ADF"/>
    <w:rsid w:val="00EE2C94"/>
    <w:rsid w:val="00EE2CE9"/>
    <w:rsid w:val="00EE2D5C"/>
    <w:rsid w:val="00EE2E8A"/>
    <w:rsid w:val="00EE3167"/>
    <w:rsid w:val="00EE3452"/>
    <w:rsid w:val="00EE35B7"/>
    <w:rsid w:val="00EE3959"/>
    <w:rsid w:val="00EE3995"/>
    <w:rsid w:val="00EE3C80"/>
    <w:rsid w:val="00EE3F15"/>
    <w:rsid w:val="00EE3F41"/>
    <w:rsid w:val="00EE41C0"/>
    <w:rsid w:val="00EE46FC"/>
    <w:rsid w:val="00EE4705"/>
    <w:rsid w:val="00EE4794"/>
    <w:rsid w:val="00EE47A8"/>
    <w:rsid w:val="00EE4855"/>
    <w:rsid w:val="00EE4C98"/>
    <w:rsid w:val="00EE4F7D"/>
    <w:rsid w:val="00EE4F84"/>
    <w:rsid w:val="00EE53E1"/>
    <w:rsid w:val="00EE5474"/>
    <w:rsid w:val="00EE54F7"/>
    <w:rsid w:val="00EE5511"/>
    <w:rsid w:val="00EE567F"/>
    <w:rsid w:val="00EE58D7"/>
    <w:rsid w:val="00EE5D28"/>
    <w:rsid w:val="00EE5D88"/>
    <w:rsid w:val="00EE5FDB"/>
    <w:rsid w:val="00EE5FEE"/>
    <w:rsid w:val="00EE60C8"/>
    <w:rsid w:val="00EE6241"/>
    <w:rsid w:val="00EE63C8"/>
    <w:rsid w:val="00EE6731"/>
    <w:rsid w:val="00EE69E2"/>
    <w:rsid w:val="00EE6A05"/>
    <w:rsid w:val="00EE6DDD"/>
    <w:rsid w:val="00EE7099"/>
    <w:rsid w:val="00EE7304"/>
    <w:rsid w:val="00EE7435"/>
    <w:rsid w:val="00EE771A"/>
    <w:rsid w:val="00EE7735"/>
    <w:rsid w:val="00EE7C50"/>
    <w:rsid w:val="00EE7D6D"/>
    <w:rsid w:val="00EF0215"/>
    <w:rsid w:val="00EF03D2"/>
    <w:rsid w:val="00EF046A"/>
    <w:rsid w:val="00EF0D6C"/>
    <w:rsid w:val="00EF0E3F"/>
    <w:rsid w:val="00EF0EC9"/>
    <w:rsid w:val="00EF1202"/>
    <w:rsid w:val="00EF12CA"/>
    <w:rsid w:val="00EF146D"/>
    <w:rsid w:val="00EF1489"/>
    <w:rsid w:val="00EF15D1"/>
    <w:rsid w:val="00EF1774"/>
    <w:rsid w:val="00EF17F7"/>
    <w:rsid w:val="00EF180F"/>
    <w:rsid w:val="00EF1869"/>
    <w:rsid w:val="00EF1E0C"/>
    <w:rsid w:val="00EF1E40"/>
    <w:rsid w:val="00EF1E60"/>
    <w:rsid w:val="00EF206F"/>
    <w:rsid w:val="00EF20A4"/>
    <w:rsid w:val="00EF227E"/>
    <w:rsid w:val="00EF2294"/>
    <w:rsid w:val="00EF22A2"/>
    <w:rsid w:val="00EF22A8"/>
    <w:rsid w:val="00EF27D5"/>
    <w:rsid w:val="00EF27F3"/>
    <w:rsid w:val="00EF2A1B"/>
    <w:rsid w:val="00EF2B5D"/>
    <w:rsid w:val="00EF2BCD"/>
    <w:rsid w:val="00EF2F78"/>
    <w:rsid w:val="00EF3358"/>
    <w:rsid w:val="00EF351C"/>
    <w:rsid w:val="00EF35F1"/>
    <w:rsid w:val="00EF3AB4"/>
    <w:rsid w:val="00EF3C6F"/>
    <w:rsid w:val="00EF3C73"/>
    <w:rsid w:val="00EF3F6C"/>
    <w:rsid w:val="00EF405E"/>
    <w:rsid w:val="00EF410D"/>
    <w:rsid w:val="00EF414F"/>
    <w:rsid w:val="00EF41C3"/>
    <w:rsid w:val="00EF4757"/>
    <w:rsid w:val="00EF4814"/>
    <w:rsid w:val="00EF48A4"/>
    <w:rsid w:val="00EF4AB3"/>
    <w:rsid w:val="00EF4B72"/>
    <w:rsid w:val="00EF4CB6"/>
    <w:rsid w:val="00EF4CD9"/>
    <w:rsid w:val="00EF4F23"/>
    <w:rsid w:val="00EF4FD6"/>
    <w:rsid w:val="00EF50D1"/>
    <w:rsid w:val="00EF51DC"/>
    <w:rsid w:val="00EF5358"/>
    <w:rsid w:val="00EF543E"/>
    <w:rsid w:val="00EF56B6"/>
    <w:rsid w:val="00EF5847"/>
    <w:rsid w:val="00EF5F7F"/>
    <w:rsid w:val="00EF5FC1"/>
    <w:rsid w:val="00EF5FD4"/>
    <w:rsid w:val="00EF61A7"/>
    <w:rsid w:val="00EF61F5"/>
    <w:rsid w:val="00EF624A"/>
    <w:rsid w:val="00EF6444"/>
    <w:rsid w:val="00EF6468"/>
    <w:rsid w:val="00EF6697"/>
    <w:rsid w:val="00EF69B1"/>
    <w:rsid w:val="00EF6AA5"/>
    <w:rsid w:val="00EF6CC0"/>
    <w:rsid w:val="00EF6DA4"/>
    <w:rsid w:val="00EF6F84"/>
    <w:rsid w:val="00EF7436"/>
    <w:rsid w:val="00EF743C"/>
    <w:rsid w:val="00EF764F"/>
    <w:rsid w:val="00EF766A"/>
    <w:rsid w:val="00EF76F9"/>
    <w:rsid w:val="00EF799F"/>
    <w:rsid w:val="00EF7AA0"/>
    <w:rsid w:val="00EF7B46"/>
    <w:rsid w:val="00EF7D9C"/>
    <w:rsid w:val="00EF7E13"/>
    <w:rsid w:val="00F00154"/>
    <w:rsid w:val="00F00414"/>
    <w:rsid w:val="00F005F4"/>
    <w:rsid w:val="00F00602"/>
    <w:rsid w:val="00F00770"/>
    <w:rsid w:val="00F00861"/>
    <w:rsid w:val="00F00986"/>
    <w:rsid w:val="00F00B34"/>
    <w:rsid w:val="00F00C86"/>
    <w:rsid w:val="00F011F2"/>
    <w:rsid w:val="00F0129D"/>
    <w:rsid w:val="00F014B3"/>
    <w:rsid w:val="00F0173A"/>
    <w:rsid w:val="00F01993"/>
    <w:rsid w:val="00F01A65"/>
    <w:rsid w:val="00F01B58"/>
    <w:rsid w:val="00F01B8A"/>
    <w:rsid w:val="00F01D9A"/>
    <w:rsid w:val="00F01F76"/>
    <w:rsid w:val="00F0210F"/>
    <w:rsid w:val="00F021FB"/>
    <w:rsid w:val="00F02204"/>
    <w:rsid w:val="00F023D8"/>
    <w:rsid w:val="00F02630"/>
    <w:rsid w:val="00F028B8"/>
    <w:rsid w:val="00F02918"/>
    <w:rsid w:val="00F02967"/>
    <w:rsid w:val="00F02A29"/>
    <w:rsid w:val="00F02B81"/>
    <w:rsid w:val="00F02C16"/>
    <w:rsid w:val="00F02CC7"/>
    <w:rsid w:val="00F02D5B"/>
    <w:rsid w:val="00F02D5D"/>
    <w:rsid w:val="00F02D94"/>
    <w:rsid w:val="00F030D1"/>
    <w:rsid w:val="00F031B6"/>
    <w:rsid w:val="00F0362B"/>
    <w:rsid w:val="00F0385E"/>
    <w:rsid w:val="00F039C4"/>
    <w:rsid w:val="00F03A60"/>
    <w:rsid w:val="00F03CCC"/>
    <w:rsid w:val="00F03E25"/>
    <w:rsid w:val="00F04151"/>
    <w:rsid w:val="00F0444E"/>
    <w:rsid w:val="00F044CD"/>
    <w:rsid w:val="00F04501"/>
    <w:rsid w:val="00F045AF"/>
    <w:rsid w:val="00F045E2"/>
    <w:rsid w:val="00F0466D"/>
    <w:rsid w:val="00F04869"/>
    <w:rsid w:val="00F048D5"/>
    <w:rsid w:val="00F04A17"/>
    <w:rsid w:val="00F04B71"/>
    <w:rsid w:val="00F04DD9"/>
    <w:rsid w:val="00F04EAA"/>
    <w:rsid w:val="00F051C2"/>
    <w:rsid w:val="00F0541C"/>
    <w:rsid w:val="00F055E4"/>
    <w:rsid w:val="00F05B86"/>
    <w:rsid w:val="00F05BFB"/>
    <w:rsid w:val="00F05C35"/>
    <w:rsid w:val="00F0605F"/>
    <w:rsid w:val="00F0636C"/>
    <w:rsid w:val="00F066E3"/>
    <w:rsid w:val="00F06810"/>
    <w:rsid w:val="00F06A7B"/>
    <w:rsid w:val="00F0754F"/>
    <w:rsid w:val="00F07566"/>
    <w:rsid w:val="00F0766B"/>
    <w:rsid w:val="00F0767A"/>
    <w:rsid w:val="00F07792"/>
    <w:rsid w:val="00F077E5"/>
    <w:rsid w:val="00F07853"/>
    <w:rsid w:val="00F07BBC"/>
    <w:rsid w:val="00F10117"/>
    <w:rsid w:val="00F10576"/>
    <w:rsid w:val="00F107BC"/>
    <w:rsid w:val="00F10B1E"/>
    <w:rsid w:val="00F1111B"/>
    <w:rsid w:val="00F11386"/>
    <w:rsid w:val="00F11437"/>
    <w:rsid w:val="00F114AB"/>
    <w:rsid w:val="00F11684"/>
    <w:rsid w:val="00F11783"/>
    <w:rsid w:val="00F11BC8"/>
    <w:rsid w:val="00F11CBD"/>
    <w:rsid w:val="00F11DFA"/>
    <w:rsid w:val="00F11F99"/>
    <w:rsid w:val="00F12156"/>
    <w:rsid w:val="00F1247D"/>
    <w:rsid w:val="00F124A0"/>
    <w:rsid w:val="00F126D9"/>
    <w:rsid w:val="00F1290F"/>
    <w:rsid w:val="00F12A61"/>
    <w:rsid w:val="00F12B17"/>
    <w:rsid w:val="00F12B7C"/>
    <w:rsid w:val="00F131F8"/>
    <w:rsid w:val="00F1342B"/>
    <w:rsid w:val="00F135A8"/>
    <w:rsid w:val="00F13818"/>
    <w:rsid w:val="00F13A7D"/>
    <w:rsid w:val="00F13A87"/>
    <w:rsid w:val="00F13C80"/>
    <w:rsid w:val="00F13D3E"/>
    <w:rsid w:val="00F13D9A"/>
    <w:rsid w:val="00F13E1E"/>
    <w:rsid w:val="00F13EE4"/>
    <w:rsid w:val="00F14043"/>
    <w:rsid w:val="00F141CF"/>
    <w:rsid w:val="00F14264"/>
    <w:rsid w:val="00F14826"/>
    <w:rsid w:val="00F14932"/>
    <w:rsid w:val="00F14DFD"/>
    <w:rsid w:val="00F14FE2"/>
    <w:rsid w:val="00F152F0"/>
    <w:rsid w:val="00F15550"/>
    <w:rsid w:val="00F157BF"/>
    <w:rsid w:val="00F15965"/>
    <w:rsid w:val="00F159C4"/>
    <w:rsid w:val="00F15DDF"/>
    <w:rsid w:val="00F15E15"/>
    <w:rsid w:val="00F15EEC"/>
    <w:rsid w:val="00F16554"/>
    <w:rsid w:val="00F16B78"/>
    <w:rsid w:val="00F16BAC"/>
    <w:rsid w:val="00F16D3D"/>
    <w:rsid w:val="00F16EF9"/>
    <w:rsid w:val="00F16FF2"/>
    <w:rsid w:val="00F17184"/>
    <w:rsid w:val="00F171E5"/>
    <w:rsid w:val="00F1724F"/>
    <w:rsid w:val="00F1756D"/>
    <w:rsid w:val="00F17612"/>
    <w:rsid w:val="00F17673"/>
    <w:rsid w:val="00F17718"/>
    <w:rsid w:val="00F178CC"/>
    <w:rsid w:val="00F17BE0"/>
    <w:rsid w:val="00F17DD8"/>
    <w:rsid w:val="00F17E67"/>
    <w:rsid w:val="00F17EEE"/>
    <w:rsid w:val="00F17F32"/>
    <w:rsid w:val="00F2018B"/>
    <w:rsid w:val="00F2019B"/>
    <w:rsid w:val="00F2054D"/>
    <w:rsid w:val="00F205C8"/>
    <w:rsid w:val="00F205E5"/>
    <w:rsid w:val="00F2066F"/>
    <w:rsid w:val="00F20722"/>
    <w:rsid w:val="00F207BF"/>
    <w:rsid w:val="00F20A85"/>
    <w:rsid w:val="00F20AA5"/>
    <w:rsid w:val="00F20AC7"/>
    <w:rsid w:val="00F20E30"/>
    <w:rsid w:val="00F20F3E"/>
    <w:rsid w:val="00F20FC6"/>
    <w:rsid w:val="00F20FCF"/>
    <w:rsid w:val="00F21181"/>
    <w:rsid w:val="00F21422"/>
    <w:rsid w:val="00F2151B"/>
    <w:rsid w:val="00F21C62"/>
    <w:rsid w:val="00F21E9A"/>
    <w:rsid w:val="00F2215C"/>
    <w:rsid w:val="00F22328"/>
    <w:rsid w:val="00F2239F"/>
    <w:rsid w:val="00F22480"/>
    <w:rsid w:val="00F224E7"/>
    <w:rsid w:val="00F22529"/>
    <w:rsid w:val="00F22769"/>
    <w:rsid w:val="00F22898"/>
    <w:rsid w:val="00F22959"/>
    <w:rsid w:val="00F22987"/>
    <w:rsid w:val="00F22A83"/>
    <w:rsid w:val="00F22B15"/>
    <w:rsid w:val="00F22B57"/>
    <w:rsid w:val="00F22B76"/>
    <w:rsid w:val="00F22FD1"/>
    <w:rsid w:val="00F23123"/>
    <w:rsid w:val="00F23186"/>
    <w:rsid w:val="00F23211"/>
    <w:rsid w:val="00F232D8"/>
    <w:rsid w:val="00F2338E"/>
    <w:rsid w:val="00F23404"/>
    <w:rsid w:val="00F234FF"/>
    <w:rsid w:val="00F23A7F"/>
    <w:rsid w:val="00F23B34"/>
    <w:rsid w:val="00F23BC5"/>
    <w:rsid w:val="00F23C1C"/>
    <w:rsid w:val="00F23D45"/>
    <w:rsid w:val="00F244B5"/>
    <w:rsid w:val="00F246C0"/>
    <w:rsid w:val="00F2497F"/>
    <w:rsid w:val="00F24C27"/>
    <w:rsid w:val="00F24EA9"/>
    <w:rsid w:val="00F2510D"/>
    <w:rsid w:val="00F25195"/>
    <w:rsid w:val="00F2522C"/>
    <w:rsid w:val="00F2524C"/>
    <w:rsid w:val="00F253C0"/>
    <w:rsid w:val="00F25537"/>
    <w:rsid w:val="00F2564F"/>
    <w:rsid w:val="00F25752"/>
    <w:rsid w:val="00F25AEA"/>
    <w:rsid w:val="00F25B93"/>
    <w:rsid w:val="00F260F1"/>
    <w:rsid w:val="00F26108"/>
    <w:rsid w:val="00F26815"/>
    <w:rsid w:val="00F26892"/>
    <w:rsid w:val="00F26B35"/>
    <w:rsid w:val="00F26D01"/>
    <w:rsid w:val="00F26E07"/>
    <w:rsid w:val="00F26E4C"/>
    <w:rsid w:val="00F270CC"/>
    <w:rsid w:val="00F2723F"/>
    <w:rsid w:val="00F2727B"/>
    <w:rsid w:val="00F274C4"/>
    <w:rsid w:val="00F2753A"/>
    <w:rsid w:val="00F276A2"/>
    <w:rsid w:val="00F2781E"/>
    <w:rsid w:val="00F27CFB"/>
    <w:rsid w:val="00F27DBA"/>
    <w:rsid w:val="00F27E08"/>
    <w:rsid w:val="00F3059E"/>
    <w:rsid w:val="00F30820"/>
    <w:rsid w:val="00F3087F"/>
    <w:rsid w:val="00F30A9F"/>
    <w:rsid w:val="00F30ADB"/>
    <w:rsid w:val="00F30B7B"/>
    <w:rsid w:val="00F30DE6"/>
    <w:rsid w:val="00F30E7A"/>
    <w:rsid w:val="00F314BB"/>
    <w:rsid w:val="00F316E6"/>
    <w:rsid w:val="00F31775"/>
    <w:rsid w:val="00F31904"/>
    <w:rsid w:val="00F31BB5"/>
    <w:rsid w:val="00F31FA7"/>
    <w:rsid w:val="00F3246A"/>
    <w:rsid w:val="00F32489"/>
    <w:rsid w:val="00F32617"/>
    <w:rsid w:val="00F32782"/>
    <w:rsid w:val="00F3281E"/>
    <w:rsid w:val="00F329AA"/>
    <w:rsid w:val="00F32CB0"/>
    <w:rsid w:val="00F32D9F"/>
    <w:rsid w:val="00F32DFD"/>
    <w:rsid w:val="00F32F2D"/>
    <w:rsid w:val="00F32FC5"/>
    <w:rsid w:val="00F333A3"/>
    <w:rsid w:val="00F33498"/>
    <w:rsid w:val="00F336F5"/>
    <w:rsid w:val="00F3394B"/>
    <w:rsid w:val="00F3396F"/>
    <w:rsid w:val="00F3399C"/>
    <w:rsid w:val="00F33A08"/>
    <w:rsid w:val="00F33A9D"/>
    <w:rsid w:val="00F33C17"/>
    <w:rsid w:val="00F33D7A"/>
    <w:rsid w:val="00F341FE"/>
    <w:rsid w:val="00F34516"/>
    <w:rsid w:val="00F3472E"/>
    <w:rsid w:val="00F34790"/>
    <w:rsid w:val="00F347F6"/>
    <w:rsid w:val="00F3488E"/>
    <w:rsid w:val="00F3489F"/>
    <w:rsid w:val="00F34A13"/>
    <w:rsid w:val="00F34B5F"/>
    <w:rsid w:val="00F34C9C"/>
    <w:rsid w:val="00F34F86"/>
    <w:rsid w:val="00F3508A"/>
    <w:rsid w:val="00F351C3"/>
    <w:rsid w:val="00F358C5"/>
    <w:rsid w:val="00F35BEF"/>
    <w:rsid w:val="00F35F7C"/>
    <w:rsid w:val="00F364E7"/>
    <w:rsid w:val="00F3657D"/>
    <w:rsid w:val="00F3674E"/>
    <w:rsid w:val="00F3680D"/>
    <w:rsid w:val="00F3689C"/>
    <w:rsid w:val="00F368D1"/>
    <w:rsid w:val="00F36A51"/>
    <w:rsid w:val="00F36CA4"/>
    <w:rsid w:val="00F36D1F"/>
    <w:rsid w:val="00F374F6"/>
    <w:rsid w:val="00F37780"/>
    <w:rsid w:val="00F3785B"/>
    <w:rsid w:val="00F378D8"/>
    <w:rsid w:val="00F378E0"/>
    <w:rsid w:val="00F37D71"/>
    <w:rsid w:val="00F37E37"/>
    <w:rsid w:val="00F37E4F"/>
    <w:rsid w:val="00F40021"/>
    <w:rsid w:val="00F402CD"/>
    <w:rsid w:val="00F40A72"/>
    <w:rsid w:val="00F40B24"/>
    <w:rsid w:val="00F40C88"/>
    <w:rsid w:val="00F41176"/>
    <w:rsid w:val="00F411E5"/>
    <w:rsid w:val="00F41228"/>
    <w:rsid w:val="00F413B3"/>
    <w:rsid w:val="00F41406"/>
    <w:rsid w:val="00F41461"/>
    <w:rsid w:val="00F4153B"/>
    <w:rsid w:val="00F415BC"/>
    <w:rsid w:val="00F4161F"/>
    <w:rsid w:val="00F417E9"/>
    <w:rsid w:val="00F41B74"/>
    <w:rsid w:val="00F41C51"/>
    <w:rsid w:val="00F41CF3"/>
    <w:rsid w:val="00F41F39"/>
    <w:rsid w:val="00F41F9D"/>
    <w:rsid w:val="00F42282"/>
    <w:rsid w:val="00F422AE"/>
    <w:rsid w:val="00F424C6"/>
    <w:rsid w:val="00F42743"/>
    <w:rsid w:val="00F42AD9"/>
    <w:rsid w:val="00F42B30"/>
    <w:rsid w:val="00F433E1"/>
    <w:rsid w:val="00F43595"/>
    <w:rsid w:val="00F43637"/>
    <w:rsid w:val="00F43694"/>
    <w:rsid w:val="00F43C33"/>
    <w:rsid w:val="00F43C7F"/>
    <w:rsid w:val="00F43DF5"/>
    <w:rsid w:val="00F43F52"/>
    <w:rsid w:val="00F44032"/>
    <w:rsid w:val="00F44070"/>
    <w:rsid w:val="00F4429F"/>
    <w:rsid w:val="00F4445C"/>
    <w:rsid w:val="00F4447E"/>
    <w:rsid w:val="00F444BA"/>
    <w:rsid w:val="00F44641"/>
    <w:rsid w:val="00F44653"/>
    <w:rsid w:val="00F44747"/>
    <w:rsid w:val="00F449A9"/>
    <w:rsid w:val="00F44C01"/>
    <w:rsid w:val="00F44C3D"/>
    <w:rsid w:val="00F44C9F"/>
    <w:rsid w:val="00F44D80"/>
    <w:rsid w:val="00F44E08"/>
    <w:rsid w:val="00F44F74"/>
    <w:rsid w:val="00F4501A"/>
    <w:rsid w:val="00F45257"/>
    <w:rsid w:val="00F45263"/>
    <w:rsid w:val="00F452E7"/>
    <w:rsid w:val="00F45789"/>
    <w:rsid w:val="00F457C6"/>
    <w:rsid w:val="00F4586D"/>
    <w:rsid w:val="00F45B49"/>
    <w:rsid w:val="00F45C4C"/>
    <w:rsid w:val="00F45E99"/>
    <w:rsid w:val="00F4603F"/>
    <w:rsid w:val="00F461D9"/>
    <w:rsid w:val="00F46309"/>
    <w:rsid w:val="00F4635B"/>
    <w:rsid w:val="00F468A9"/>
    <w:rsid w:val="00F46942"/>
    <w:rsid w:val="00F46976"/>
    <w:rsid w:val="00F46D65"/>
    <w:rsid w:val="00F47019"/>
    <w:rsid w:val="00F47798"/>
    <w:rsid w:val="00F47B5E"/>
    <w:rsid w:val="00F47C88"/>
    <w:rsid w:val="00F47D12"/>
    <w:rsid w:val="00F47DA3"/>
    <w:rsid w:val="00F47DF2"/>
    <w:rsid w:val="00F47F6C"/>
    <w:rsid w:val="00F500FA"/>
    <w:rsid w:val="00F502DC"/>
    <w:rsid w:val="00F50564"/>
    <w:rsid w:val="00F50A98"/>
    <w:rsid w:val="00F50C12"/>
    <w:rsid w:val="00F50F15"/>
    <w:rsid w:val="00F5100A"/>
    <w:rsid w:val="00F51060"/>
    <w:rsid w:val="00F512BA"/>
    <w:rsid w:val="00F514C4"/>
    <w:rsid w:val="00F515AB"/>
    <w:rsid w:val="00F5162C"/>
    <w:rsid w:val="00F518F8"/>
    <w:rsid w:val="00F51982"/>
    <w:rsid w:val="00F519C2"/>
    <w:rsid w:val="00F51A2E"/>
    <w:rsid w:val="00F51C1F"/>
    <w:rsid w:val="00F51D13"/>
    <w:rsid w:val="00F51D8F"/>
    <w:rsid w:val="00F52217"/>
    <w:rsid w:val="00F52681"/>
    <w:rsid w:val="00F527F2"/>
    <w:rsid w:val="00F5288F"/>
    <w:rsid w:val="00F528F8"/>
    <w:rsid w:val="00F529E7"/>
    <w:rsid w:val="00F52A51"/>
    <w:rsid w:val="00F52A6C"/>
    <w:rsid w:val="00F52A9B"/>
    <w:rsid w:val="00F52BB0"/>
    <w:rsid w:val="00F53079"/>
    <w:rsid w:val="00F530A4"/>
    <w:rsid w:val="00F531F7"/>
    <w:rsid w:val="00F53399"/>
    <w:rsid w:val="00F53567"/>
    <w:rsid w:val="00F53798"/>
    <w:rsid w:val="00F53A24"/>
    <w:rsid w:val="00F53BEA"/>
    <w:rsid w:val="00F53E9F"/>
    <w:rsid w:val="00F54044"/>
    <w:rsid w:val="00F5411E"/>
    <w:rsid w:val="00F5453F"/>
    <w:rsid w:val="00F5460A"/>
    <w:rsid w:val="00F546B1"/>
    <w:rsid w:val="00F54761"/>
    <w:rsid w:val="00F547B6"/>
    <w:rsid w:val="00F547E6"/>
    <w:rsid w:val="00F548CB"/>
    <w:rsid w:val="00F548D7"/>
    <w:rsid w:val="00F54B59"/>
    <w:rsid w:val="00F54BB8"/>
    <w:rsid w:val="00F54C2A"/>
    <w:rsid w:val="00F54E2F"/>
    <w:rsid w:val="00F552E3"/>
    <w:rsid w:val="00F55309"/>
    <w:rsid w:val="00F5567C"/>
    <w:rsid w:val="00F557C0"/>
    <w:rsid w:val="00F55B1D"/>
    <w:rsid w:val="00F55CED"/>
    <w:rsid w:val="00F55D73"/>
    <w:rsid w:val="00F560F1"/>
    <w:rsid w:val="00F56280"/>
    <w:rsid w:val="00F562D2"/>
    <w:rsid w:val="00F56899"/>
    <w:rsid w:val="00F56A6E"/>
    <w:rsid w:val="00F56E41"/>
    <w:rsid w:val="00F56F87"/>
    <w:rsid w:val="00F57032"/>
    <w:rsid w:val="00F57054"/>
    <w:rsid w:val="00F57777"/>
    <w:rsid w:val="00F5796C"/>
    <w:rsid w:val="00F57B19"/>
    <w:rsid w:val="00F57BFF"/>
    <w:rsid w:val="00F600D1"/>
    <w:rsid w:val="00F60194"/>
    <w:rsid w:val="00F601BB"/>
    <w:rsid w:val="00F602C2"/>
    <w:rsid w:val="00F6032C"/>
    <w:rsid w:val="00F606BD"/>
    <w:rsid w:val="00F608D9"/>
    <w:rsid w:val="00F60A6C"/>
    <w:rsid w:val="00F60C11"/>
    <w:rsid w:val="00F60DFA"/>
    <w:rsid w:val="00F60E1B"/>
    <w:rsid w:val="00F60E64"/>
    <w:rsid w:val="00F61209"/>
    <w:rsid w:val="00F61216"/>
    <w:rsid w:val="00F61225"/>
    <w:rsid w:val="00F6155C"/>
    <w:rsid w:val="00F61707"/>
    <w:rsid w:val="00F61831"/>
    <w:rsid w:val="00F61985"/>
    <w:rsid w:val="00F6198B"/>
    <w:rsid w:val="00F61ED2"/>
    <w:rsid w:val="00F61F0B"/>
    <w:rsid w:val="00F6212C"/>
    <w:rsid w:val="00F62544"/>
    <w:rsid w:val="00F62609"/>
    <w:rsid w:val="00F6264B"/>
    <w:rsid w:val="00F62743"/>
    <w:rsid w:val="00F6307A"/>
    <w:rsid w:val="00F630F8"/>
    <w:rsid w:val="00F63282"/>
    <w:rsid w:val="00F63305"/>
    <w:rsid w:val="00F63410"/>
    <w:rsid w:val="00F634D5"/>
    <w:rsid w:val="00F635B1"/>
    <w:rsid w:val="00F63921"/>
    <w:rsid w:val="00F63BA6"/>
    <w:rsid w:val="00F63C88"/>
    <w:rsid w:val="00F63C9D"/>
    <w:rsid w:val="00F63F17"/>
    <w:rsid w:val="00F642D8"/>
    <w:rsid w:val="00F6444C"/>
    <w:rsid w:val="00F64664"/>
    <w:rsid w:val="00F64728"/>
    <w:rsid w:val="00F64735"/>
    <w:rsid w:val="00F64903"/>
    <w:rsid w:val="00F64CF5"/>
    <w:rsid w:val="00F64EAD"/>
    <w:rsid w:val="00F65270"/>
    <w:rsid w:val="00F6552F"/>
    <w:rsid w:val="00F6586B"/>
    <w:rsid w:val="00F65D15"/>
    <w:rsid w:val="00F65E06"/>
    <w:rsid w:val="00F66039"/>
    <w:rsid w:val="00F660A6"/>
    <w:rsid w:val="00F660C8"/>
    <w:rsid w:val="00F6621B"/>
    <w:rsid w:val="00F66295"/>
    <w:rsid w:val="00F662B2"/>
    <w:rsid w:val="00F6630F"/>
    <w:rsid w:val="00F665B5"/>
    <w:rsid w:val="00F66E13"/>
    <w:rsid w:val="00F67061"/>
    <w:rsid w:val="00F67345"/>
    <w:rsid w:val="00F67526"/>
    <w:rsid w:val="00F67572"/>
    <w:rsid w:val="00F67605"/>
    <w:rsid w:val="00F676B4"/>
    <w:rsid w:val="00F676C8"/>
    <w:rsid w:val="00F6772B"/>
    <w:rsid w:val="00F67AF9"/>
    <w:rsid w:val="00F67D5D"/>
    <w:rsid w:val="00F67DDA"/>
    <w:rsid w:val="00F67FB9"/>
    <w:rsid w:val="00F700D2"/>
    <w:rsid w:val="00F70205"/>
    <w:rsid w:val="00F70337"/>
    <w:rsid w:val="00F705A2"/>
    <w:rsid w:val="00F705D2"/>
    <w:rsid w:val="00F709EE"/>
    <w:rsid w:val="00F70B14"/>
    <w:rsid w:val="00F70B5F"/>
    <w:rsid w:val="00F70EA5"/>
    <w:rsid w:val="00F70F7D"/>
    <w:rsid w:val="00F710A9"/>
    <w:rsid w:val="00F710BC"/>
    <w:rsid w:val="00F710FF"/>
    <w:rsid w:val="00F712D3"/>
    <w:rsid w:val="00F714BC"/>
    <w:rsid w:val="00F7158A"/>
    <w:rsid w:val="00F716D0"/>
    <w:rsid w:val="00F7187E"/>
    <w:rsid w:val="00F71D64"/>
    <w:rsid w:val="00F71D97"/>
    <w:rsid w:val="00F71F18"/>
    <w:rsid w:val="00F721D7"/>
    <w:rsid w:val="00F721E7"/>
    <w:rsid w:val="00F72243"/>
    <w:rsid w:val="00F72325"/>
    <w:rsid w:val="00F725DE"/>
    <w:rsid w:val="00F726EF"/>
    <w:rsid w:val="00F7287A"/>
    <w:rsid w:val="00F72A1A"/>
    <w:rsid w:val="00F72B61"/>
    <w:rsid w:val="00F72B6B"/>
    <w:rsid w:val="00F72BAA"/>
    <w:rsid w:val="00F72BD3"/>
    <w:rsid w:val="00F72C5A"/>
    <w:rsid w:val="00F72E32"/>
    <w:rsid w:val="00F72E9C"/>
    <w:rsid w:val="00F72EA1"/>
    <w:rsid w:val="00F7300C"/>
    <w:rsid w:val="00F73466"/>
    <w:rsid w:val="00F735DF"/>
    <w:rsid w:val="00F735FA"/>
    <w:rsid w:val="00F736FD"/>
    <w:rsid w:val="00F7372B"/>
    <w:rsid w:val="00F73A5B"/>
    <w:rsid w:val="00F73A77"/>
    <w:rsid w:val="00F73B5C"/>
    <w:rsid w:val="00F73DBD"/>
    <w:rsid w:val="00F7443B"/>
    <w:rsid w:val="00F747A0"/>
    <w:rsid w:val="00F74A08"/>
    <w:rsid w:val="00F74F6E"/>
    <w:rsid w:val="00F75420"/>
    <w:rsid w:val="00F755CB"/>
    <w:rsid w:val="00F75629"/>
    <w:rsid w:val="00F757A0"/>
    <w:rsid w:val="00F7585D"/>
    <w:rsid w:val="00F75CF8"/>
    <w:rsid w:val="00F75E21"/>
    <w:rsid w:val="00F75E33"/>
    <w:rsid w:val="00F75E97"/>
    <w:rsid w:val="00F75F47"/>
    <w:rsid w:val="00F760B6"/>
    <w:rsid w:val="00F76710"/>
    <w:rsid w:val="00F76711"/>
    <w:rsid w:val="00F76863"/>
    <w:rsid w:val="00F7686D"/>
    <w:rsid w:val="00F768C3"/>
    <w:rsid w:val="00F76AC5"/>
    <w:rsid w:val="00F76D01"/>
    <w:rsid w:val="00F76F06"/>
    <w:rsid w:val="00F7728D"/>
    <w:rsid w:val="00F7731A"/>
    <w:rsid w:val="00F7735D"/>
    <w:rsid w:val="00F77434"/>
    <w:rsid w:val="00F77520"/>
    <w:rsid w:val="00F777AF"/>
    <w:rsid w:val="00F779BA"/>
    <w:rsid w:val="00F779E5"/>
    <w:rsid w:val="00F77D9C"/>
    <w:rsid w:val="00F77DD5"/>
    <w:rsid w:val="00F77FB5"/>
    <w:rsid w:val="00F804D6"/>
    <w:rsid w:val="00F80F56"/>
    <w:rsid w:val="00F81333"/>
    <w:rsid w:val="00F815B0"/>
    <w:rsid w:val="00F81603"/>
    <w:rsid w:val="00F817F1"/>
    <w:rsid w:val="00F81956"/>
    <w:rsid w:val="00F81B6E"/>
    <w:rsid w:val="00F822B8"/>
    <w:rsid w:val="00F824F3"/>
    <w:rsid w:val="00F82509"/>
    <w:rsid w:val="00F829F9"/>
    <w:rsid w:val="00F8324C"/>
    <w:rsid w:val="00F835EC"/>
    <w:rsid w:val="00F83603"/>
    <w:rsid w:val="00F836C1"/>
    <w:rsid w:val="00F836D7"/>
    <w:rsid w:val="00F83CEF"/>
    <w:rsid w:val="00F83FC2"/>
    <w:rsid w:val="00F84029"/>
    <w:rsid w:val="00F8407B"/>
    <w:rsid w:val="00F8421E"/>
    <w:rsid w:val="00F842A7"/>
    <w:rsid w:val="00F84336"/>
    <w:rsid w:val="00F8458D"/>
    <w:rsid w:val="00F84682"/>
    <w:rsid w:val="00F8492E"/>
    <w:rsid w:val="00F84986"/>
    <w:rsid w:val="00F849AB"/>
    <w:rsid w:val="00F84D23"/>
    <w:rsid w:val="00F84E90"/>
    <w:rsid w:val="00F84F74"/>
    <w:rsid w:val="00F84FE8"/>
    <w:rsid w:val="00F85123"/>
    <w:rsid w:val="00F85179"/>
    <w:rsid w:val="00F85200"/>
    <w:rsid w:val="00F856A9"/>
    <w:rsid w:val="00F8586A"/>
    <w:rsid w:val="00F858B0"/>
    <w:rsid w:val="00F85EA3"/>
    <w:rsid w:val="00F861EF"/>
    <w:rsid w:val="00F863FB"/>
    <w:rsid w:val="00F86698"/>
    <w:rsid w:val="00F86861"/>
    <w:rsid w:val="00F86877"/>
    <w:rsid w:val="00F86CEE"/>
    <w:rsid w:val="00F86D8E"/>
    <w:rsid w:val="00F86E7D"/>
    <w:rsid w:val="00F86F58"/>
    <w:rsid w:val="00F8703B"/>
    <w:rsid w:val="00F87071"/>
    <w:rsid w:val="00F8755C"/>
    <w:rsid w:val="00F8759D"/>
    <w:rsid w:val="00F876BF"/>
    <w:rsid w:val="00F87783"/>
    <w:rsid w:val="00F9012F"/>
    <w:rsid w:val="00F90281"/>
    <w:rsid w:val="00F90358"/>
    <w:rsid w:val="00F903A3"/>
    <w:rsid w:val="00F90477"/>
    <w:rsid w:val="00F9086A"/>
    <w:rsid w:val="00F909EF"/>
    <w:rsid w:val="00F90E32"/>
    <w:rsid w:val="00F912C4"/>
    <w:rsid w:val="00F913AA"/>
    <w:rsid w:val="00F915DF"/>
    <w:rsid w:val="00F9169E"/>
    <w:rsid w:val="00F91BE7"/>
    <w:rsid w:val="00F91F10"/>
    <w:rsid w:val="00F92026"/>
    <w:rsid w:val="00F9213E"/>
    <w:rsid w:val="00F921A0"/>
    <w:rsid w:val="00F9257B"/>
    <w:rsid w:val="00F92585"/>
    <w:rsid w:val="00F92588"/>
    <w:rsid w:val="00F92633"/>
    <w:rsid w:val="00F927D8"/>
    <w:rsid w:val="00F929C0"/>
    <w:rsid w:val="00F92CAF"/>
    <w:rsid w:val="00F92D9F"/>
    <w:rsid w:val="00F92E55"/>
    <w:rsid w:val="00F93228"/>
    <w:rsid w:val="00F9373B"/>
    <w:rsid w:val="00F93758"/>
    <w:rsid w:val="00F938A4"/>
    <w:rsid w:val="00F93B7C"/>
    <w:rsid w:val="00F93C1A"/>
    <w:rsid w:val="00F93CC1"/>
    <w:rsid w:val="00F93F49"/>
    <w:rsid w:val="00F943B3"/>
    <w:rsid w:val="00F94496"/>
    <w:rsid w:val="00F944AA"/>
    <w:rsid w:val="00F9476F"/>
    <w:rsid w:val="00F947AC"/>
    <w:rsid w:val="00F94B34"/>
    <w:rsid w:val="00F94B5B"/>
    <w:rsid w:val="00F94BE5"/>
    <w:rsid w:val="00F94C53"/>
    <w:rsid w:val="00F94D28"/>
    <w:rsid w:val="00F94E5B"/>
    <w:rsid w:val="00F94F5C"/>
    <w:rsid w:val="00F9508E"/>
    <w:rsid w:val="00F95258"/>
    <w:rsid w:val="00F95393"/>
    <w:rsid w:val="00F9549B"/>
    <w:rsid w:val="00F954B0"/>
    <w:rsid w:val="00F955BA"/>
    <w:rsid w:val="00F9596A"/>
    <w:rsid w:val="00F95CA6"/>
    <w:rsid w:val="00F96458"/>
    <w:rsid w:val="00F964BA"/>
    <w:rsid w:val="00F96509"/>
    <w:rsid w:val="00F96582"/>
    <w:rsid w:val="00F96586"/>
    <w:rsid w:val="00F96656"/>
    <w:rsid w:val="00F969CB"/>
    <w:rsid w:val="00F96B44"/>
    <w:rsid w:val="00F96BDB"/>
    <w:rsid w:val="00F96D6E"/>
    <w:rsid w:val="00F96DCC"/>
    <w:rsid w:val="00F9714A"/>
    <w:rsid w:val="00F9763A"/>
    <w:rsid w:val="00F978AD"/>
    <w:rsid w:val="00F97EDC"/>
    <w:rsid w:val="00FA0046"/>
    <w:rsid w:val="00FA010B"/>
    <w:rsid w:val="00FA03A9"/>
    <w:rsid w:val="00FA0569"/>
    <w:rsid w:val="00FA0706"/>
    <w:rsid w:val="00FA078D"/>
    <w:rsid w:val="00FA0AEB"/>
    <w:rsid w:val="00FA0C51"/>
    <w:rsid w:val="00FA103D"/>
    <w:rsid w:val="00FA1086"/>
    <w:rsid w:val="00FA1351"/>
    <w:rsid w:val="00FA13B3"/>
    <w:rsid w:val="00FA1535"/>
    <w:rsid w:val="00FA1C1C"/>
    <w:rsid w:val="00FA1DA1"/>
    <w:rsid w:val="00FA1F56"/>
    <w:rsid w:val="00FA1FFE"/>
    <w:rsid w:val="00FA2480"/>
    <w:rsid w:val="00FA272B"/>
    <w:rsid w:val="00FA2B19"/>
    <w:rsid w:val="00FA2CCC"/>
    <w:rsid w:val="00FA2CCD"/>
    <w:rsid w:val="00FA2D82"/>
    <w:rsid w:val="00FA31EA"/>
    <w:rsid w:val="00FA37F2"/>
    <w:rsid w:val="00FA3885"/>
    <w:rsid w:val="00FA3C95"/>
    <w:rsid w:val="00FA3D74"/>
    <w:rsid w:val="00FA4020"/>
    <w:rsid w:val="00FA430C"/>
    <w:rsid w:val="00FA43D0"/>
    <w:rsid w:val="00FA43E4"/>
    <w:rsid w:val="00FA43FD"/>
    <w:rsid w:val="00FA4778"/>
    <w:rsid w:val="00FA47BB"/>
    <w:rsid w:val="00FA492D"/>
    <w:rsid w:val="00FA499B"/>
    <w:rsid w:val="00FA49C7"/>
    <w:rsid w:val="00FA49D7"/>
    <w:rsid w:val="00FA4AB9"/>
    <w:rsid w:val="00FA4BB1"/>
    <w:rsid w:val="00FA4C93"/>
    <w:rsid w:val="00FA4D11"/>
    <w:rsid w:val="00FA4E97"/>
    <w:rsid w:val="00FA5148"/>
    <w:rsid w:val="00FA53D5"/>
    <w:rsid w:val="00FA5761"/>
    <w:rsid w:val="00FA5785"/>
    <w:rsid w:val="00FA5861"/>
    <w:rsid w:val="00FA588F"/>
    <w:rsid w:val="00FA58C6"/>
    <w:rsid w:val="00FA5938"/>
    <w:rsid w:val="00FA5968"/>
    <w:rsid w:val="00FA5A4A"/>
    <w:rsid w:val="00FA5B82"/>
    <w:rsid w:val="00FA5DDE"/>
    <w:rsid w:val="00FA5F1D"/>
    <w:rsid w:val="00FA60FC"/>
    <w:rsid w:val="00FA62CA"/>
    <w:rsid w:val="00FA6418"/>
    <w:rsid w:val="00FA6468"/>
    <w:rsid w:val="00FA64C3"/>
    <w:rsid w:val="00FA6512"/>
    <w:rsid w:val="00FA68C7"/>
    <w:rsid w:val="00FA69D2"/>
    <w:rsid w:val="00FA6D49"/>
    <w:rsid w:val="00FA6DC8"/>
    <w:rsid w:val="00FA6EF6"/>
    <w:rsid w:val="00FA70EB"/>
    <w:rsid w:val="00FA7238"/>
    <w:rsid w:val="00FA727B"/>
    <w:rsid w:val="00FA74D4"/>
    <w:rsid w:val="00FA79AB"/>
    <w:rsid w:val="00FA7A39"/>
    <w:rsid w:val="00FA7A77"/>
    <w:rsid w:val="00FA7BF2"/>
    <w:rsid w:val="00FA7BF9"/>
    <w:rsid w:val="00FA7CAB"/>
    <w:rsid w:val="00FA7CB8"/>
    <w:rsid w:val="00FB00F1"/>
    <w:rsid w:val="00FB0294"/>
    <w:rsid w:val="00FB02F5"/>
    <w:rsid w:val="00FB05D3"/>
    <w:rsid w:val="00FB093B"/>
    <w:rsid w:val="00FB0C5F"/>
    <w:rsid w:val="00FB0D03"/>
    <w:rsid w:val="00FB0E9A"/>
    <w:rsid w:val="00FB106D"/>
    <w:rsid w:val="00FB1343"/>
    <w:rsid w:val="00FB1358"/>
    <w:rsid w:val="00FB14EC"/>
    <w:rsid w:val="00FB1543"/>
    <w:rsid w:val="00FB1971"/>
    <w:rsid w:val="00FB19E4"/>
    <w:rsid w:val="00FB1AFD"/>
    <w:rsid w:val="00FB1BBA"/>
    <w:rsid w:val="00FB1D80"/>
    <w:rsid w:val="00FB21A2"/>
    <w:rsid w:val="00FB254A"/>
    <w:rsid w:val="00FB25A3"/>
    <w:rsid w:val="00FB26BC"/>
    <w:rsid w:val="00FB2818"/>
    <w:rsid w:val="00FB29E2"/>
    <w:rsid w:val="00FB2C87"/>
    <w:rsid w:val="00FB2D45"/>
    <w:rsid w:val="00FB2DEA"/>
    <w:rsid w:val="00FB2FF6"/>
    <w:rsid w:val="00FB304C"/>
    <w:rsid w:val="00FB320B"/>
    <w:rsid w:val="00FB3840"/>
    <w:rsid w:val="00FB38E4"/>
    <w:rsid w:val="00FB3974"/>
    <w:rsid w:val="00FB3A8E"/>
    <w:rsid w:val="00FB3D45"/>
    <w:rsid w:val="00FB401E"/>
    <w:rsid w:val="00FB4179"/>
    <w:rsid w:val="00FB42D1"/>
    <w:rsid w:val="00FB42F8"/>
    <w:rsid w:val="00FB448E"/>
    <w:rsid w:val="00FB44B5"/>
    <w:rsid w:val="00FB481E"/>
    <w:rsid w:val="00FB4983"/>
    <w:rsid w:val="00FB4A0A"/>
    <w:rsid w:val="00FB4AD6"/>
    <w:rsid w:val="00FB4B69"/>
    <w:rsid w:val="00FB5112"/>
    <w:rsid w:val="00FB5468"/>
    <w:rsid w:val="00FB5475"/>
    <w:rsid w:val="00FB585C"/>
    <w:rsid w:val="00FB5964"/>
    <w:rsid w:val="00FB5B2E"/>
    <w:rsid w:val="00FB5CC3"/>
    <w:rsid w:val="00FB6293"/>
    <w:rsid w:val="00FB62C0"/>
    <w:rsid w:val="00FB6320"/>
    <w:rsid w:val="00FB6496"/>
    <w:rsid w:val="00FB6557"/>
    <w:rsid w:val="00FB6597"/>
    <w:rsid w:val="00FB6618"/>
    <w:rsid w:val="00FB6876"/>
    <w:rsid w:val="00FB6A76"/>
    <w:rsid w:val="00FB6B57"/>
    <w:rsid w:val="00FB6E53"/>
    <w:rsid w:val="00FB6EAC"/>
    <w:rsid w:val="00FB6F6E"/>
    <w:rsid w:val="00FB738B"/>
    <w:rsid w:val="00FB7463"/>
    <w:rsid w:val="00FB7927"/>
    <w:rsid w:val="00FB7AD1"/>
    <w:rsid w:val="00FB7FD0"/>
    <w:rsid w:val="00FC04D5"/>
    <w:rsid w:val="00FC050C"/>
    <w:rsid w:val="00FC0683"/>
    <w:rsid w:val="00FC0A27"/>
    <w:rsid w:val="00FC0AFF"/>
    <w:rsid w:val="00FC121B"/>
    <w:rsid w:val="00FC1276"/>
    <w:rsid w:val="00FC128C"/>
    <w:rsid w:val="00FC13BC"/>
    <w:rsid w:val="00FC17D4"/>
    <w:rsid w:val="00FC1899"/>
    <w:rsid w:val="00FC18B3"/>
    <w:rsid w:val="00FC1DA2"/>
    <w:rsid w:val="00FC252A"/>
    <w:rsid w:val="00FC25FC"/>
    <w:rsid w:val="00FC2C16"/>
    <w:rsid w:val="00FC2C86"/>
    <w:rsid w:val="00FC2D61"/>
    <w:rsid w:val="00FC2E2D"/>
    <w:rsid w:val="00FC3000"/>
    <w:rsid w:val="00FC3214"/>
    <w:rsid w:val="00FC322A"/>
    <w:rsid w:val="00FC338A"/>
    <w:rsid w:val="00FC35B4"/>
    <w:rsid w:val="00FC35BF"/>
    <w:rsid w:val="00FC35DC"/>
    <w:rsid w:val="00FC35F1"/>
    <w:rsid w:val="00FC3742"/>
    <w:rsid w:val="00FC3D1C"/>
    <w:rsid w:val="00FC3DFF"/>
    <w:rsid w:val="00FC42C6"/>
    <w:rsid w:val="00FC433D"/>
    <w:rsid w:val="00FC444A"/>
    <w:rsid w:val="00FC45D7"/>
    <w:rsid w:val="00FC47B5"/>
    <w:rsid w:val="00FC4836"/>
    <w:rsid w:val="00FC4B43"/>
    <w:rsid w:val="00FC4B95"/>
    <w:rsid w:val="00FC4E0B"/>
    <w:rsid w:val="00FC5459"/>
    <w:rsid w:val="00FC5464"/>
    <w:rsid w:val="00FC5476"/>
    <w:rsid w:val="00FC5493"/>
    <w:rsid w:val="00FC54A1"/>
    <w:rsid w:val="00FC5654"/>
    <w:rsid w:val="00FC57A0"/>
    <w:rsid w:val="00FC5920"/>
    <w:rsid w:val="00FC5BB8"/>
    <w:rsid w:val="00FC5C0D"/>
    <w:rsid w:val="00FC5EE7"/>
    <w:rsid w:val="00FC62C3"/>
    <w:rsid w:val="00FC63B0"/>
    <w:rsid w:val="00FC6429"/>
    <w:rsid w:val="00FC642D"/>
    <w:rsid w:val="00FC657B"/>
    <w:rsid w:val="00FC68B2"/>
    <w:rsid w:val="00FC6F91"/>
    <w:rsid w:val="00FC70A2"/>
    <w:rsid w:val="00FC72EE"/>
    <w:rsid w:val="00FC73DD"/>
    <w:rsid w:val="00FC7678"/>
    <w:rsid w:val="00FC76BE"/>
    <w:rsid w:val="00FC7796"/>
    <w:rsid w:val="00FC7B34"/>
    <w:rsid w:val="00FC7BB3"/>
    <w:rsid w:val="00FC7BCE"/>
    <w:rsid w:val="00FC7CCD"/>
    <w:rsid w:val="00FC7CF9"/>
    <w:rsid w:val="00FC7DC5"/>
    <w:rsid w:val="00FD0000"/>
    <w:rsid w:val="00FD0605"/>
    <w:rsid w:val="00FD0625"/>
    <w:rsid w:val="00FD075C"/>
    <w:rsid w:val="00FD07A1"/>
    <w:rsid w:val="00FD0991"/>
    <w:rsid w:val="00FD0D1E"/>
    <w:rsid w:val="00FD11D9"/>
    <w:rsid w:val="00FD12E8"/>
    <w:rsid w:val="00FD1410"/>
    <w:rsid w:val="00FD153D"/>
    <w:rsid w:val="00FD159A"/>
    <w:rsid w:val="00FD187C"/>
    <w:rsid w:val="00FD1AD6"/>
    <w:rsid w:val="00FD1DDD"/>
    <w:rsid w:val="00FD1F57"/>
    <w:rsid w:val="00FD1F70"/>
    <w:rsid w:val="00FD201D"/>
    <w:rsid w:val="00FD205C"/>
    <w:rsid w:val="00FD2135"/>
    <w:rsid w:val="00FD2479"/>
    <w:rsid w:val="00FD2747"/>
    <w:rsid w:val="00FD298F"/>
    <w:rsid w:val="00FD2ABF"/>
    <w:rsid w:val="00FD2CEC"/>
    <w:rsid w:val="00FD32B7"/>
    <w:rsid w:val="00FD34F4"/>
    <w:rsid w:val="00FD35E6"/>
    <w:rsid w:val="00FD35EC"/>
    <w:rsid w:val="00FD3A62"/>
    <w:rsid w:val="00FD3ABA"/>
    <w:rsid w:val="00FD3AE9"/>
    <w:rsid w:val="00FD3C2D"/>
    <w:rsid w:val="00FD3C47"/>
    <w:rsid w:val="00FD3CF5"/>
    <w:rsid w:val="00FD3E54"/>
    <w:rsid w:val="00FD3EDA"/>
    <w:rsid w:val="00FD40D9"/>
    <w:rsid w:val="00FD439D"/>
    <w:rsid w:val="00FD43BD"/>
    <w:rsid w:val="00FD4C61"/>
    <w:rsid w:val="00FD4CFE"/>
    <w:rsid w:val="00FD5060"/>
    <w:rsid w:val="00FD53AC"/>
    <w:rsid w:val="00FD548B"/>
    <w:rsid w:val="00FD59B5"/>
    <w:rsid w:val="00FD5A20"/>
    <w:rsid w:val="00FD6033"/>
    <w:rsid w:val="00FD607F"/>
    <w:rsid w:val="00FD60B2"/>
    <w:rsid w:val="00FD6347"/>
    <w:rsid w:val="00FD64B5"/>
    <w:rsid w:val="00FD674B"/>
    <w:rsid w:val="00FD67FA"/>
    <w:rsid w:val="00FD7BD4"/>
    <w:rsid w:val="00FD7E62"/>
    <w:rsid w:val="00FD7F2F"/>
    <w:rsid w:val="00FE0462"/>
    <w:rsid w:val="00FE059B"/>
    <w:rsid w:val="00FE06E2"/>
    <w:rsid w:val="00FE0B49"/>
    <w:rsid w:val="00FE0B58"/>
    <w:rsid w:val="00FE0DE7"/>
    <w:rsid w:val="00FE0ED5"/>
    <w:rsid w:val="00FE0F76"/>
    <w:rsid w:val="00FE115E"/>
    <w:rsid w:val="00FE1437"/>
    <w:rsid w:val="00FE1ABF"/>
    <w:rsid w:val="00FE1AFA"/>
    <w:rsid w:val="00FE1E10"/>
    <w:rsid w:val="00FE1E6A"/>
    <w:rsid w:val="00FE1E8B"/>
    <w:rsid w:val="00FE1FC7"/>
    <w:rsid w:val="00FE205C"/>
    <w:rsid w:val="00FE205D"/>
    <w:rsid w:val="00FE208B"/>
    <w:rsid w:val="00FE234D"/>
    <w:rsid w:val="00FE25C6"/>
    <w:rsid w:val="00FE275B"/>
    <w:rsid w:val="00FE2AC4"/>
    <w:rsid w:val="00FE2E2E"/>
    <w:rsid w:val="00FE2E41"/>
    <w:rsid w:val="00FE33D4"/>
    <w:rsid w:val="00FE34A9"/>
    <w:rsid w:val="00FE364F"/>
    <w:rsid w:val="00FE384F"/>
    <w:rsid w:val="00FE3966"/>
    <w:rsid w:val="00FE39F3"/>
    <w:rsid w:val="00FE3CDD"/>
    <w:rsid w:val="00FE3DCC"/>
    <w:rsid w:val="00FE3EA8"/>
    <w:rsid w:val="00FE3FE2"/>
    <w:rsid w:val="00FE4145"/>
    <w:rsid w:val="00FE4258"/>
    <w:rsid w:val="00FE4407"/>
    <w:rsid w:val="00FE46D0"/>
    <w:rsid w:val="00FE4803"/>
    <w:rsid w:val="00FE4956"/>
    <w:rsid w:val="00FE4973"/>
    <w:rsid w:val="00FE4BC5"/>
    <w:rsid w:val="00FE4C97"/>
    <w:rsid w:val="00FE4E75"/>
    <w:rsid w:val="00FE4E99"/>
    <w:rsid w:val="00FE4F3C"/>
    <w:rsid w:val="00FE4F71"/>
    <w:rsid w:val="00FE5092"/>
    <w:rsid w:val="00FE517D"/>
    <w:rsid w:val="00FE52CB"/>
    <w:rsid w:val="00FE5854"/>
    <w:rsid w:val="00FE5B08"/>
    <w:rsid w:val="00FE5D29"/>
    <w:rsid w:val="00FE6390"/>
    <w:rsid w:val="00FE63F0"/>
    <w:rsid w:val="00FE6886"/>
    <w:rsid w:val="00FE68B7"/>
    <w:rsid w:val="00FE6A57"/>
    <w:rsid w:val="00FE6D6E"/>
    <w:rsid w:val="00FE6EB7"/>
    <w:rsid w:val="00FE729E"/>
    <w:rsid w:val="00FE72E7"/>
    <w:rsid w:val="00FE73F3"/>
    <w:rsid w:val="00FE767E"/>
    <w:rsid w:val="00FE769F"/>
    <w:rsid w:val="00FE79DC"/>
    <w:rsid w:val="00FE7C64"/>
    <w:rsid w:val="00FE7DC4"/>
    <w:rsid w:val="00FE7E24"/>
    <w:rsid w:val="00FF0146"/>
    <w:rsid w:val="00FF02F0"/>
    <w:rsid w:val="00FF06AD"/>
    <w:rsid w:val="00FF0846"/>
    <w:rsid w:val="00FF08A4"/>
    <w:rsid w:val="00FF0949"/>
    <w:rsid w:val="00FF0C00"/>
    <w:rsid w:val="00FF0C8B"/>
    <w:rsid w:val="00FF0DA0"/>
    <w:rsid w:val="00FF0FF4"/>
    <w:rsid w:val="00FF109F"/>
    <w:rsid w:val="00FF140C"/>
    <w:rsid w:val="00FF164C"/>
    <w:rsid w:val="00FF169A"/>
    <w:rsid w:val="00FF1A0A"/>
    <w:rsid w:val="00FF1B23"/>
    <w:rsid w:val="00FF1D1C"/>
    <w:rsid w:val="00FF1DFF"/>
    <w:rsid w:val="00FF2054"/>
    <w:rsid w:val="00FF216B"/>
    <w:rsid w:val="00FF2379"/>
    <w:rsid w:val="00FF2444"/>
    <w:rsid w:val="00FF2665"/>
    <w:rsid w:val="00FF2A27"/>
    <w:rsid w:val="00FF2D6B"/>
    <w:rsid w:val="00FF2E2D"/>
    <w:rsid w:val="00FF2E65"/>
    <w:rsid w:val="00FF2E7D"/>
    <w:rsid w:val="00FF320D"/>
    <w:rsid w:val="00FF325B"/>
    <w:rsid w:val="00FF33ED"/>
    <w:rsid w:val="00FF369A"/>
    <w:rsid w:val="00FF36CC"/>
    <w:rsid w:val="00FF3868"/>
    <w:rsid w:val="00FF38A0"/>
    <w:rsid w:val="00FF38A6"/>
    <w:rsid w:val="00FF38B4"/>
    <w:rsid w:val="00FF396E"/>
    <w:rsid w:val="00FF3A09"/>
    <w:rsid w:val="00FF436A"/>
    <w:rsid w:val="00FF44CC"/>
    <w:rsid w:val="00FF50C5"/>
    <w:rsid w:val="00FF5167"/>
    <w:rsid w:val="00FF51EA"/>
    <w:rsid w:val="00FF529F"/>
    <w:rsid w:val="00FF55BC"/>
    <w:rsid w:val="00FF5664"/>
    <w:rsid w:val="00FF56BD"/>
    <w:rsid w:val="00FF5814"/>
    <w:rsid w:val="00FF661F"/>
    <w:rsid w:val="00FF6641"/>
    <w:rsid w:val="00FF6891"/>
    <w:rsid w:val="00FF6C80"/>
    <w:rsid w:val="00FF6F02"/>
    <w:rsid w:val="00FF7041"/>
    <w:rsid w:val="00FF7123"/>
    <w:rsid w:val="00FF7380"/>
    <w:rsid w:val="00FF7477"/>
    <w:rsid w:val="00FF75E6"/>
    <w:rsid w:val="00FF76E9"/>
    <w:rsid w:val="00FF799B"/>
    <w:rsid w:val="00FF7A83"/>
    <w:rsid w:val="00FF7B32"/>
    <w:rsid w:val="00FF7C0C"/>
    <w:rsid w:val="00FF7C39"/>
    <w:rsid w:val="00FF7E12"/>
    <w:rsid w:val="00FF7E8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590722">
      <o:colormenu v:ext="edit" fillcolor="none" strokecolor="none [1]" shadowcolor="none [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uiPriority="99"/>
    <w:lsdException w:name="index 2" w:uiPriority="99"/>
    <w:lsdException w:name="index 3"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able of figures"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it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1126D4"/>
    <w:pPr>
      <w:tabs>
        <w:tab w:val="left" w:pos="397"/>
        <w:tab w:val="left" w:pos="567"/>
        <w:tab w:val="left" w:pos="851"/>
        <w:tab w:val="left" w:pos="1134"/>
        <w:tab w:val="left" w:pos="1418"/>
      </w:tabs>
      <w:ind w:firstLine="397"/>
      <w:jc w:val="both"/>
    </w:pPr>
    <w:rPr>
      <w:rFonts w:ascii="OrigGarmnd BT" w:eastAsia="Lucida Sans Unicode" w:hAnsi="OrigGarmnd BT" w:cs="Tahoma"/>
      <w:szCs w:val="24"/>
    </w:rPr>
  </w:style>
  <w:style w:type="paragraph" w:styleId="berschrift1">
    <w:name w:val="heading 1"/>
    <w:basedOn w:val="Standard"/>
    <w:next w:val="Standard"/>
    <w:qFormat/>
    <w:rsid w:val="007F4805"/>
    <w:pPr>
      <w:keepNext/>
      <w:spacing w:before="240"/>
      <w:outlineLvl w:val="0"/>
    </w:pPr>
    <w:rPr>
      <w:rFonts w:ascii="Arial" w:hAnsi="Arial" w:cs="Arial"/>
      <w:b/>
      <w:bCs/>
      <w:kern w:val="32"/>
      <w:sz w:val="32"/>
      <w:szCs w:val="32"/>
    </w:rPr>
  </w:style>
  <w:style w:type="paragraph" w:styleId="berschrift2">
    <w:name w:val="heading 2"/>
    <w:basedOn w:val="Standard"/>
    <w:next w:val="Standard"/>
    <w:qFormat/>
    <w:rsid w:val="007F4805"/>
    <w:pPr>
      <w:keepNext/>
      <w:spacing w:before="240"/>
      <w:outlineLvl w:val="1"/>
    </w:pPr>
    <w:rPr>
      <w:rFonts w:ascii="Arial" w:hAnsi="Arial" w:cs="Arial"/>
      <w:b/>
      <w:bCs/>
      <w:i/>
      <w:iCs/>
      <w:sz w:val="28"/>
      <w:szCs w:val="28"/>
    </w:rPr>
  </w:style>
  <w:style w:type="paragraph" w:styleId="berschrift3">
    <w:name w:val="heading 3"/>
    <w:basedOn w:val="Standard"/>
    <w:next w:val="Standard"/>
    <w:qFormat/>
    <w:rsid w:val="007F4805"/>
    <w:pPr>
      <w:keepNext/>
      <w:spacing w:before="240"/>
      <w:outlineLvl w:val="2"/>
    </w:pPr>
    <w:rPr>
      <w:rFonts w:ascii="Arial" w:hAnsi="Arial" w:cs="Arial"/>
      <w:b/>
      <w:bCs/>
      <w:sz w:val="26"/>
      <w:szCs w:val="26"/>
    </w:rPr>
  </w:style>
  <w:style w:type="paragraph" w:styleId="berschrift4">
    <w:name w:val="heading 4"/>
    <w:basedOn w:val="Standard"/>
    <w:next w:val="Standard"/>
    <w:qFormat/>
    <w:rsid w:val="007F4805"/>
    <w:pPr>
      <w:keepNext/>
      <w:spacing w:before="240"/>
      <w:outlineLvl w:val="3"/>
    </w:pPr>
    <w:rPr>
      <w:rFonts w:cs="Times New Roman"/>
      <w:b/>
      <w:bCs/>
      <w:sz w:val="28"/>
      <w:szCs w:val="28"/>
    </w:rPr>
  </w:style>
  <w:style w:type="paragraph" w:styleId="berschrift5">
    <w:name w:val="heading 5"/>
    <w:basedOn w:val="Standard"/>
    <w:next w:val="Standard"/>
    <w:qFormat/>
    <w:rsid w:val="007F4805"/>
    <w:pPr>
      <w:spacing w:before="240"/>
      <w:outlineLvl w:val="4"/>
    </w:pPr>
    <w:rPr>
      <w:b/>
      <w:bCs/>
      <w:i/>
      <w:iCs/>
      <w:sz w:val="26"/>
      <w:szCs w:val="26"/>
    </w:rPr>
  </w:style>
  <w:style w:type="paragraph" w:styleId="berschrift6">
    <w:name w:val="heading 6"/>
    <w:basedOn w:val="Standard"/>
    <w:next w:val="Standard"/>
    <w:qFormat/>
    <w:rsid w:val="007F4805"/>
    <w:pPr>
      <w:spacing w:before="240"/>
      <w:outlineLvl w:val="5"/>
    </w:pPr>
    <w:rPr>
      <w:rFonts w:cs="Times New Roman"/>
      <w:b/>
      <w:bCs/>
      <w:sz w:val="22"/>
      <w:szCs w:val="22"/>
    </w:rPr>
  </w:style>
  <w:style w:type="paragraph" w:styleId="berschrift7">
    <w:name w:val="heading 7"/>
    <w:basedOn w:val="Standard"/>
    <w:next w:val="Standard"/>
    <w:link w:val="berschrift7Zchn"/>
    <w:unhideWhenUsed/>
    <w:qFormat/>
    <w:rsid w:val="00E13E9B"/>
    <w:pPr>
      <w:keepNext/>
      <w:keepLines/>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qFormat/>
    <w:rsid w:val="00CF6655"/>
    <w:pPr>
      <w:widowControl w:val="0"/>
      <w:tabs>
        <w:tab w:val="clear" w:pos="397"/>
        <w:tab w:val="clear" w:pos="567"/>
        <w:tab w:val="clear" w:pos="851"/>
        <w:tab w:val="clear" w:pos="1134"/>
        <w:tab w:val="clear" w:pos="1418"/>
      </w:tabs>
      <w:suppressAutoHyphens/>
      <w:spacing w:before="240" w:after="60"/>
      <w:ind w:firstLine="0"/>
      <w:jc w:val="left"/>
      <w:outlineLvl w:val="7"/>
    </w:pPr>
    <w:rPr>
      <w:rFonts w:ascii="Times New Roman" w:hAnsi="Times New Roman" w:cs="Times New Roman"/>
      <w:i/>
      <w:iCs/>
      <w:sz w:val="24"/>
    </w:rPr>
  </w:style>
  <w:style w:type="paragraph" w:styleId="berschrift9">
    <w:name w:val="heading 9"/>
    <w:basedOn w:val="Standard"/>
    <w:next w:val="Standard"/>
    <w:link w:val="berschrift9Zchn"/>
    <w:qFormat/>
    <w:rsid w:val="00CF6655"/>
    <w:pPr>
      <w:widowControl w:val="0"/>
      <w:tabs>
        <w:tab w:val="clear" w:pos="397"/>
        <w:tab w:val="clear" w:pos="567"/>
        <w:tab w:val="clear" w:pos="851"/>
        <w:tab w:val="clear" w:pos="1134"/>
        <w:tab w:val="clear" w:pos="1418"/>
      </w:tabs>
      <w:suppressAutoHyphens/>
      <w:spacing w:before="240" w:after="60"/>
      <w:ind w:firstLine="0"/>
      <w:jc w:val="left"/>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unotenzeichen">
    <w:name w:val="footnote reference"/>
    <w:semiHidden/>
    <w:rsid w:val="007F4805"/>
    <w:rPr>
      <w:vertAlign w:val="superscript"/>
    </w:rPr>
  </w:style>
  <w:style w:type="character" w:styleId="Endnotenzeichen">
    <w:name w:val="endnote reference"/>
    <w:semiHidden/>
    <w:rsid w:val="007F4805"/>
  </w:style>
  <w:style w:type="paragraph" w:styleId="Textkrper">
    <w:name w:val="Body Text"/>
    <w:basedOn w:val="Standard"/>
    <w:rsid w:val="007F4805"/>
    <w:pPr>
      <w:spacing w:after="120"/>
    </w:pPr>
  </w:style>
  <w:style w:type="paragraph" w:customStyle="1" w:styleId="berschrift">
    <w:name w:val="Überschrift"/>
    <w:basedOn w:val="Standard"/>
    <w:next w:val="Textkrper"/>
    <w:rsid w:val="007F4805"/>
    <w:pPr>
      <w:keepNext/>
      <w:spacing w:before="240" w:after="120"/>
    </w:pPr>
    <w:rPr>
      <w:rFonts w:ascii="Arial" w:hAnsi="Arial"/>
      <w:sz w:val="28"/>
      <w:szCs w:val="28"/>
    </w:rPr>
  </w:style>
  <w:style w:type="paragraph" w:styleId="Liste">
    <w:name w:val="List"/>
    <w:basedOn w:val="Textkrper"/>
    <w:rsid w:val="007F4805"/>
  </w:style>
  <w:style w:type="paragraph" w:styleId="Fuzeile">
    <w:name w:val="footer"/>
    <w:basedOn w:val="Standard"/>
    <w:link w:val="FuzeileZchn"/>
    <w:uiPriority w:val="99"/>
    <w:rsid w:val="007F4805"/>
    <w:pPr>
      <w:suppressLineNumbers/>
      <w:tabs>
        <w:tab w:val="center" w:pos="4818"/>
        <w:tab w:val="right" w:pos="9637"/>
      </w:tabs>
    </w:pPr>
  </w:style>
  <w:style w:type="paragraph" w:customStyle="1" w:styleId="TabellenInhalt">
    <w:name w:val="Tabellen Inhalt"/>
    <w:basedOn w:val="Textkrper"/>
    <w:rsid w:val="007F4805"/>
    <w:pPr>
      <w:suppressLineNumbers/>
    </w:pPr>
  </w:style>
  <w:style w:type="paragraph" w:customStyle="1" w:styleId="Tabellenberschrift">
    <w:name w:val="Tabellen Überschrift"/>
    <w:basedOn w:val="TabellenInhalt"/>
    <w:rsid w:val="007F4805"/>
    <w:pPr>
      <w:jc w:val="center"/>
    </w:pPr>
    <w:rPr>
      <w:b/>
      <w:bCs/>
      <w:i/>
      <w:iCs/>
    </w:rPr>
  </w:style>
  <w:style w:type="paragraph" w:styleId="Beschriftung">
    <w:name w:val="caption"/>
    <w:basedOn w:val="Standard"/>
    <w:qFormat/>
    <w:rsid w:val="00894888"/>
    <w:pPr>
      <w:suppressLineNumbers/>
      <w:tabs>
        <w:tab w:val="clear" w:pos="567"/>
        <w:tab w:val="left" w:pos="680"/>
      </w:tabs>
      <w:spacing w:before="240" w:after="240"/>
      <w:ind w:left="680" w:hanging="680"/>
    </w:pPr>
    <w:rPr>
      <w:iCs/>
      <w:sz w:val="18"/>
      <w:szCs w:val="20"/>
    </w:rPr>
  </w:style>
  <w:style w:type="paragraph" w:customStyle="1" w:styleId="Text">
    <w:name w:val="Text"/>
    <w:basedOn w:val="Standard"/>
    <w:rsid w:val="00D461CD"/>
    <w:pPr>
      <w:autoSpaceDE w:val="0"/>
    </w:pPr>
    <w:rPr>
      <w:color w:val="000000"/>
    </w:rPr>
  </w:style>
  <w:style w:type="paragraph" w:customStyle="1" w:styleId="Rahmeninhalt">
    <w:name w:val="Rahmeninhalt"/>
    <w:basedOn w:val="Textkrper"/>
    <w:rsid w:val="007F4805"/>
  </w:style>
  <w:style w:type="paragraph" w:styleId="Funotentext">
    <w:name w:val="footnote text"/>
    <w:basedOn w:val="Text"/>
    <w:next w:val="Text"/>
    <w:link w:val="FunotentextZchn"/>
    <w:semiHidden/>
    <w:rsid w:val="001126D4"/>
    <w:pPr>
      <w:tabs>
        <w:tab w:val="clear" w:pos="567"/>
        <w:tab w:val="clear" w:pos="851"/>
        <w:tab w:val="left" w:pos="737"/>
      </w:tabs>
      <w:ind w:left="397" w:hanging="397"/>
    </w:pPr>
    <w:rPr>
      <w:sz w:val="17"/>
      <w:szCs w:val="20"/>
    </w:rPr>
  </w:style>
  <w:style w:type="paragraph" w:customStyle="1" w:styleId="Verzeichnis">
    <w:name w:val="Verzeichnis"/>
    <w:basedOn w:val="Standard"/>
    <w:rsid w:val="007F4805"/>
    <w:pPr>
      <w:suppressLineNumbers/>
      <w:tabs>
        <w:tab w:val="right" w:pos="9639"/>
      </w:tabs>
    </w:pPr>
  </w:style>
  <w:style w:type="paragraph" w:customStyle="1" w:styleId="Inhaltsverzeichnisberschrift">
    <w:name w:val="Inhaltsverzeichnis Überschrift"/>
    <w:basedOn w:val="berschrift"/>
    <w:rsid w:val="007F4805"/>
    <w:pPr>
      <w:suppressLineNumbers/>
    </w:pPr>
    <w:rPr>
      <w:b/>
      <w:bCs/>
      <w:sz w:val="32"/>
      <w:szCs w:val="32"/>
    </w:rPr>
  </w:style>
  <w:style w:type="paragraph" w:styleId="Verzeichnis1">
    <w:name w:val="toc 1"/>
    <w:basedOn w:val="Verzeichnis"/>
    <w:uiPriority w:val="39"/>
    <w:qFormat/>
    <w:rsid w:val="00B82749"/>
    <w:pPr>
      <w:tabs>
        <w:tab w:val="clear" w:pos="567"/>
        <w:tab w:val="clear" w:pos="851"/>
        <w:tab w:val="clear" w:pos="1134"/>
        <w:tab w:val="clear" w:pos="1418"/>
        <w:tab w:val="clear" w:pos="9639"/>
        <w:tab w:val="right" w:pos="6804"/>
      </w:tabs>
      <w:spacing w:before="240" w:after="140"/>
      <w:ind w:firstLine="0"/>
      <w:jc w:val="left"/>
    </w:pPr>
    <w:rPr>
      <w:sz w:val="22"/>
    </w:rPr>
  </w:style>
  <w:style w:type="paragraph" w:styleId="Verzeichnis2">
    <w:name w:val="toc 2"/>
    <w:basedOn w:val="Verzeichnis"/>
    <w:uiPriority w:val="39"/>
    <w:qFormat/>
    <w:rsid w:val="00B82749"/>
    <w:pPr>
      <w:tabs>
        <w:tab w:val="clear" w:pos="851"/>
        <w:tab w:val="clear" w:pos="9639"/>
        <w:tab w:val="left" w:pos="765"/>
        <w:tab w:val="right" w:pos="6804"/>
        <w:tab w:val="right" w:pos="9923"/>
      </w:tabs>
      <w:spacing w:before="70" w:after="70"/>
      <w:ind w:left="340" w:firstLine="0"/>
      <w:jc w:val="left"/>
    </w:pPr>
  </w:style>
  <w:style w:type="paragraph" w:styleId="Verzeichnis3">
    <w:name w:val="toc 3"/>
    <w:basedOn w:val="Verzeichnis"/>
    <w:uiPriority w:val="39"/>
    <w:qFormat/>
    <w:rsid w:val="00B82749"/>
    <w:pPr>
      <w:tabs>
        <w:tab w:val="clear" w:pos="851"/>
        <w:tab w:val="clear" w:pos="1134"/>
        <w:tab w:val="clear" w:pos="9639"/>
        <w:tab w:val="left" w:pos="765"/>
        <w:tab w:val="left" w:pos="1021"/>
        <w:tab w:val="left" w:pos="1304"/>
        <w:tab w:val="right" w:pos="6804"/>
        <w:tab w:val="right" w:pos="9752"/>
      </w:tabs>
      <w:spacing w:before="70" w:after="70"/>
      <w:ind w:left="1304" w:hanging="539"/>
      <w:jc w:val="left"/>
    </w:pPr>
  </w:style>
  <w:style w:type="paragraph" w:styleId="Verzeichnis4">
    <w:name w:val="toc 4"/>
    <w:basedOn w:val="Verzeichnis"/>
    <w:uiPriority w:val="39"/>
    <w:rsid w:val="00B82749"/>
    <w:pPr>
      <w:tabs>
        <w:tab w:val="clear" w:pos="9639"/>
        <w:tab w:val="right" w:pos="6804"/>
        <w:tab w:val="right" w:pos="9809"/>
      </w:tabs>
      <w:spacing w:before="70" w:after="70"/>
      <w:ind w:left="1984" w:hanging="680"/>
      <w:jc w:val="left"/>
    </w:pPr>
  </w:style>
  <w:style w:type="paragraph" w:styleId="Verzeichnis5">
    <w:name w:val="toc 5"/>
    <w:basedOn w:val="Verzeichnis"/>
    <w:uiPriority w:val="39"/>
    <w:rsid w:val="00B82749"/>
    <w:pPr>
      <w:tabs>
        <w:tab w:val="clear" w:pos="9639"/>
        <w:tab w:val="left" w:pos="1701"/>
        <w:tab w:val="right" w:pos="6804"/>
        <w:tab w:val="right" w:leader="dot" w:pos="9867"/>
      </w:tabs>
      <w:spacing w:before="70" w:after="70"/>
      <w:ind w:left="2836" w:hanging="851"/>
      <w:jc w:val="left"/>
    </w:pPr>
  </w:style>
  <w:style w:type="paragraph" w:styleId="Verzeichnis6">
    <w:name w:val="toc 6"/>
    <w:basedOn w:val="Verzeichnis"/>
    <w:uiPriority w:val="39"/>
    <w:rsid w:val="00B82749"/>
    <w:pPr>
      <w:tabs>
        <w:tab w:val="right" w:pos="6804"/>
        <w:tab w:val="right" w:leader="dot" w:pos="9924"/>
      </w:tabs>
      <w:spacing w:before="70" w:after="70"/>
      <w:ind w:left="1701" w:firstLine="0"/>
      <w:jc w:val="left"/>
    </w:pPr>
  </w:style>
  <w:style w:type="paragraph" w:styleId="Verzeichnis7">
    <w:name w:val="toc 7"/>
    <w:basedOn w:val="Verzeichnis"/>
    <w:uiPriority w:val="39"/>
    <w:rsid w:val="008A3F5A"/>
    <w:pPr>
      <w:tabs>
        <w:tab w:val="clear" w:pos="9639"/>
        <w:tab w:val="right" w:leader="dot" w:pos="9638"/>
      </w:tabs>
      <w:spacing w:after="113"/>
      <w:ind w:left="1695" w:firstLine="0"/>
      <w:jc w:val="left"/>
    </w:pPr>
  </w:style>
  <w:style w:type="paragraph" w:styleId="Verzeichnis8">
    <w:name w:val="toc 8"/>
    <w:basedOn w:val="Verzeichnis"/>
    <w:uiPriority w:val="39"/>
    <w:rsid w:val="008A3F5A"/>
    <w:pPr>
      <w:tabs>
        <w:tab w:val="clear" w:pos="9639"/>
        <w:tab w:val="right" w:leader="dot" w:pos="9638"/>
      </w:tabs>
      <w:spacing w:after="113"/>
      <w:ind w:left="1979" w:firstLine="0"/>
      <w:jc w:val="left"/>
    </w:pPr>
  </w:style>
  <w:style w:type="paragraph" w:styleId="Verzeichnis9">
    <w:name w:val="toc 9"/>
    <w:basedOn w:val="Verzeichnis"/>
    <w:uiPriority w:val="39"/>
    <w:rsid w:val="008A3F5A"/>
    <w:pPr>
      <w:tabs>
        <w:tab w:val="clear" w:pos="9639"/>
        <w:tab w:val="right" w:leader="dot" w:pos="9638"/>
      </w:tabs>
      <w:spacing w:after="113"/>
      <w:ind w:left="2262" w:firstLine="0"/>
      <w:jc w:val="left"/>
    </w:pPr>
  </w:style>
  <w:style w:type="paragraph" w:customStyle="1" w:styleId="Inhaltsverzeichnis10">
    <w:name w:val="Inhaltsverzeichnis 10"/>
    <w:basedOn w:val="Verzeichnis"/>
    <w:rsid w:val="007F4805"/>
    <w:pPr>
      <w:tabs>
        <w:tab w:val="clear" w:pos="9639"/>
        <w:tab w:val="right" w:leader="dot" w:pos="9638"/>
      </w:tabs>
      <w:spacing w:after="113"/>
      <w:ind w:left="2547"/>
    </w:pPr>
  </w:style>
  <w:style w:type="paragraph" w:styleId="Titel">
    <w:name w:val="Title"/>
    <w:basedOn w:val="TitelohneNummer"/>
    <w:next w:val="Titel2"/>
    <w:qFormat/>
    <w:rsid w:val="00AB2803"/>
    <w:pPr>
      <w:numPr>
        <w:numId w:val="1"/>
      </w:numPr>
      <w:suppressAutoHyphens/>
      <w:spacing w:before="800"/>
      <w:ind w:left="431" w:hanging="431"/>
    </w:pPr>
  </w:style>
  <w:style w:type="paragraph" w:customStyle="1" w:styleId="Titel2">
    <w:name w:val="Titel 2"/>
    <w:basedOn w:val="Text"/>
    <w:next w:val="Text"/>
    <w:rsid w:val="00AB2803"/>
    <w:pPr>
      <w:keepNext/>
      <w:keepLines/>
      <w:numPr>
        <w:ilvl w:val="1"/>
        <w:numId w:val="1"/>
      </w:numPr>
      <w:tabs>
        <w:tab w:val="clear" w:pos="397"/>
        <w:tab w:val="clear" w:pos="567"/>
        <w:tab w:val="clear" w:pos="851"/>
        <w:tab w:val="left" w:pos="624"/>
      </w:tabs>
      <w:suppressAutoHyphens/>
      <w:spacing w:before="400" w:after="240"/>
      <w:ind w:left="578" w:hanging="578"/>
      <w:jc w:val="center"/>
      <w:outlineLvl w:val="1"/>
    </w:pPr>
    <w:rPr>
      <w:iCs/>
      <w:sz w:val="29"/>
      <w:szCs w:val="30"/>
    </w:rPr>
  </w:style>
  <w:style w:type="paragraph" w:styleId="Untertitel">
    <w:name w:val="Subtitle"/>
    <w:basedOn w:val="berschrift"/>
    <w:next w:val="Textkrper"/>
    <w:qFormat/>
    <w:rsid w:val="007F4805"/>
    <w:pPr>
      <w:jc w:val="center"/>
    </w:pPr>
    <w:rPr>
      <w:i/>
      <w:iCs/>
    </w:rPr>
  </w:style>
  <w:style w:type="paragraph" w:customStyle="1" w:styleId="Zitat">
    <w:name w:val="Zitat"/>
    <w:basedOn w:val="Text"/>
    <w:next w:val="Text"/>
    <w:rsid w:val="00F1290F"/>
    <w:pPr>
      <w:spacing w:before="180" w:after="180"/>
      <w:ind w:left="397" w:right="397" w:firstLine="0"/>
    </w:pPr>
    <w:rPr>
      <w:sz w:val="18"/>
    </w:rPr>
  </w:style>
  <w:style w:type="paragraph" w:customStyle="1" w:styleId="TextAbstand">
    <w:name w:val="Text Abstand"/>
    <w:basedOn w:val="Text"/>
    <w:next w:val="Text"/>
    <w:rsid w:val="007F4805"/>
    <w:pPr>
      <w:spacing w:after="283"/>
    </w:pPr>
  </w:style>
  <w:style w:type="paragraph" w:customStyle="1" w:styleId="Markierung-">
    <w:name w:val="Markierung -"/>
    <w:basedOn w:val="Text"/>
    <w:next w:val="Text"/>
    <w:rsid w:val="007F4805"/>
    <w:pPr>
      <w:spacing w:after="56"/>
      <w:ind w:left="432"/>
    </w:pPr>
  </w:style>
  <w:style w:type="paragraph" w:customStyle="1" w:styleId="Listeabcd">
    <w:name w:val="Liste abcd"/>
    <w:basedOn w:val="Text"/>
    <w:next w:val="Text"/>
    <w:rsid w:val="007F4805"/>
    <w:pPr>
      <w:spacing w:after="56"/>
      <w:ind w:left="432"/>
    </w:pPr>
  </w:style>
  <w:style w:type="paragraph" w:customStyle="1" w:styleId="NrListe">
    <w:name w:val="Nr. Liste"/>
    <w:basedOn w:val="Text"/>
    <w:rsid w:val="007F4805"/>
    <w:pPr>
      <w:numPr>
        <w:numId w:val="2"/>
      </w:numPr>
      <w:tabs>
        <w:tab w:val="left" w:pos="357"/>
      </w:tabs>
      <w:ind w:left="357" w:hanging="357"/>
    </w:pPr>
  </w:style>
  <w:style w:type="paragraph" w:customStyle="1" w:styleId="UnterTitel0">
    <w:name w:val="Unter Titel"/>
    <w:basedOn w:val="Text"/>
    <w:next w:val="Titel2"/>
    <w:rsid w:val="007F4805"/>
    <w:pPr>
      <w:keepNext/>
      <w:keepLines/>
      <w:spacing w:before="288" w:after="172"/>
      <w:jc w:val="center"/>
    </w:pPr>
    <w:rPr>
      <w:rFonts w:ascii="Swis721 BdRnd BT" w:eastAsia="Swis721 BdRnd BT" w:hAnsi="Swis721 BdRnd BT" w:cs="Swis721 BdRnd BT"/>
      <w:sz w:val="32"/>
      <w:szCs w:val="32"/>
    </w:rPr>
  </w:style>
  <w:style w:type="paragraph" w:customStyle="1" w:styleId="Titel3">
    <w:name w:val="Titel 3"/>
    <w:basedOn w:val="Text"/>
    <w:next w:val="Text"/>
    <w:rsid w:val="00AB2803"/>
    <w:pPr>
      <w:keepNext/>
      <w:keepLines/>
      <w:numPr>
        <w:ilvl w:val="2"/>
        <w:numId w:val="1"/>
      </w:numPr>
      <w:tabs>
        <w:tab w:val="clear" w:pos="397"/>
        <w:tab w:val="clear" w:pos="567"/>
      </w:tabs>
      <w:suppressAutoHyphens/>
      <w:spacing w:before="360" w:after="240"/>
      <w:jc w:val="left"/>
      <w:outlineLvl w:val="2"/>
    </w:pPr>
    <w:rPr>
      <w:i/>
      <w:iCs/>
      <w:sz w:val="26"/>
      <w:szCs w:val="26"/>
    </w:rPr>
  </w:style>
  <w:style w:type="paragraph" w:styleId="Datum">
    <w:name w:val="Date"/>
    <w:basedOn w:val="Standard"/>
    <w:next w:val="Standard"/>
    <w:rsid w:val="007F4805"/>
  </w:style>
  <w:style w:type="paragraph" w:customStyle="1" w:styleId="Markierung">
    <w:name w:val="Markierung"/>
    <w:basedOn w:val="Text"/>
    <w:next w:val="Text"/>
    <w:rsid w:val="007F4805"/>
    <w:pPr>
      <w:spacing w:after="56"/>
      <w:ind w:firstLine="288"/>
    </w:pPr>
  </w:style>
  <w:style w:type="paragraph" w:customStyle="1" w:styleId="Markierung1">
    <w:name w:val="Markierung 1"/>
    <w:basedOn w:val="Text"/>
    <w:next w:val="Text"/>
    <w:rsid w:val="007F4805"/>
    <w:pPr>
      <w:spacing w:after="56"/>
      <w:ind w:firstLine="432"/>
    </w:pPr>
  </w:style>
  <w:style w:type="paragraph" w:customStyle="1" w:styleId="spintrotext">
    <w:name w:val="spintrotext"/>
    <w:basedOn w:val="Standard"/>
    <w:rsid w:val="007F4805"/>
    <w:pPr>
      <w:tabs>
        <w:tab w:val="clear" w:pos="567"/>
        <w:tab w:val="clear" w:pos="851"/>
        <w:tab w:val="clear" w:pos="1134"/>
        <w:tab w:val="clear" w:pos="1418"/>
      </w:tabs>
      <w:spacing w:before="100" w:beforeAutospacing="1" w:afterAutospacing="1"/>
    </w:pPr>
    <w:rPr>
      <w:rFonts w:ascii="Arial Unicode MS" w:eastAsia="Arial Unicode MS" w:hAnsi="Arial Unicode MS" w:cs="Arial Unicode MS"/>
    </w:rPr>
  </w:style>
  <w:style w:type="paragraph" w:styleId="Abbildungsverzeichnis">
    <w:name w:val="table of figures"/>
    <w:basedOn w:val="Standard"/>
    <w:next w:val="Standard"/>
    <w:uiPriority w:val="99"/>
    <w:rsid w:val="00691840"/>
    <w:pPr>
      <w:tabs>
        <w:tab w:val="clear" w:pos="567"/>
        <w:tab w:val="clear" w:pos="851"/>
        <w:tab w:val="clear" w:pos="1134"/>
        <w:tab w:val="clear" w:pos="1418"/>
        <w:tab w:val="left" w:pos="794"/>
        <w:tab w:val="right" w:pos="6804"/>
        <w:tab w:val="left" w:pos="9923"/>
      </w:tabs>
      <w:spacing w:before="180" w:after="180"/>
      <w:ind w:left="794" w:hanging="794"/>
    </w:pPr>
  </w:style>
  <w:style w:type="paragraph" w:customStyle="1" w:styleId="KopfFulink">
    <w:name w:val="Kopf/Fuß link"/>
    <w:basedOn w:val="Text"/>
    <w:next w:val="KopfFumitt"/>
    <w:rsid w:val="007F4805"/>
    <w:pPr>
      <w:jc w:val="left"/>
    </w:pPr>
    <w:rPr>
      <w:rFonts w:ascii="E Galaxy" w:eastAsia="E Galaxy" w:hAnsi="E Galaxy" w:cs="E Galaxy"/>
      <w:sz w:val="22"/>
      <w:szCs w:val="22"/>
    </w:rPr>
  </w:style>
  <w:style w:type="paragraph" w:customStyle="1" w:styleId="KopfFumitt">
    <w:name w:val="Kopf/Fuß mitt"/>
    <w:basedOn w:val="Text"/>
    <w:next w:val="KopfFurech"/>
    <w:rsid w:val="007F4805"/>
    <w:pPr>
      <w:jc w:val="center"/>
    </w:pPr>
    <w:rPr>
      <w:rFonts w:ascii="E Galaxy" w:eastAsia="E Galaxy" w:hAnsi="E Galaxy" w:cs="E Galaxy"/>
      <w:sz w:val="22"/>
      <w:szCs w:val="22"/>
    </w:rPr>
  </w:style>
  <w:style w:type="paragraph" w:customStyle="1" w:styleId="KopfFurech">
    <w:name w:val="Kopf/Fuß rech"/>
    <w:basedOn w:val="Text"/>
    <w:next w:val="Text"/>
    <w:rsid w:val="007F4805"/>
    <w:pPr>
      <w:jc w:val="right"/>
    </w:pPr>
    <w:rPr>
      <w:rFonts w:ascii="E Galaxy" w:eastAsia="E Galaxy" w:hAnsi="E Galaxy" w:cs="E Galaxy"/>
      <w:sz w:val="22"/>
      <w:szCs w:val="22"/>
    </w:rPr>
  </w:style>
  <w:style w:type="paragraph" w:customStyle="1" w:styleId="TAbsteinf">
    <w:name w:val="T.Abst.einf."/>
    <w:basedOn w:val="Text"/>
    <w:next w:val="Text"/>
    <w:rsid w:val="007F4805"/>
    <w:pPr>
      <w:spacing w:after="283"/>
    </w:pPr>
  </w:style>
  <w:style w:type="paragraph" w:customStyle="1" w:styleId="Bildtitel">
    <w:name w:val="Bildtitel"/>
    <w:basedOn w:val="Text"/>
    <w:next w:val="Text"/>
    <w:rsid w:val="007F4805"/>
    <w:pPr>
      <w:jc w:val="left"/>
    </w:pPr>
    <w:rPr>
      <w:rFonts w:ascii="Arial MT" w:eastAsia="Arial MT" w:hAnsi="Arial MT" w:cs="Arial MT"/>
      <w:i/>
      <w:iCs/>
      <w:sz w:val="22"/>
      <w:szCs w:val="22"/>
    </w:rPr>
  </w:style>
  <w:style w:type="paragraph" w:customStyle="1" w:styleId="Spezial">
    <w:name w:val="Spezial"/>
    <w:basedOn w:val="Text"/>
    <w:next w:val="Text"/>
    <w:rsid w:val="007F4805"/>
    <w:pPr>
      <w:ind w:left="360" w:right="360"/>
      <w:jc w:val="center"/>
    </w:pPr>
    <w:rPr>
      <w:rFonts w:ascii="E Galaxy" w:eastAsia="E Galaxy" w:hAnsi="E Galaxy" w:cs="E Galaxy"/>
      <w:sz w:val="32"/>
      <w:szCs w:val="32"/>
    </w:rPr>
  </w:style>
  <w:style w:type="paragraph" w:customStyle="1" w:styleId="Future">
    <w:name w:val="Future"/>
    <w:basedOn w:val="Text"/>
    <w:next w:val="Text"/>
    <w:rsid w:val="007F4805"/>
    <w:pPr>
      <w:spacing w:before="216" w:after="216"/>
      <w:jc w:val="right"/>
    </w:pPr>
    <w:rPr>
      <w:rFonts w:ascii="E Future" w:eastAsia="E Future" w:hAnsi="E Future" w:cs="E Future"/>
      <w:sz w:val="48"/>
      <w:szCs w:val="48"/>
    </w:rPr>
  </w:style>
  <w:style w:type="paragraph" w:customStyle="1" w:styleId="Lebenslauf">
    <w:name w:val="Lebenslauf"/>
    <w:basedOn w:val="Text"/>
    <w:next w:val="Text"/>
    <w:rsid w:val="007F4805"/>
    <w:pPr>
      <w:spacing w:after="56"/>
      <w:ind w:left="1036" w:hanging="1036"/>
      <w:jc w:val="left"/>
    </w:pPr>
  </w:style>
  <w:style w:type="paragraph" w:customStyle="1" w:styleId="Lebenslauf2">
    <w:name w:val="Lebenslauf 2"/>
    <w:basedOn w:val="Text"/>
    <w:next w:val="Text"/>
    <w:rsid w:val="007F4805"/>
    <w:pPr>
      <w:spacing w:after="56"/>
      <w:ind w:left="2073" w:hanging="2073"/>
      <w:jc w:val="left"/>
    </w:pPr>
  </w:style>
  <w:style w:type="paragraph" w:customStyle="1" w:styleId="TitelohneNummer">
    <w:name w:val="Titel ohne Nummer"/>
    <w:basedOn w:val="Text"/>
    <w:next w:val="Text"/>
    <w:rsid w:val="000B67C5"/>
    <w:pPr>
      <w:keepNext/>
      <w:keepLines/>
      <w:spacing w:before="600" w:after="480"/>
      <w:ind w:firstLine="0"/>
      <w:jc w:val="center"/>
      <w:outlineLvl w:val="0"/>
    </w:pPr>
    <w:rPr>
      <w:rFonts w:ascii="Arial" w:eastAsia="Swis721 BT" w:hAnsi="Arial" w:cs="Times New Roman"/>
      <w:sz w:val="32"/>
      <w:szCs w:val="32"/>
    </w:rPr>
  </w:style>
  <w:style w:type="paragraph" w:customStyle="1" w:styleId="ZitatAbsto">
    <w:name w:val="Zitat Abst.o."/>
    <w:basedOn w:val="Text"/>
    <w:next w:val="Text"/>
    <w:rsid w:val="00F1290F"/>
    <w:pPr>
      <w:spacing w:before="180"/>
      <w:ind w:left="397" w:right="397" w:firstLine="0"/>
    </w:pPr>
    <w:rPr>
      <w:sz w:val="18"/>
    </w:rPr>
  </w:style>
  <w:style w:type="paragraph" w:customStyle="1" w:styleId="ZitatAbstu">
    <w:name w:val="Zitat Abst.u."/>
    <w:basedOn w:val="Text"/>
    <w:next w:val="Text"/>
    <w:rsid w:val="00F1290F"/>
    <w:pPr>
      <w:spacing w:after="180"/>
      <w:ind w:left="397" w:right="397" w:firstLine="284"/>
    </w:pPr>
    <w:rPr>
      <w:sz w:val="18"/>
    </w:rPr>
  </w:style>
  <w:style w:type="paragraph" w:customStyle="1" w:styleId="Titel3oAbo">
    <w:name w:val="Titel 3o.Ab.o"/>
    <w:basedOn w:val="Text"/>
    <w:next w:val="Text"/>
    <w:rsid w:val="00BE0E5A"/>
    <w:pPr>
      <w:keepNext/>
      <w:keepLines/>
      <w:tabs>
        <w:tab w:val="clear" w:pos="397"/>
        <w:tab w:val="clear" w:pos="567"/>
        <w:tab w:val="left" w:pos="737"/>
      </w:tabs>
      <w:spacing w:after="240"/>
      <w:ind w:left="737" w:hanging="737"/>
      <w:jc w:val="left"/>
    </w:pPr>
    <w:rPr>
      <w:i/>
      <w:iCs/>
      <w:sz w:val="26"/>
      <w:szCs w:val="30"/>
    </w:rPr>
  </w:style>
  <w:style w:type="paragraph" w:customStyle="1" w:styleId="TabellenText">
    <w:name w:val="Tabellen Text"/>
    <w:basedOn w:val="Text"/>
    <w:next w:val="Text"/>
    <w:rsid w:val="007F4805"/>
    <w:pPr>
      <w:spacing w:before="170" w:after="170"/>
      <w:jc w:val="left"/>
    </w:pPr>
    <w:rPr>
      <w:sz w:val="26"/>
      <w:szCs w:val="26"/>
    </w:rPr>
  </w:style>
  <w:style w:type="paragraph" w:customStyle="1" w:styleId="Titelseite">
    <w:name w:val="Titelseite"/>
    <w:basedOn w:val="Text"/>
    <w:next w:val="Titel2"/>
    <w:rsid w:val="007A493B"/>
    <w:pPr>
      <w:keepNext/>
      <w:keepLines/>
      <w:spacing w:after="288"/>
      <w:jc w:val="center"/>
    </w:pPr>
    <w:rPr>
      <w:rFonts w:ascii="Arial" w:eastAsia="Swis721 BT" w:hAnsi="Arial" w:cs="Times New Roman"/>
      <w:sz w:val="32"/>
      <w:szCs w:val="32"/>
    </w:rPr>
  </w:style>
  <w:style w:type="paragraph" w:customStyle="1" w:styleId="TabTxtklein">
    <w:name w:val="Tab.Txt.klein"/>
    <w:basedOn w:val="Text"/>
    <w:next w:val="Text"/>
    <w:rsid w:val="007F4805"/>
    <w:pPr>
      <w:jc w:val="left"/>
    </w:pPr>
    <w:rPr>
      <w:i/>
      <w:iCs/>
    </w:rPr>
  </w:style>
  <w:style w:type="paragraph" w:customStyle="1" w:styleId="TabTklAbsu">
    <w:name w:val="TabT.kl.Abs.u"/>
    <w:basedOn w:val="Text"/>
    <w:next w:val="Text"/>
    <w:rsid w:val="007F4805"/>
    <w:pPr>
      <w:spacing w:after="56"/>
      <w:jc w:val="left"/>
    </w:pPr>
    <w:rPr>
      <w:i/>
      <w:iCs/>
    </w:rPr>
  </w:style>
  <w:style w:type="paragraph" w:customStyle="1" w:styleId="TabTklZahl">
    <w:name w:val="TabT.kl.Zahl"/>
    <w:basedOn w:val="Text"/>
    <w:next w:val="Text"/>
    <w:rsid w:val="007F4805"/>
  </w:style>
  <w:style w:type="paragraph" w:customStyle="1" w:styleId="TTklAbuZahl">
    <w:name w:val="TTkl.Abu.Zahl"/>
    <w:basedOn w:val="Text"/>
    <w:next w:val="Text"/>
    <w:rsid w:val="007F4805"/>
    <w:pPr>
      <w:spacing w:after="56"/>
    </w:pPr>
  </w:style>
  <w:style w:type="paragraph" w:customStyle="1" w:styleId="Titel4oAbo">
    <w:name w:val="Titel 4o.Ab.o"/>
    <w:basedOn w:val="Text"/>
    <w:next w:val="Text"/>
    <w:rsid w:val="007F4805"/>
    <w:pPr>
      <w:keepNext/>
      <w:keepLines/>
      <w:spacing w:after="144"/>
      <w:jc w:val="left"/>
    </w:pPr>
    <w:rPr>
      <w:i/>
      <w:iCs/>
      <w:sz w:val="26"/>
      <w:szCs w:val="26"/>
    </w:rPr>
  </w:style>
  <w:style w:type="paragraph" w:customStyle="1" w:styleId="Titel4">
    <w:name w:val="Titel 4"/>
    <w:basedOn w:val="Text"/>
    <w:next w:val="Text"/>
    <w:rsid w:val="00AB2803"/>
    <w:pPr>
      <w:keepNext/>
      <w:keepLines/>
      <w:numPr>
        <w:ilvl w:val="3"/>
        <w:numId w:val="1"/>
      </w:numPr>
      <w:spacing w:before="300" w:after="220"/>
      <w:ind w:left="862" w:hanging="862"/>
      <w:outlineLvl w:val="3"/>
    </w:pPr>
    <w:rPr>
      <w:i/>
      <w:iCs/>
      <w:sz w:val="24"/>
    </w:rPr>
  </w:style>
  <w:style w:type="paragraph" w:customStyle="1" w:styleId="Reisetabelle">
    <w:name w:val="Reisetabelle"/>
    <w:basedOn w:val="Text"/>
    <w:next w:val="Text"/>
    <w:rsid w:val="009D1630"/>
    <w:pPr>
      <w:spacing w:before="56" w:after="56"/>
      <w:ind w:firstLine="0"/>
      <w:jc w:val="left"/>
    </w:pPr>
    <w:rPr>
      <w:sz w:val="14"/>
      <w:szCs w:val="20"/>
    </w:rPr>
  </w:style>
  <w:style w:type="paragraph" w:customStyle="1" w:styleId="Titel6">
    <w:name w:val="Titel 6"/>
    <w:basedOn w:val="Titel4"/>
    <w:next w:val="Text"/>
    <w:rsid w:val="00AB2803"/>
    <w:pPr>
      <w:numPr>
        <w:ilvl w:val="5"/>
      </w:numPr>
      <w:suppressAutoHyphens/>
      <w:spacing w:before="220" w:after="140"/>
      <w:ind w:left="1151" w:hanging="1151"/>
      <w:outlineLvl w:val="4"/>
    </w:pPr>
    <w:rPr>
      <w:sz w:val="22"/>
    </w:rPr>
  </w:style>
  <w:style w:type="character" w:styleId="Hyperlink">
    <w:name w:val="Hyperlink"/>
    <w:basedOn w:val="Absatz-Standardschriftart"/>
    <w:uiPriority w:val="99"/>
    <w:rsid w:val="007F4805"/>
    <w:rPr>
      <w:color w:val="0000FF"/>
      <w:u w:val="single"/>
    </w:rPr>
  </w:style>
  <w:style w:type="paragraph" w:styleId="StandardWeb">
    <w:name w:val="Normal (Web)"/>
    <w:basedOn w:val="Standard"/>
    <w:uiPriority w:val="99"/>
    <w:rsid w:val="007F4805"/>
    <w:rPr>
      <w:rFonts w:cs="Times New Roman"/>
    </w:rPr>
  </w:style>
  <w:style w:type="paragraph" w:styleId="Index1">
    <w:name w:val="index 1"/>
    <w:basedOn w:val="Standard"/>
    <w:next w:val="Standard"/>
    <w:autoRedefine/>
    <w:uiPriority w:val="99"/>
    <w:semiHidden/>
    <w:rsid w:val="00A35244"/>
    <w:pPr>
      <w:tabs>
        <w:tab w:val="right" w:pos="3032"/>
      </w:tabs>
      <w:ind w:left="240" w:hanging="240"/>
      <w:jc w:val="left"/>
    </w:pPr>
  </w:style>
  <w:style w:type="paragraph" w:customStyle="1" w:styleId="Titel5oAbo">
    <w:name w:val="Titel 5o.Ab.o"/>
    <w:basedOn w:val="Titel4"/>
    <w:rsid w:val="00DB2FC0"/>
    <w:pPr>
      <w:tabs>
        <w:tab w:val="clear" w:pos="397"/>
        <w:tab w:val="clear" w:pos="864"/>
        <w:tab w:val="left" w:pos="851"/>
      </w:tabs>
      <w:spacing w:before="0"/>
      <w:ind w:left="851" w:hanging="851"/>
    </w:pPr>
  </w:style>
  <w:style w:type="paragraph" w:customStyle="1" w:styleId="Titel6oAbo">
    <w:name w:val="Titel 6o.Ab.o"/>
    <w:basedOn w:val="Titel6"/>
    <w:rsid w:val="007F4805"/>
    <w:pPr>
      <w:spacing w:before="0"/>
    </w:pPr>
  </w:style>
  <w:style w:type="paragraph" w:customStyle="1" w:styleId="ZitatAufzhlung">
    <w:name w:val="Zitat Aufzählung"/>
    <w:basedOn w:val="Zitat"/>
    <w:rsid w:val="00F1290F"/>
    <w:pPr>
      <w:ind w:hanging="397"/>
    </w:pPr>
  </w:style>
  <w:style w:type="paragraph" w:customStyle="1" w:styleId="TextAufzhlung">
    <w:name w:val="Text Aufzählung"/>
    <w:basedOn w:val="Text"/>
    <w:rsid w:val="007F4805"/>
    <w:pPr>
      <w:ind w:left="454" w:hanging="454"/>
    </w:pPr>
  </w:style>
  <w:style w:type="character" w:styleId="BesuchterHyperlink">
    <w:name w:val="FollowedHyperlink"/>
    <w:basedOn w:val="Absatz-Standardschriftart"/>
    <w:rsid w:val="007F4805"/>
    <w:rPr>
      <w:color w:val="800080"/>
      <w:u w:val="single"/>
    </w:rPr>
  </w:style>
  <w:style w:type="paragraph" w:styleId="HTMLVorformatiert">
    <w:name w:val="HTML Preformatted"/>
    <w:basedOn w:val="Standard"/>
    <w:link w:val="HTMLVorformatiertZchn"/>
    <w:uiPriority w:val="99"/>
    <w:rsid w:val="007F4805"/>
    <w:pPr>
      <w:tabs>
        <w:tab w:val="clear" w:pos="567"/>
        <w:tab w:val="clear" w:pos="851"/>
        <w:tab w:val="clear" w:pos="1134"/>
        <w:tab w:val="clear" w:pos="141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Cs w:val="20"/>
    </w:rPr>
  </w:style>
  <w:style w:type="paragraph" w:customStyle="1" w:styleId="Definition">
    <w:name w:val="Definition"/>
    <w:basedOn w:val="Text"/>
    <w:rsid w:val="008628B0"/>
    <w:pPr>
      <w:tabs>
        <w:tab w:val="clear" w:pos="397"/>
        <w:tab w:val="clear" w:pos="567"/>
        <w:tab w:val="left" w:pos="680"/>
      </w:tabs>
      <w:spacing w:before="240" w:after="240"/>
      <w:ind w:left="680" w:hanging="680"/>
    </w:pPr>
  </w:style>
  <w:style w:type="character" w:styleId="Zeilennummer">
    <w:name w:val="line number"/>
    <w:basedOn w:val="Absatz-Standardschriftart"/>
    <w:rsid w:val="007F4805"/>
  </w:style>
  <w:style w:type="character" w:styleId="Hervorhebung">
    <w:name w:val="Emphasis"/>
    <w:basedOn w:val="Absatz-Standardschriftart"/>
    <w:uiPriority w:val="20"/>
    <w:qFormat/>
    <w:rsid w:val="007F4805"/>
    <w:rPr>
      <w:i/>
      <w:iCs/>
    </w:rPr>
  </w:style>
  <w:style w:type="paragraph" w:customStyle="1" w:styleId="TextmitZeilennummer">
    <w:name w:val="Text mit Zeilennummer"/>
    <w:basedOn w:val="Text"/>
    <w:rsid w:val="007F4805"/>
    <w:pPr>
      <w:ind w:hanging="567"/>
    </w:pPr>
  </w:style>
  <w:style w:type="paragraph" w:customStyle="1" w:styleId="Titel5">
    <w:name w:val="Titel 5"/>
    <w:basedOn w:val="Text"/>
    <w:next w:val="Text"/>
    <w:rsid w:val="00AB2803"/>
    <w:pPr>
      <w:keepNext/>
      <w:keepLines/>
      <w:numPr>
        <w:ilvl w:val="4"/>
        <w:numId w:val="1"/>
      </w:numPr>
      <w:tabs>
        <w:tab w:val="clear" w:pos="397"/>
        <w:tab w:val="clear" w:pos="851"/>
      </w:tabs>
      <w:suppressAutoHyphens/>
      <w:spacing w:before="260" w:after="180"/>
      <w:ind w:left="1009" w:hanging="1009"/>
      <w:outlineLvl w:val="3"/>
    </w:pPr>
    <w:rPr>
      <w:i/>
      <w:iCs/>
      <w:sz w:val="23"/>
    </w:rPr>
  </w:style>
  <w:style w:type="paragraph" w:styleId="Sprechblasentext">
    <w:name w:val="Balloon Text"/>
    <w:basedOn w:val="Standard"/>
    <w:link w:val="SprechblasentextZchn"/>
    <w:rsid w:val="00D64C46"/>
    <w:rPr>
      <w:rFonts w:ascii="Tahoma" w:hAnsi="Tahoma"/>
      <w:sz w:val="16"/>
      <w:szCs w:val="16"/>
    </w:rPr>
  </w:style>
  <w:style w:type="character" w:customStyle="1" w:styleId="SprechblasentextZchn">
    <w:name w:val="Sprechblasentext Zchn"/>
    <w:basedOn w:val="Absatz-Standardschriftart"/>
    <w:link w:val="Sprechblasentext"/>
    <w:rsid w:val="00D64C46"/>
    <w:rPr>
      <w:rFonts w:ascii="Tahoma" w:eastAsia="Lucida Sans Unicode" w:hAnsi="Tahoma" w:cs="Tahoma"/>
      <w:sz w:val="16"/>
      <w:szCs w:val="16"/>
    </w:rPr>
  </w:style>
  <w:style w:type="paragraph" w:customStyle="1" w:styleId="ZitatMitte">
    <w:name w:val="Zitat Mitte"/>
    <w:basedOn w:val="Zitat"/>
    <w:qFormat/>
    <w:rsid w:val="00FA2CCC"/>
    <w:pPr>
      <w:spacing w:before="0" w:after="0"/>
      <w:ind w:firstLine="284"/>
    </w:pPr>
  </w:style>
  <w:style w:type="character" w:styleId="Platzhaltertext">
    <w:name w:val="Placeholder Text"/>
    <w:basedOn w:val="Absatz-Standardschriftart"/>
    <w:uiPriority w:val="99"/>
    <w:semiHidden/>
    <w:rsid w:val="00330FB8"/>
    <w:rPr>
      <w:color w:val="808080"/>
    </w:rPr>
  </w:style>
  <w:style w:type="paragraph" w:styleId="Inhaltsverzeichnisberschrift0">
    <w:name w:val="TOC Heading"/>
    <w:basedOn w:val="berschrift1"/>
    <w:next w:val="Standard"/>
    <w:uiPriority w:val="39"/>
    <w:semiHidden/>
    <w:unhideWhenUsed/>
    <w:qFormat/>
    <w:rsid w:val="00731F25"/>
    <w:pPr>
      <w:keepLines/>
      <w:tabs>
        <w:tab w:val="clear" w:pos="567"/>
        <w:tab w:val="clear" w:pos="851"/>
        <w:tab w:val="clear" w:pos="1134"/>
        <w:tab w:val="clear" w:pos="1418"/>
      </w:tabs>
      <w:spacing w:before="48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styleId="Kopfzeile">
    <w:name w:val="header"/>
    <w:basedOn w:val="Standard"/>
    <w:link w:val="KopfzeileZchn"/>
    <w:uiPriority w:val="99"/>
    <w:rsid w:val="009D1E9C"/>
    <w:pPr>
      <w:tabs>
        <w:tab w:val="clear" w:pos="397"/>
        <w:tab w:val="clear" w:pos="567"/>
        <w:tab w:val="clear" w:pos="851"/>
        <w:tab w:val="clear" w:pos="1134"/>
        <w:tab w:val="clear" w:pos="1418"/>
        <w:tab w:val="center" w:pos="3402"/>
        <w:tab w:val="right" w:pos="6804"/>
      </w:tabs>
    </w:pPr>
    <w:rPr>
      <w:sz w:val="18"/>
    </w:rPr>
  </w:style>
  <w:style w:type="character" w:customStyle="1" w:styleId="KopfzeileZchn">
    <w:name w:val="Kopfzeile Zchn"/>
    <w:basedOn w:val="Absatz-Standardschriftart"/>
    <w:link w:val="Kopfzeile"/>
    <w:uiPriority w:val="99"/>
    <w:rsid w:val="009D1E9C"/>
    <w:rPr>
      <w:rFonts w:ascii="OrigGarmnd BT" w:eastAsia="Lucida Sans Unicode" w:hAnsi="OrigGarmnd BT" w:cs="Tahoma"/>
      <w:sz w:val="18"/>
      <w:szCs w:val="24"/>
    </w:rPr>
  </w:style>
  <w:style w:type="character" w:customStyle="1" w:styleId="FunotentextZchn">
    <w:name w:val="Fußnotentext Zchn"/>
    <w:basedOn w:val="Absatz-Standardschriftart"/>
    <w:link w:val="Funotentext"/>
    <w:semiHidden/>
    <w:rsid w:val="001126D4"/>
    <w:rPr>
      <w:rFonts w:ascii="OrigGarmnd BT" w:eastAsia="Lucida Sans Unicode" w:hAnsi="OrigGarmnd BT" w:cs="Tahoma"/>
      <w:color w:val="000000"/>
      <w:sz w:val="17"/>
    </w:rPr>
  </w:style>
  <w:style w:type="character" w:customStyle="1" w:styleId="info">
    <w:name w:val="info"/>
    <w:basedOn w:val="Absatz-Standardschriftart"/>
    <w:rsid w:val="00057518"/>
  </w:style>
  <w:style w:type="character" w:customStyle="1" w:styleId="berschrift7Zchn">
    <w:name w:val="Überschrift 7 Zchn"/>
    <w:basedOn w:val="Absatz-Standardschriftart"/>
    <w:link w:val="berschrift7"/>
    <w:rsid w:val="00E13E9B"/>
    <w:rPr>
      <w:rFonts w:asciiTheme="majorHAnsi" w:eastAsiaTheme="majorEastAsia" w:hAnsiTheme="majorHAnsi" w:cstheme="majorBidi"/>
      <w:i/>
      <w:iCs/>
      <w:color w:val="404040" w:themeColor="text1" w:themeTint="BF"/>
      <w:sz w:val="24"/>
      <w:szCs w:val="24"/>
    </w:rPr>
  </w:style>
  <w:style w:type="paragraph" w:styleId="Liste2">
    <w:name w:val="List 2"/>
    <w:basedOn w:val="Standard"/>
    <w:rsid w:val="00E13E9B"/>
    <w:pPr>
      <w:ind w:left="566" w:hanging="283"/>
      <w:contextualSpacing/>
    </w:pPr>
  </w:style>
  <w:style w:type="paragraph" w:styleId="Liste3">
    <w:name w:val="List 3"/>
    <w:basedOn w:val="Standard"/>
    <w:rsid w:val="00E13E9B"/>
    <w:pPr>
      <w:ind w:left="849" w:hanging="283"/>
      <w:contextualSpacing/>
    </w:pPr>
  </w:style>
  <w:style w:type="paragraph" w:styleId="Aufzhlungszeichen">
    <w:name w:val="List Bullet"/>
    <w:basedOn w:val="Standard"/>
    <w:rsid w:val="00E13E9B"/>
    <w:pPr>
      <w:numPr>
        <w:numId w:val="3"/>
      </w:numPr>
      <w:contextualSpacing/>
    </w:pPr>
  </w:style>
  <w:style w:type="paragraph" w:styleId="Aufzhlungszeichen2">
    <w:name w:val="List Bullet 2"/>
    <w:basedOn w:val="Standard"/>
    <w:rsid w:val="00E13E9B"/>
    <w:pPr>
      <w:numPr>
        <w:numId w:val="4"/>
      </w:numPr>
      <w:contextualSpacing/>
    </w:pPr>
  </w:style>
  <w:style w:type="paragraph" w:styleId="Listenfortsetzung2">
    <w:name w:val="List Continue 2"/>
    <w:basedOn w:val="Standard"/>
    <w:rsid w:val="00E13E9B"/>
    <w:pPr>
      <w:spacing w:after="120"/>
      <w:ind w:left="566"/>
      <w:contextualSpacing/>
    </w:pPr>
  </w:style>
  <w:style w:type="paragraph" w:customStyle="1" w:styleId="Zwischenberschrift">
    <w:name w:val="Zwischenüberschrift"/>
    <w:basedOn w:val="Text"/>
    <w:qFormat/>
    <w:rsid w:val="00EB7197"/>
    <w:pPr>
      <w:keepNext/>
      <w:spacing w:before="240" w:after="120"/>
      <w:ind w:firstLine="0"/>
    </w:pPr>
    <w:rPr>
      <w:i/>
    </w:rPr>
  </w:style>
  <w:style w:type="paragraph" w:customStyle="1" w:styleId="Default">
    <w:name w:val="Default"/>
    <w:rsid w:val="00690520"/>
    <w:pPr>
      <w:autoSpaceDE w:val="0"/>
      <w:autoSpaceDN w:val="0"/>
      <w:adjustRightInd w:val="0"/>
    </w:pPr>
    <w:rPr>
      <w:color w:val="000000"/>
      <w:sz w:val="24"/>
      <w:szCs w:val="24"/>
    </w:rPr>
  </w:style>
  <w:style w:type="character" w:styleId="Fett">
    <w:name w:val="Strong"/>
    <w:basedOn w:val="Absatz-Standardschriftart"/>
    <w:uiPriority w:val="22"/>
    <w:qFormat/>
    <w:rsid w:val="006420C7"/>
    <w:rPr>
      <w:b/>
      <w:bCs/>
    </w:rPr>
  </w:style>
  <w:style w:type="character" w:customStyle="1" w:styleId="mediumb-text">
    <w:name w:val="mediumb-text"/>
    <w:basedOn w:val="Absatz-Standardschriftart"/>
    <w:rsid w:val="00FA7A39"/>
  </w:style>
  <w:style w:type="character" w:customStyle="1" w:styleId="pubtitle">
    <w:name w:val="pubtitle"/>
    <w:basedOn w:val="Absatz-Standardschriftart"/>
    <w:rsid w:val="00896E28"/>
  </w:style>
  <w:style w:type="paragraph" w:customStyle="1" w:styleId="Literatur">
    <w:name w:val="Literatur"/>
    <w:basedOn w:val="Standard"/>
    <w:rsid w:val="00571F62"/>
    <w:pPr>
      <w:tabs>
        <w:tab w:val="clear" w:pos="1134"/>
        <w:tab w:val="clear" w:pos="1418"/>
      </w:tabs>
      <w:ind w:left="284" w:hanging="284"/>
    </w:pPr>
    <w:rPr>
      <w:rFonts w:cs="Times New Roman"/>
    </w:rPr>
  </w:style>
  <w:style w:type="paragraph" w:styleId="Listenfortsetzung">
    <w:name w:val="List Continue"/>
    <w:basedOn w:val="Standard"/>
    <w:rsid w:val="004434AB"/>
    <w:pPr>
      <w:spacing w:after="120"/>
      <w:ind w:left="283"/>
      <w:contextualSpacing/>
    </w:pPr>
  </w:style>
  <w:style w:type="paragraph" w:customStyle="1" w:styleId="Betreffzeile">
    <w:name w:val="Betreffzeile"/>
    <w:basedOn w:val="Standard"/>
    <w:rsid w:val="004434AB"/>
  </w:style>
  <w:style w:type="paragraph" w:styleId="Standardeinzug">
    <w:name w:val="Normal Indent"/>
    <w:basedOn w:val="Standard"/>
    <w:rsid w:val="004434AB"/>
    <w:pPr>
      <w:ind w:left="708"/>
    </w:pPr>
  </w:style>
  <w:style w:type="paragraph" w:styleId="Textkrper-Zeileneinzug">
    <w:name w:val="Body Text Indent"/>
    <w:basedOn w:val="Standard"/>
    <w:link w:val="Textkrper-ZeileneinzugZchn"/>
    <w:rsid w:val="004434AB"/>
    <w:pPr>
      <w:spacing w:after="120"/>
      <w:ind w:left="283"/>
    </w:pPr>
  </w:style>
  <w:style w:type="character" w:customStyle="1" w:styleId="Textkrper-ZeileneinzugZchn">
    <w:name w:val="Textkörper-Zeileneinzug Zchn"/>
    <w:basedOn w:val="Absatz-Standardschriftart"/>
    <w:link w:val="Textkrper-Zeileneinzug"/>
    <w:rsid w:val="004434AB"/>
    <w:rPr>
      <w:rFonts w:eastAsia="Lucida Sans Unicode" w:cs="Tahoma"/>
      <w:sz w:val="24"/>
      <w:szCs w:val="24"/>
    </w:rPr>
  </w:style>
  <w:style w:type="paragraph" w:styleId="Textkrper-Erstzeileneinzug2">
    <w:name w:val="Body Text First Indent 2"/>
    <w:basedOn w:val="Textkrper-Zeileneinzug"/>
    <w:link w:val="Textkrper-Erstzeileneinzug2Zchn"/>
    <w:rsid w:val="004434AB"/>
    <w:pPr>
      <w:spacing w:after="60"/>
      <w:ind w:left="360" w:firstLine="360"/>
    </w:pPr>
  </w:style>
  <w:style w:type="character" w:customStyle="1" w:styleId="Textkrper-Erstzeileneinzug2Zchn">
    <w:name w:val="Textkörper-Erstzeileneinzug 2 Zchn"/>
    <w:basedOn w:val="Textkrper-ZeileneinzugZchn"/>
    <w:link w:val="Textkrper-Erstzeileneinzug2"/>
    <w:rsid w:val="004434AB"/>
  </w:style>
  <w:style w:type="character" w:customStyle="1" w:styleId="citation">
    <w:name w:val="citation"/>
    <w:basedOn w:val="Absatz-Standardschriftart"/>
    <w:rsid w:val="00E6261E"/>
  </w:style>
  <w:style w:type="character" w:customStyle="1" w:styleId="text3">
    <w:name w:val="text3"/>
    <w:basedOn w:val="Absatz-Standardschriftart"/>
    <w:rsid w:val="00D95C68"/>
  </w:style>
  <w:style w:type="character" w:customStyle="1" w:styleId="ouvrage">
    <w:name w:val="ouvrage"/>
    <w:basedOn w:val="Absatz-Standardschriftart"/>
    <w:rsid w:val="003B3255"/>
  </w:style>
  <w:style w:type="character" w:styleId="HTMLZitat">
    <w:name w:val="HTML Cite"/>
    <w:basedOn w:val="Absatz-Standardschriftart"/>
    <w:uiPriority w:val="99"/>
    <w:unhideWhenUsed/>
    <w:rsid w:val="003B3255"/>
    <w:rPr>
      <w:i/>
      <w:iCs/>
    </w:rPr>
  </w:style>
  <w:style w:type="paragraph" w:styleId="Listenabsatz">
    <w:name w:val="List Paragraph"/>
    <w:basedOn w:val="Standard"/>
    <w:uiPriority w:val="34"/>
    <w:qFormat/>
    <w:rsid w:val="00C4004B"/>
    <w:pPr>
      <w:ind w:left="720"/>
      <w:contextualSpacing/>
    </w:pPr>
  </w:style>
  <w:style w:type="character" w:customStyle="1" w:styleId="HTMLVorformatiertZchn">
    <w:name w:val="HTML Vorformatiert Zchn"/>
    <w:basedOn w:val="Absatz-Standardschriftart"/>
    <w:link w:val="HTMLVorformatiert"/>
    <w:uiPriority w:val="99"/>
    <w:rsid w:val="00A54E4F"/>
    <w:rPr>
      <w:rFonts w:ascii="Arial Unicode MS" w:eastAsia="Arial Unicode MS" w:hAnsi="Arial Unicode MS" w:cs="Arial Unicode MS"/>
    </w:rPr>
  </w:style>
  <w:style w:type="character" w:customStyle="1" w:styleId="FuzeileZchn">
    <w:name w:val="Fußzeile Zchn"/>
    <w:basedOn w:val="Absatz-Standardschriftart"/>
    <w:link w:val="Fuzeile"/>
    <w:uiPriority w:val="99"/>
    <w:rsid w:val="00D20514"/>
    <w:rPr>
      <w:rFonts w:ascii="OrigGarmnd BT" w:eastAsia="Lucida Sans Unicode" w:hAnsi="OrigGarmnd BT" w:cs="Tahoma"/>
      <w:szCs w:val="24"/>
    </w:rPr>
  </w:style>
  <w:style w:type="paragraph" w:styleId="Index2">
    <w:name w:val="index 2"/>
    <w:basedOn w:val="Standard"/>
    <w:next w:val="Standard"/>
    <w:autoRedefine/>
    <w:uiPriority w:val="99"/>
    <w:rsid w:val="004707D1"/>
    <w:pPr>
      <w:tabs>
        <w:tab w:val="clear" w:pos="567"/>
        <w:tab w:val="clear" w:pos="851"/>
        <w:tab w:val="clear" w:pos="1134"/>
        <w:tab w:val="clear" w:pos="1418"/>
      </w:tabs>
      <w:ind w:left="400" w:hanging="200"/>
    </w:pPr>
  </w:style>
  <w:style w:type="paragraph" w:customStyle="1" w:styleId="Formel">
    <w:name w:val="Formel"/>
    <w:basedOn w:val="Text"/>
    <w:qFormat/>
    <w:rsid w:val="008C17C4"/>
    <w:pPr>
      <w:tabs>
        <w:tab w:val="clear" w:pos="397"/>
        <w:tab w:val="clear" w:pos="567"/>
        <w:tab w:val="clear" w:pos="851"/>
        <w:tab w:val="clear" w:pos="1134"/>
        <w:tab w:val="clear" w:pos="1418"/>
        <w:tab w:val="left" w:pos="737"/>
        <w:tab w:val="left" w:pos="1021"/>
        <w:tab w:val="left" w:pos="1304"/>
      </w:tabs>
      <w:spacing w:before="120" w:after="120"/>
      <w:ind w:left="397" w:firstLine="0"/>
      <w:jc w:val="left"/>
    </w:pPr>
  </w:style>
  <w:style w:type="paragraph" w:customStyle="1" w:styleId="Interpretation">
    <w:name w:val="Interpretation"/>
    <w:basedOn w:val="Text"/>
    <w:qFormat/>
    <w:rsid w:val="00CD1C0D"/>
    <w:pPr>
      <w:spacing w:before="100" w:after="100"/>
      <w:ind w:firstLine="0"/>
    </w:pPr>
    <w:rPr>
      <w:iCs/>
    </w:rPr>
  </w:style>
  <w:style w:type="paragraph" w:customStyle="1" w:styleId="Interpretation1Zeile">
    <w:name w:val="Interpretation (1. Zeile)"/>
    <w:basedOn w:val="Interpretation"/>
    <w:qFormat/>
    <w:rsid w:val="00D13621"/>
    <w:pPr>
      <w:spacing w:before="240"/>
    </w:pPr>
  </w:style>
  <w:style w:type="paragraph" w:customStyle="1" w:styleId="FallxDisambiguierung">
    <w:name w:val="Fall x (Disambiguierung)"/>
    <w:basedOn w:val="Formel"/>
    <w:qFormat/>
    <w:rsid w:val="008A30E0"/>
    <w:pPr>
      <w:spacing w:before="240"/>
      <w:ind w:left="851" w:hanging="851"/>
    </w:pPr>
  </w:style>
  <w:style w:type="paragraph" w:customStyle="1" w:styleId="FormelTabrechts">
    <w:name w:val="Formel Tab rechts"/>
    <w:basedOn w:val="Formel"/>
    <w:qFormat/>
    <w:rsid w:val="0010735C"/>
    <w:pPr>
      <w:tabs>
        <w:tab w:val="clear" w:pos="1021"/>
        <w:tab w:val="clear" w:pos="1304"/>
        <w:tab w:val="left" w:pos="1531"/>
        <w:tab w:val="left" w:pos="1956"/>
        <w:tab w:val="right" w:pos="6804"/>
      </w:tabs>
    </w:pPr>
  </w:style>
  <w:style w:type="paragraph" w:customStyle="1" w:styleId="InterpretationletzteZeile">
    <w:name w:val="Interpretation (letzte Zeile)"/>
    <w:basedOn w:val="Interpretation"/>
    <w:qFormat/>
    <w:rsid w:val="000758D7"/>
    <w:pPr>
      <w:spacing w:after="200"/>
    </w:pPr>
  </w:style>
  <w:style w:type="paragraph" w:styleId="Index9">
    <w:name w:val="index 9"/>
    <w:basedOn w:val="Standard"/>
    <w:next w:val="Standard"/>
    <w:autoRedefine/>
    <w:rsid w:val="00C6415A"/>
    <w:pPr>
      <w:tabs>
        <w:tab w:val="clear" w:pos="397"/>
        <w:tab w:val="clear" w:pos="567"/>
        <w:tab w:val="clear" w:pos="851"/>
        <w:tab w:val="clear" w:pos="1134"/>
        <w:tab w:val="clear" w:pos="1418"/>
      </w:tabs>
      <w:ind w:left="1800" w:hanging="200"/>
    </w:pPr>
  </w:style>
  <w:style w:type="paragraph" w:styleId="Index3">
    <w:name w:val="index 3"/>
    <w:basedOn w:val="Standard"/>
    <w:next w:val="Standard"/>
    <w:autoRedefine/>
    <w:uiPriority w:val="99"/>
    <w:rsid w:val="007612F4"/>
    <w:pPr>
      <w:tabs>
        <w:tab w:val="clear" w:pos="397"/>
        <w:tab w:val="clear" w:pos="567"/>
        <w:tab w:val="clear" w:pos="851"/>
        <w:tab w:val="clear" w:pos="1134"/>
        <w:tab w:val="clear" w:pos="1418"/>
      </w:tabs>
      <w:ind w:left="600" w:hanging="200"/>
    </w:pPr>
  </w:style>
  <w:style w:type="character" w:customStyle="1" w:styleId="berschrift8Zchn">
    <w:name w:val="Überschrift 8 Zchn"/>
    <w:basedOn w:val="Absatz-Standardschriftart"/>
    <w:link w:val="berschrift8"/>
    <w:rsid w:val="00CF6655"/>
    <w:rPr>
      <w:rFonts w:eastAsia="Lucida Sans Unicode"/>
      <w:i/>
      <w:iCs/>
      <w:sz w:val="24"/>
      <w:szCs w:val="24"/>
    </w:rPr>
  </w:style>
  <w:style w:type="character" w:customStyle="1" w:styleId="berschrift9Zchn">
    <w:name w:val="Überschrift 9 Zchn"/>
    <w:basedOn w:val="Absatz-Standardschriftart"/>
    <w:link w:val="berschrift9"/>
    <w:rsid w:val="00CF6655"/>
    <w:rPr>
      <w:rFonts w:ascii="Arial" w:eastAsia="Lucida Sans Unicode" w:hAnsi="Arial" w:cs="Arial"/>
      <w:sz w:val="22"/>
      <w:szCs w:val="22"/>
    </w:rPr>
  </w:style>
  <w:style w:type="paragraph" w:customStyle="1" w:styleId="Titelblatt2">
    <w:name w:val="Titelblatt 2"/>
    <w:basedOn w:val="Titel3oAbo"/>
    <w:rsid w:val="00CF6655"/>
    <w:pPr>
      <w:tabs>
        <w:tab w:val="clear" w:pos="737"/>
        <w:tab w:val="clear" w:pos="851"/>
        <w:tab w:val="clear" w:pos="1134"/>
        <w:tab w:val="clear" w:pos="1418"/>
        <w:tab w:val="left" w:pos="454"/>
      </w:tabs>
      <w:spacing w:after="216"/>
      <w:ind w:left="0" w:firstLine="0"/>
    </w:pPr>
    <w:rPr>
      <w:rFonts w:ascii="Times New Roman" w:hAnsi="Times New Roman"/>
    </w:rPr>
  </w:style>
  <w:style w:type="paragraph" w:customStyle="1" w:styleId="TitelInhaltsverz">
    <w:name w:val="Titel (Inhaltsverz)"/>
    <w:basedOn w:val="Titel"/>
    <w:rsid w:val="00CF6655"/>
    <w:pPr>
      <w:numPr>
        <w:numId w:val="0"/>
      </w:numPr>
      <w:tabs>
        <w:tab w:val="clear" w:pos="397"/>
        <w:tab w:val="clear" w:pos="567"/>
        <w:tab w:val="clear" w:pos="851"/>
        <w:tab w:val="clear" w:pos="1134"/>
        <w:tab w:val="clear" w:pos="1418"/>
        <w:tab w:val="left" w:pos="454"/>
      </w:tabs>
      <w:spacing w:before="475" w:after="316"/>
      <w:outlineLvl w:val="9"/>
    </w:pPr>
    <w:rPr>
      <w:rFonts w:ascii="Swis721 BT" w:hAnsi="Swis721 BT"/>
      <w:sz w:val="36"/>
    </w:rPr>
  </w:style>
  <w:style w:type="paragraph" w:customStyle="1" w:styleId="Titel2oAbo">
    <w:name w:val="Titel 2o.Ab.o"/>
    <w:basedOn w:val="Titel2"/>
    <w:rsid w:val="00CF6655"/>
    <w:pPr>
      <w:numPr>
        <w:ilvl w:val="0"/>
        <w:numId w:val="0"/>
      </w:numPr>
      <w:tabs>
        <w:tab w:val="clear" w:pos="624"/>
        <w:tab w:val="clear" w:pos="1134"/>
        <w:tab w:val="left" w:pos="454"/>
      </w:tabs>
      <w:spacing w:before="240"/>
      <w:outlineLvl w:val="0"/>
    </w:pPr>
    <w:rPr>
      <w:rFonts w:ascii="Swis721 BT" w:eastAsia="Swis721 BT" w:hAnsi="Swis721 BT" w:cs="Swis721 BT"/>
      <w:iCs w:val="0"/>
      <w:sz w:val="32"/>
      <w:szCs w:val="32"/>
    </w:rPr>
  </w:style>
  <w:style w:type="paragraph" w:customStyle="1" w:styleId="TitelfrInhaltsverzeichnis">
    <w:name w:val="Titel für Inhaltsverzeichnis"/>
    <w:basedOn w:val="TitelohneNummer"/>
    <w:qFormat/>
    <w:rsid w:val="00B55B23"/>
  </w:style>
  <w:style w:type="character" w:customStyle="1" w:styleId="st">
    <w:name w:val="st"/>
    <w:basedOn w:val="Absatz-Standardschriftart"/>
    <w:rsid w:val="00B27244"/>
  </w:style>
  <w:style w:type="character" w:customStyle="1" w:styleId="reference-text">
    <w:name w:val="reference-text"/>
    <w:basedOn w:val="Absatz-Standardschriftart"/>
    <w:rsid w:val="00273185"/>
  </w:style>
</w:styles>
</file>

<file path=word/webSettings.xml><?xml version="1.0" encoding="utf-8"?>
<w:webSettings xmlns:r="http://schemas.openxmlformats.org/officeDocument/2006/relationships" xmlns:w="http://schemas.openxmlformats.org/wordprocessingml/2006/main">
  <w:divs>
    <w:div w:id="298458426">
      <w:bodyDiv w:val="1"/>
      <w:marLeft w:val="0"/>
      <w:marRight w:val="0"/>
      <w:marTop w:val="0"/>
      <w:marBottom w:val="0"/>
      <w:divBdr>
        <w:top w:val="none" w:sz="0" w:space="0" w:color="auto"/>
        <w:left w:val="none" w:sz="0" w:space="0" w:color="auto"/>
        <w:bottom w:val="none" w:sz="0" w:space="0" w:color="auto"/>
        <w:right w:val="none" w:sz="0" w:space="0" w:color="auto"/>
      </w:divBdr>
      <w:divsChild>
        <w:div w:id="238255960">
          <w:marLeft w:val="0"/>
          <w:marRight w:val="0"/>
          <w:marTop w:val="0"/>
          <w:marBottom w:val="0"/>
          <w:divBdr>
            <w:top w:val="none" w:sz="0" w:space="0" w:color="auto"/>
            <w:left w:val="none" w:sz="0" w:space="0" w:color="auto"/>
            <w:bottom w:val="none" w:sz="0" w:space="0" w:color="auto"/>
            <w:right w:val="none" w:sz="0" w:space="0" w:color="auto"/>
          </w:divBdr>
          <w:divsChild>
            <w:div w:id="164515864">
              <w:marLeft w:val="0"/>
              <w:marRight w:val="0"/>
              <w:marTop w:val="0"/>
              <w:marBottom w:val="0"/>
              <w:divBdr>
                <w:top w:val="none" w:sz="0" w:space="0" w:color="auto"/>
                <w:left w:val="none" w:sz="0" w:space="0" w:color="auto"/>
                <w:bottom w:val="none" w:sz="0" w:space="0" w:color="auto"/>
                <w:right w:val="none" w:sz="0" w:space="0" w:color="auto"/>
              </w:divBdr>
            </w:div>
            <w:div w:id="580918150">
              <w:marLeft w:val="0"/>
              <w:marRight w:val="0"/>
              <w:marTop w:val="0"/>
              <w:marBottom w:val="0"/>
              <w:divBdr>
                <w:top w:val="none" w:sz="0" w:space="0" w:color="auto"/>
                <w:left w:val="none" w:sz="0" w:space="0" w:color="auto"/>
                <w:bottom w:val="none" w:sz="0" w:space="0" w:color="auto"/>
                <w:right w:val="none" w:sz="0" w:space="0" w:color="auto"/>
              </w:divBdr>
            </w:div>
            <w:div w:id="924875368">
              <w:marLeft w:val="0"/>
              <w:marRight w:val="0"/>
              <w:marTop w:val="0"/>
              <w:marBottom w:val="0"/>
              <w:divBdr>
                <w:top w:val="none" w:sz="0" w:space="0" w:color="auto"/>
                <w:left w:val="none" w:sz="0" w:space="0" w:color="auto"/>
                <w:bottom w:val="none" w:sz="0" w:space="0" w:color="auto"/>
                <w:right w:val="none" w:sz="0" w:space="0" w:color="auto"/>
              </w:divBdr>
            </w:div>
            <w:div w:id="935361897">
              <w:marLeft w:val="0"/>
              <w:marRight w:val="0"/>
              <w:marTop w:val="0"/>
              <w:marBottom w:val="0"/>
              <w:divBdr>
                <w:top w:val="none" w:sz="0" w:space="0" w:color="auto"/>
                <w:left w:val="none" w:sz="0" w:space="0" w:color="auto"/>
                <w:bottom w:val="none" w:sz="0" w:space="0" w:color="auto"/>
                <w:right w:val="none" w:sz="0" w:space="0" w:color="auto"/>
              </w:divBdr>
            </w:div>
            <w:div w:id="1101334629">
              <w:marLeft w:val="0"/>
              <w:marRight w:val="0"/>
              <w:marTop w:val="0"/>
              <w:marBottom w:val="0"/>
              <w:divBdr>
                <w:top w:val="none" w:sz="0" w:space="0" w:color="auto"/>
                <w:left w:val="none" w:sz="0" w:space="0" w:color="auto"/>
                <w:bottom w:val="none" w:sz="0" w:space="0" w:color="auto"/>
                <w:right w:val="none" w:sz="0" w:space="0" w:color="auto"/>
              </w:divBdr>
            </w:div>
            <w:div w:id="1249774576">
              <w:marLeft w:val="0"/>
              <w:marRight w:val="0"/>
              <w:marTop w:val="0"/>
              <w:marBottom w:val="0"/>
              <w:divBdr>
                <w:top w:val="none" w:sz="0" w:space="0" w:color="auto"/>
                <w:left w:val="none" w:sz="0" w:space="0" w:color="auto"/>
                <w:bottom w:val="none" w:sz="0" w:space="0" w:color="auto"/>
                <w:right w:val="none" w:sz="0" w:space="0" w:color="auto"/>
              </w:divBdr>
            </w:div>
            <w:div w:id="1377461538">
              <w:marLeft w:val="0"/>
              <w:marRight w:val="0"/>
              <w:marTop w:val="0"/>
              <w:marBottom w:val="0"/>
              <w:divBdr>
                <w:top w:val="none" w:sz="0" w:space="0" w:color="auto"/>
                <w:left w:val="none" w:sz="0" w:space="0" w:color="auto"/>
                <w:bottom w:val="none" w:sz="0" w:space="0" w:color="auto"/>
                <w:right w:val="none" w:sz="0" w:space="0" w:color="auto"/>
              </w:divBdr>
            </w:div>
            <w:div w:id="1603761231">
              <w:marLeft w:val="0"/>
              <w:marRight w:val="0"/>
              <w:marTop w:val="0"/>
              <w:marBottom w:val="0"/>
              <w:divBdr>
                <w:top w:val="none" w:sz="0" w:space="0" w:color="auto"/>
                <w:left w:val="none" w:sz="0" w:space="0" w:color="auto"/>
                <w:bottom w:val="none" w:sz="0" w:space="0" w:color="auto"/>
                <w:right w:val="none" w:sz="0" w:space="0" w:color="auto"/>
              </w:divBdr>
            </w:div>
            <w:div w:id="1812670560">
              <w:marLeft w:val="0"/>
              <w:marRight w:val="0"/>
              <w:marTop w:val="0"/>
              <w:marBottom w:val="0"/>
              <w:divBdr>
                <w:top w:val="none" w:sz="0" w:space="0" w:color="auto"/>
                <w:left w:val="none" w:sz="0" w:space="0" w:color="auto"/>
                <w:bottom w:val="none" w:sz="0" w:space="0" w:color="auto"/>
                <w:right w:val="none" w:sz="0" w:space="0" w:color="auto"/>
              </w:divBdr>
            </w:div>
            <w:div w:id="1879539674">
              <w:marLeft w:val="0"/>
              <w:marRight w:val="0"/>
              <w:marTop w:val="0"/>
              <w:marBottom w:val="0"/>
              <w:divBdr>
                <w:top w:val="none" w:sz="0" w:space="0" w:color="auto"/>
                <w:left w:val="none" w:sz="0" w:space="0" w:color="auto"/>
                <w:bottom w:val="none" w:sz="0" w:space="0" w:color="auto"/>
                <w:right w:val="none" w:sz="0" w:space="0" w:color="auto"/>
              </w:divBdr>
            </w:div>
            <w:div w:id="188659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05199">
      <w:bodyDiv w:val="1"/>
      <w:marLeft w:val="0"/>
      <w:marRight w:val="0"/>
      <w:marTop w:val="0"/>
      <w:marBottom w:val="0"/>
      <w:divBdr>
        <w:top w:val="none" w:sz="0" w:space="0" w:color="auto"/>
        <w:left w:val="none" w:sz="0" w:space="0" w:color="auto"/>
        <w:bottom w:val="none" w:sz="0" w:space="0" w:color="auto"/>
        <w:right w:val="none" w:sz="0" w:space="0" w:color="auto"/>
      </w:divBdr>
    </w:div>
    <w:div w:id="422461645">
      <w:bodyDiv w:val="1"/>
      <w:marLeft w:val="0"/>
      <w:marRight w:val="0"/>
      <w:marTop w:val="0"/>
      <w:marBottom w:val="0"/>
      <w:divBdr>
        <w:top w:val="none" w:sz="0" w:space="0" w:color="auto"/>
        <w:left w:val="none" w:sz="0" w:space="0" w:color="auto"/>
        <w:bottom w:val="none" w:sz="0" w:space="0" w:color="auto"/>
        <w:right w:val="none" w:sz="0" w:space="0" w:color="auto"/>
      </w:divBdr>
    </w:div>
    <w:div w:id="440224990">
      <w:bodyDiv w:val="1"/>
      <w:marLeft w:val="0"/>
      <w:marRight w:val="0"/>
      <w:marTop w:val="0"/>
      <w:marBottom w:val="0"/>
      <w:divBdr>
        <w:top w:val="none" w:sz="0" w:space="0" w:color="auto"/>
        <w:left w:val="none" w:sz="0" w:space="0" w:color="auto"/>
        <w:bottom w:val="none" w:sz="0" w:space="0" w:color="auto"/>
        <w:right w:val="none" w:sz="0" w:space="0" w:color="auto"/>
      </w:divBdr>
    </w:div>
    <w:div w:id="462970328">
      <w:bodyDiv w:val="1"/>
      <w:marLeft w:val="0"/>
      <w:marRight w:val="0"/>
      <w:marTop w:val="0"/>
      <w:marBottom w:val="0"/>
      <w:divBdr>
        <w:top w:val="none" w:sz="0" w:space="0" w:color="auto"/>
        <w:left w:val="none" w:sz="0" w:space="0" w:color="auto"/>
        <w:bottom w:val="none" w:sz="0" w:space="0" w:color="auto"/>
        <w:right w:val="none" w:sz="0" w:space="0" w:color="auto"/>
      </w:divBdr>
    </w:div>
    <w:div w:id="483162189">
      <w:bodyDiv w:val="1"/>
      <w:marLeft w:val="0"/>
      <w:marRight w:val="0"/>
      <w:marTop w:val="0"/>
      <w:marBottom w:val="0"/>
      <w:divBdr>
        <w:top w:val="none" w:sz="0" w:space="0" w:color="auto"/>
        <w:left w:val="none" w:sz="0" w:space="0" w:color="auto"/>
        <w:bottom w:val="none" w:sz="0" w:space="0" w:color="auto"/>
        <w:right w:val="none" w:sz="0" w:space="0" w:color="auto"/>
      </w:divBdr>
    </w:div>
    <w:div w:id="756554882">
      <w:bodyDiv w:val="1"/>
      <w:marLeft w:val="0"/>
      <w:marRight w:val="0"/>
      <w:marTop w:val="0"/>
      <w:marBottom w:val="0"/>
      <w:divBdr>
        <w:top w:val="none" w:sz="0" w:space="0" w:color="auto"/>
        <w:left w:val="none" w:sz="0" w:space="0" w:color="auto"/>
        <w:bottom w:val="none" w:sz="0" w:space="0" w:color="auto"/>
        <w:right w:val="none" w:sz="0" w:space="0" w:color="auto"/>
      </w:divBdr>
    </w:div>
    <w:div w:id="879589692">
      <w:bodyDiv w:val="1"/>
      <w:marLeft w:val="0"/>
      <w:marRight w:val="0"/>
      <w:marTop w:val="0"/>
      <w:marBottom w:val="0"/>
      <w:divBdr>
        <w:top w:val="none" w:sz="0" w:space="0" w:color="auto"/>
        <w:left w:val="none" w:sz="0" w:space="0" w:color="auto"/>
        <w:bottom w:val="none" w:sz="0" w:space="0" w:color="auto"/>
        <w:right w:val="none" w:sz="0" w:space="0" w:color="auto"/>
      </w:divBdr>
    </w:div>
    <w:div w:id="891188590">
      <w:bodyDiv w:val="1"/>
      <w:marLeft w:val="0"/>
      <w:marRight w:val="0"/>
      <w:marTop w:val="0"/>
      <w:marBottom w:val="0"/>
      <w:divBdr>
        <w:top w:val="none" w:sz="0" w:space="0" w:color="auto"/>
        <w:left w:val="none" w:sz="0" w:space="0" w:color="auto"/>
        <w:bottom w:val="none" w:sz="0" w:space="0" w:color="auto"/>
        <w:right w:val="none" w:sz="0" w:space="0" w:color="auto"/>
      </w:divBdr>
    </w:div>
    <w:div w:id="988746896">
      <w:bodyDiv w:val="1"/>
      <w:marLeft w:val="0"/>
      <w:marRight w:val="0"/>
      <w:marTop w:val="0"/>
      <w:marBottom w:val="0"/>
      <w:divBdr>
        <w:top w:val="none" w:sz="0" w:space="0" w:color="auto"/>
        <w:left w:val="none" w:sz="0" w:space="0" w:color="auto"/>
        <w:bottom w:val="none" w:sz="0" w:space="0" w:color="auto"/>
        <w:right w:val="none" w:sz="0" w:space="0" w:color="auto"/>
      </w:divBdr>
    </w:div>
    <w:div w:id="1169520009">
      <w:bodyDiv w:val="1"/>
      <w:marLeft w:val="0"/>
      <w:marRight w:val="0"/>
      <w:marTop w:val="0"/>
      <w:marBottom w:val="0"/>
      <w:divBdr>
        <w:top w:val="none" w:sz="0" w:space="0" w:color="auto"/>
        <w:left w:val="none" w:sz="0" w:space="0" w:color="auto"/>
        <w:bottom w:val="none" w:sz="0" w:space="0" w:color="auto"/>
        <w:right w:val="none" w:sz="0" w:space="0" w:color="auto"/>
      </w:divBdr>
    </w:div>
    <w:div w:id="1178811963">
      <w:bodyDiv w:val="1"/>
      <w:marLeft w:val="0"/>
      <w:marRight w:val="0"/>
      <w:marTop w:val="0"/>
      <w:marBottom w:val="0"/>
      <w:divBdr>
        <w:top w:val="none" w:sz="0" w:space="0" w:color="auto"/>
        <w:left w:val="none" w:sz="0" w:space="0" w:color="auto"/>
        <w:bottom w:val="none" w:sz="0" w:space="0" w:color="auto"/>
        <w:right w:val="none" w:sz="0" w:space="0" w:color="auto"/>
      </w:divBdr>
    </w:div>
    <w:div w:id="1509056255">
      <w:bodyDiv w:val="1"/>
      <w:marLeft w:val="0"/>
      <w:marRight w:val="0"/>
      <w:marTop w:val="0"/>
      <w:marBottom w:val="0"/>
      <w:divBdr>
        <w:top w:val="none" w:sz="0" w:space="0" w:color="auto"/>
        <w:left w:val="none" w:sz="0" w:space="0" w:color="auto"/>
        <w:bottom w:val="none" w:sz="0" w:space="0" w:color="auto"/>
        <w:right w:val="none" w:sz="0" w:space="0" w:color="auto"/>
      </w:divBdr>
    </w:div>
    <w:div w:id="1736078561">
      <w:bodyDiv w:val="1"/>
      <w:marLeft w:val="0"/>
      <w:marRight w:val="0"/>
      <w:marTop w:val="0"/>
      <w:marBottom w:val="0"/>
      <w:divBdr>
        <w:top w:val="none" w:sz="0" w:space="0" w:color="auto"/>
        <w:left w:val="none" w:sz="0" w:space="0" w:color="auto"/>
        <w:bottom w:val="none" w:sz="0" w:space="0" w:color="auto"/>
        <w:right w:val="none" w:sz="0" w:space="0" w:color="auto"/>
      </w:divBdr>
    </w:div>
    <w:div w:id="1757439062">
      <w:bodyDiv w:val="1"/>
      <w:marLeft w:val="0"/>
      <w:marRight w:val="0"/>
      <w:marTop w:val="0"/>
      <w:marBottom w:val="0"/>
      <w:divBdr>
        <w:top w:val="none" w:sz="0" w:space="0" w:color="auto"/>
        <w:left w:val="none" w:sz="0" w:space="0" w:color="auto"/>
        <w:bottom w:val="none" w:sz="0" w:space="0" w:color="auto"/>
        <w:right w:val="none" w:sz="0" w:space="0" w:color="auto"/>
      </w:divBdr>
    </w:div>
    <w:div w:id="1830706082">
      <w:bodyDiv w:val="1"/>
      <w:marLeft w:val="0"/>
      <w:marRight w:val="0"/>
      <w:marTop w:val="0"/>
      <w:marBottom w:val="0"/>
      <w:divBdr>
        <w:top w:val="none" w:sz="0" w:space="0" w:color="auto"/>
        <w:left w:val="none" w:sz="0" w:space="0" w:color="auto"/>
        <w:bottom w:val="none" w:sz="0" w:space="0" w:color="auto"/>
        <w:right w:val="none" w:sz="0" w:space="0" w:color="auto"/>
      </w:divBdr>
    </w:div>
    <w:div w:id="1948661889">
      <w:bodyDiv w:val="1"/>
      <w:marLeft w:val="0"/>
      <w:marRight w:val="0"/>
      <w:marTop w:val="0"/>
      <w:marBottom w:val="0"/>
      <w:divBdr>
        <w:top w:val="none" w:sz="0" w:space="0" w:color="auto"/>
        <w:left w:val="none" w:sz="0" w:space="0" w:color="auto"/>
        <w:bottom w:val="none" w:sz="0" w:space="0" w:color="auto"/>
        <w:right w:val="none" w:sz="0" w:space="0" w:color="auto"/>
      </w:divBdr>
    </w:div>
    <w:div w:id="1964726720">
      <w:bodyDiv w:val="1"/>
      <w:marLeft w:val="0"/>
      <w:marRight w:val="0"/>
      <w:marTop w:val="0"/>
      <w:marBottom w:val="0"/>
      <w:divBdr>
        <w:top w:val="none" w:sz="0" w:space="0" w:color="auto"/>
        <w:left w:val="none" w:sz="0" w:space="0" w:color="auto"/>
        <w:bottom w:val="none" w:sz="0" w:space="0" w:color="auto"/>
        <w:right w:val="none" w:sz="0" w:space="0" w:color="auto"/>
      </w:divBdr>
    </w:div>
    <w:div w:id="2091386774">
      <w:bodyDiv w:val="1"/>
      <w:marLeft w:val="0"/>
      <w:marRight w:val="0"/>
      <w:marTop w:val="0"/>
      <w:marBottom w:val="0"/>
      <w:divBdr>
        <w:top w:val="none" w:sz="0" w:space="0" w:color="auto"/>
        <w:left w:val="none" w:sz="0" w:space="0" w:color="auto"/>
        <w:bottom w:val="none" w:sz="0" w:space="0" w:color="auto"/>
        <w:right w:val="none" w:sz="0" w:space="0" w:color="auto"/>
      </w:divBdr>
    </w:div>
    <w:div w:id="2145273569">
      <w:bodyDiv w:val="1"/>
      <w:marLeft w:val="0"/>
      <w:marRight w:val="0"/>
      <w:marTop w:val="0"/>
      <w:marBottom w:val="0"/>
      <w:divBdr>
        <w:top w:val="none" w:sz="0" w:space="0" w:color="auto"/>
        <w:left w:val="none" w:sz="0" w:space="0" w:color="auto"/>
        <w:bottom w:val="none" w:sz="0" w:space="0" w:color="auto"/>
        <w:right w:val="none" w:sz="0" w:space="0" w:color="auto"/>
      </w:divBdr>
      <w:divsChild>
        <w:div w:id="1474716235">
          <w:marLeft w:val="0"/>
          <w:marRight w:val="0"/>
          <w:marTop w:val="0"/>
          <w:marBottom w:val="0"/>
          <w:divBdr>
            <w:top w:val="none" w:sz="0" w:space="0" w:color="auto"/>
            <w:left w:val="none" w:sz="0" w:space="0" w:color="auto"/>
            <w:bottom w:val="none" w:sz="0" w:space="0" w:color="auto"/>
            <w:right w:val="none" w:sz="0" w:space="0" w:color="auto"/>
          </w:divBdr>
          <w:divsChild>
            <w:div w:id="253709293">
              <w:marLeft w:val="0"/>
              <w:marRight w:val="0"/>
              <w:marTop w:val="0"/>
              <w:marBottom w:val="0"/>
              <w:divBdr>
                <w:top w:val="none" w:sz="0" w:space="0" w:color="auto"/>
                <w:left w:val="none" w:sz="0" w:space="0" w:color="auto"/>
                <w:bottom w:val="none" w:sz="0" w:space="0" w:color="auto"/>
                <w:right w:val="none" w:sz="0" w:space="0" w:color="auto"/>
              </w:divBdr>
            </w:div>
            <w:div w:id="360715753">
              <w:marLeft w:val="0"/>
              <w:marRight w:val="0"/>
              <w:marTop w:val="0"/>
              <w:marBottom w:val="0"/>
              <w:divBdr>
                <w:top w:val="none" w:sz="0" w:space="0" w:color="auto"/>
                <w:left w:val="none" w:sz="0" w:space="0" w:color="auto"/>
                <w:bottom w:val="none" w:sz="0" w:space="0" w:color="auto"/>
                <w:right w:val="none" w:sz="0" w:space="0" w:color="auto"/>
              </w:divBdr>
            </w:div>
            <w:div w:id="679819025">
              <w:marLeft w:val="0"/>
              <w:marRight w:val="0"/>
              <w:marTop w:val="0"/>
              <w:marBottom w:val="0"/>
              <w:divBdr>
                <w:top w:val="none" w:sz="0" w:space="0" w:color="auto"/>
                <w:left w:val="none" w:sz="0" w:space="0" w:color="auto"/>
                <w:bottom w:val="none" w:sz="0" w:space="0" w:color="auto"/>
                <w:right w:val="none" w:sz="0" w:space="0" w:color="auto"/>
              </w:divBdr>
            </w:div>
            <w:div w:id="964389161">
              <w:marLeft w:val="0"/>
              <w:marRight w:val="0"/>
              <w:marTop w:val="0"/>
              <w:marBottom w:val="0"/>
              <w:divBdr>
                <w:top w:val="none" w:sz="0" w:space="0" w:color="auto"/>
                <w:left w:val="none" w:sz="0" w:space="0" w:color="auto"/>
                <w:bottom w:val="none" w:sz="0" w:space="0" w:color="auto"/>
                <w:right w:val="none" w:sz="0" w:space="0" w:color="auto"/>
              </w:divBdr>
            </w:div>
            <w:div w:id="974068847">
              <w:marLeft w:val="0"/>
              <w:marRight w:val="0"/>
              <w:marTop w:val="0"/>
              <w:marBottom w:val="0"/>
              <w:divBdr>
                <w:top w:val="none" w:sz="0" w:space="0" w:color="auto"/>
                <w:left w:val="none" w:sz="0" w:space="0" w:color="auto"/>
                <w:bottom w:val="none" w:sz="0" w:space="0" w:color="auto"/>
                <w:right w:val="none" w:sz="0" w:space="0" w:color="auto"/>
              </w:divBdr>
            </w:div>
            <w:div w:id="1340544263">
              <w:marLeft w:val="0"/>
              <w:marRight w:val="0"/>
              <w:marTop w:val="0"/>
              <w:marBottom w:val="0"/>
              <w:divBdr>
                <w:top w:val="none" w:sz="0" w:space="0" w:color="auto"/>
                <w:left w:val="none" w:sz="0" w:space="0" w:color="auto"/>
                <w:bottom w:val="none" w:sz="0" w:space="0" w:color="auto"/>
                <w:right w:val="none" w:sz="0" w:space="0" w:color="auto"/>
              </w:divBdr>
            </w:div>
            <w:div w:id="1401634942">
              <w:marLeft w:val="0"/>
              <w:marRight w:val="0"/>
              <w:marTop w:val="0"/>
              <w:marBottom w:val="0"/>
              <w:divBdr>
                <w:top w:val="none" w:sz="0" w:space="0" w:color="auto"/>
                <w:left w:val="none" w:sz="0" w:space="0" w:color="auto"/>
                <w:bottom w:val="none" w:sz="0" w:space="0" w:color="auto"/>
                <w:right w:val="none" w:sz="0" w:space="0" w:color="auto"/>
              </w:divBdr>
            </w:div>
            <w:div w:id="166458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6.xml"/><Relationship Id="rId18" Type="http://schemas.openxmlformats.org/officeDocument/2006/relationships/image" Target="media/image4.jpeg"/><Relationship Id="rId26" Type="http://schemas.openxmlformats.org/officeDocument/2006/relationships/header" Target="header9.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eader" Target="header5.xml"/><Relationship Id="rId17" Type="http://schemas.openxmlformats.org/officeDocument/2006/relationships/image" Target="media/image3.jpeg"/><Relationship Id="rId25" Type="http://schemas.openxmlformats.org/officeDocument/2006/relationships/header" Target="header8.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file:///C:\Users\Martin\Docs\Publikationen\Sprache,%20Glaube%20und%20Macht\Johannes%20Spiecker%20in%20Deutsch-S&#252;dwestafrika\Abb2.jpg" TargetMode="External"/><Relationship Id="rId20" Type="http://schemas.openxmlformats.org/officeDocument/2006/relationships/image" Target="media/image6.jpeg"/><Relationship Id="rId29"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header" Target="header7.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header" Target="header11.xml"/><Relationship Id="rId10" Type="http://schemas.openxmlformats.org/officeDocument/2006/relationships/header" Target="header3.xml"/><Relationship Id="rId19" Type="http://schemas.openxmlformats.org/officeDocument/2006/relationships/image" Target="media/image5.jpeg"/><Relationship Id="rId3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header" Target="header10.xml"/><Relationship Id="rId30" Type="http://schemas.openxmlformats.org/officeDocument/2006/relationships/header" Target="header1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nwendungsdaten\Microsoft\Vorlagen\Standard%20Neu.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A3255-0FFC-4777-A345-C5D33B3E9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 Neu.dot</Template>
  <TotalTime>0</TotalTime>
  <Pages>202</Pages>
  <Words>65661</Words>
  <Characters>413670</Characters>
  <Application>Microsoft Office Word</Application>
  <DocSecurity>0</DocSecurity>
  <Lines>3447</Lines>
  <Paragraphs>956</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22</vt:lpstr>
      <vt:lpstr>22</vt:lpstr>
    </vt:vector>
  </TitlesOfParts>
  <Company/>
  <LinksUpToDate>false</LinksUpToDate>
  <CharactersWithSpaces>478375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22</dc:title>
  <dc:creator>Martin</dc:creator>
  <cp:lastModifiedBy>User</cp:lastModifiedBy>
  <cp:revision>89</cp:revision>
  <cp:lastPrinted>2013-03-27T16:44:00Z</cp:lastPrinted>
  <dcterms:created xsi:type="dcterms:W3CDTF">2013-01-30T08:15:00Z</dcterms:created>
  <dcterms:modified xsi:type="dcterms:W3CDTF">2014-05-06T11:57:00Z</dcterms:modified>
</cp:coreProperties>
</file>